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23,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S-8</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REGISTRATION STATEMENT UNDER THE SECURITIES ACT OF 1933</w:t>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IPOWER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41" w:right="339" w:bottom="1440" w:gutter="0" w:footer="0" w:header="0"/>
        </w:sectPr>
      </w:pPr>
    </w:p>
    <w:p>
      <w:pPr>
        <w:spacing w:after="0" w:line="20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82-5144171</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441"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iPOWER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8798 9th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Rancho Cucamonga, CA 91730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THIRD AMENDED AND RESTATED 2020 EQUITY INCENTIVE PLAN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(Full title of plan)</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Chenlong Tan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8798 9th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Rancho Cucamonga, CA 91730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(626) 863-7344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With copy to:</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Megan J. Penick Esq.</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Dorsey &amp; Whitney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1301 Avenue of the Americas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10019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415-9200</w:t>
      </w:r>
    </w:p>
    <w:p>
      <w:pPr>
        <w:spacing w:after="0" w:line="207" w:lineRule="exact"/>
        <w:rPr>
          <w:sz w:val="24"/>
          <w:szCs w:val="24"/>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2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2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firstLine="49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Pursuant to General Instruction E of Form S-8, iPower Inc. (the “Registrant”) is filing this Registration Statement on Form S-8 with the Securities and Exchange Commission (the “Commission”) to register an additional 49,372,685 shares of its common stock, par value $0.001 per share (“Common Stock”), issuable under the Third Amended and Restated 2020 Equity Incentive Plan (the “Third Amended and Restated Plan”), which was approved by the Registrant’s stockholders on September 21, 2026.</w:t>
      </w:r>
    </w:p>
    <w:p>
      <w:pPr>
        <w:spacing w:after="0" w:line="18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On October 15, 2020, the Registrant’s board of directors (the “Board”) adopted, and its stockholders approved and ratified, the iPower Inc. 2020 Equity Incentive Plan (the “Initial Plan”). On May 5, 2021, the Registrant’s Board adopted, and its stockholders approved and ratified, an amendment to the Initial Plan (the “Amended Initial Plan”).</w:t>
      </w:r>
    </w:p>
    <w:p>
      <w:pPr>
        <w:spacing w:after="0" w:line="176"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On November 16, 2021, the Company filed a registration statement on Form S-8 (File No. 333-261100) (the “November 2021 Form S-8”) registering 5,000,000 shares of Common Stock issuable under the Amended Initial Plan. On May 6, 2024, the Registrant’s Board and its majority stockholders approved an amendment and restatement of the Amended Initial Plan, increasing the shares authorized under the plan from 5,000,000 shares to 10,000,000 shares (the “First Amended and Restated Plan”). On December 21, 2025, the Registrant’s Board and majority stockholders approved an amendment to the First Amended and Restated Plan for the sole purpose of effecting an increase in the number of shares of Common Stock available for issuance under the plan by an additional 40,000,000 shares of Common Stock (the “Second Amended and Restated Plan”). On April 17, 2026, the Registrant filed a Registration Statement on Form S-8 (File No. 333-295173) (together with the November 2021 Form S-8, the “Prior Registration Statements”) registering such additional shares.</w:t>
      </w:r>
    </w:p>
    <w:p>
      <w:pPr>
        <w:spacing w:after="0" w:line="192"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Following the Registrant’s 1-for-30 reverse stock split effected in October 2025, 1-for-8 reverse stock split effected in May 2026 and 1-for-9 reverse stock split effected in August 2026, the aggregate number of shares previously registered under the Prior Registration Statements on Form S-8 was proportionately adjusted to approximately 627,315 shares on a post-split basis, resulting in the registration of an additional 49,372,685 shares under this Registration Statement. On September 21, 2026, the Board and the Registrant’s stockholders approved the Third Amended and Restated Plan, which, among other things, adjusted the aggregate number of shares reserved for issuance under the plan to 50,000,000 shares and adopted an evergreen provision providing for an automatic annual increase equal to 5% of the Registrant’s outstanding Common Stock for ten years. Accordingly, the Registrant is registering an additional 49,372,685 shares of Common Stock under the Third Amended and Restated Plan.</w:t>
      </w:r>
    </w:p>
    <w:p>
      <w:pPr>
        <w:spacing w:after="0" w:line="189"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Pursuant to General Instruction E to Form S-8, the contents of the Registrant’s Prior Registration Statements are incorporated herein by reference, except as modified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Commission are incorporated by reference into this Registration Statement:</w:t>
      </w:r>
    </w:p>
    <w:p>
      <w:pPr>
        <w:spacing w:after="0" w:line="225" w:lineRule="exact"/>
        <w:rPr>
          <w:sz w:val="20"/>
          <w:szCs w:val="20"/>
          <w:color w:val="auto"/>
        </w:rPr>
      </w:pPr>
    </w:p>
    <w:p>
      <w:pPr>
        <w:ind w:left="760" w:hanging="253"/>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w:t>
      </w:r>
      <w:hyperlink r:id="rId10">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June 30, 2026, filed with the Commission on October 2, 2026.</w:t>
      </w:r>
    </w:p>
    <w:p>
      <w:pPr>
        <w:spacing w:after="0" w:line="225" w:lineRule="exact"/>
        <w:rPr>
          <w:rFonts w:ascii="Times New Roman" w:cs="Times New Roman" w:eastAsia="Times New Roman" w:hAnsi="Times New Roman"/>
          <w:sz w:val="18"/>
          <w:szCs w:val="18"/>
          <w:color w:val="auto"/>
        </w:rPr>
      </w:pPr>
    </w:p>
    <w:p>
      <w:pPr>
        <w:ind w:firstLine="507"/>
        <w:spacing w:after="0" w:line="282" w:lineRule="auto"/>
        <w:tabs>
          <w:tab w:leader="none" w:pos="763" w:val="left"/>
        </w:tabs>
        <w:numPr>
          <w:ilvl w:val="0"/>
          <w:numId w:val="1"/>
        </w:numPr>
        <w:rPr>
          <w:rFonts w:ascii="Times New Roman" w:cs="Times New Roman" w:eastAsia="Times New Roman" w:hAnsi="Times New Roman"/>
          <w:sz w:val="18"/>
          <w:szCs w:val="18"/>
          <w:color w:val="0000EE"/>
        </w:rPr>
      </w:pPr>
      <w:hyperlink r:id="rId11">
        <w:r>
          <w:rPr>
            <w:rFonts w:ascii="Times New Roman" w:cs="Times New Roman" w:eastAsia="Times New Roman" w:hAnsi="Times New Roman"/>
            <w:sz w:val="18"/>
            <w:szCs w:val="18"/>
            <w:color w:val="auto"/>
          </w:rPr>
          <w:t xml:space="preserve">The Registrant’s Current Reports on Form 8-K filed with the Commission on </w:t>
        </w:r>
        <w:r>
          <w:rPr>
            <w:rFonts w:ascii="Times New Roman" w:cs="Times New Roman" w:eastAsia="Times New Roman" w:hAnsi="Times New Roman"/>
            <w:sz w:val="18"/>
            <w:szCs w:val="18"/>
            <w:u w:val="single" w:color="auto"/>
            <w:color w:val="0000EE"/>
          </w:rPr>
          <w:t>July 2, 2026, July 6,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July 15,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July 21,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July 23,</w:t>
        </w:r>
      </w:hyperlink>
      <w:r>
        <w:rPr>
          <w:rFonts w:ascii="Times New Roman" w:cs="Times New Roman" w:eastAsia="Times New Roman" w:hAnsi="Times New Roman"/>
          <w:sz w:val="18"/>
          <w:szCs w:val="18"/>
          <w:color w:val="auto"/>
        </w:rPr>
        <w:t xml:space="preserve"> </w:t>
      </w:r>
      <w:hyperlink r:id="rId11">
        <w:r>
          <w:rPr>
            <w:rFonts w:ascii="Times New Roman" w:cs="Times New Roman" w:eastAsia="Times New Roman" w:hAnsi="Times New Roman"/>
            <w:sz w:val="18"/>
            <w:szCs w:val="18"/>
            <w:u w:val="single" w:color="auto"/>
            <w:color w:val="0000EE"/>
          </w:rPr>
          <w:t xml:space="preserve">2026, </w:t>
        </w:r>
      </w:hyperlink>
      <w:hyperlink r:id="rId12">
        <w:r>
          <w:rPr>
            <w:rFonts w:ascii="Times New Roman" w:cs="Times New Roman" w:eastAsia="Times New Roman" w:hAnsi="Times New Roman"/>
            <w:sz w:val="18"/>
            <w:szCs w:val="18"/>
            <w:u w:val="single" w:color="auto"/>
            <w:color w:val="0000EE"/>
          </w:rPr>
          <w:t>August 5, 2026</w:t>
        </w:r>
      </w:hyperlink>
      <w:hyperlink r:id="rId1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3">
        <w:r>
          <w:rPr>
            <w:rFonts w:ascii="Times New Roman" w:cs="Times New Roman" w:eastAsia="Times New Roman" w:hAnsi="Times New Roman"/>
            <w:sz w:val="18"/>
            <w:szCs w:val="18"/>
            <w:u w:val="single" w:color="auto"/>
            <w:color w:val="0000EE"/>
          </w:rPr>
          <w:t>September 15, 2026</w:t>
        </w:r>
      </w:hyperlink>
      <w:hyperlink r:id="rId1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4">
        <w:r>
          <w:rPr>
            <w:rFonts w:ascii="Times New Roman" w:cs="Times New Roman" w:eastAsia="Times New Roman" w:hAnsi="Times New Roman"/>
            <w:sz w:val="18"/>
            <w:szCs w:val="18"/>
            <w:u w:val="single" w:color="auto"/>
            <w:color w:val="0000EE"/>
          </w:rPr>
          <w:t>September 22, 2026</w:t>
        </w:r>
      </w:hyperlink>
      <w:hyperlink r:id="rId11">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15">
        <w:r>
          <w:rPr>
            <w:rFonts w:ascii="Times New Roman" w:cs="Times New Roman" w:eastAsia="Times New Roman" w:hAnsi="Times New Roman"/>
            <w:sz w:val="18"/>
            <w:szCs w:val="18"/>
            <w:u w:val="single" w:color="auto"/>
            <w:color w:val="0000EE"/>
          </w:rPr>
          <w:t>October 15, 2026</w:t>
        </w:r>
      </w:hyperlink>
      <w:hyperlink r:id="rId11">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firstLine="507"/>
        <w:spacing w:after="0" w:line="282" w:lineRule="auto"/>
        <w:tabs>
          <w:tab w:leader="none" w:pos="75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registration statement on </w:t>
      </w:r>
      <w:hyperlink r:id="rId1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001-40391) filed on May 5, 2021, and any amendments or reports filed for the purposes of updating this description;</w:t>
      </w:r>
    </w:p>
    <w:p>
      <w:pPr>
        <w:spacing w:after="0" w:line="161" w:lineRule="exact"/>
        <w:rPr>
          <w:rFonts w:ascii="Times New Roman" w:cs="Times New Roman" w:eastAsia="Times New Roman" w:hAnsi="Times New Roman"/>
          <w:sz w:val="18"/>
          <w:szCs w:val="18"/>
          <w:color w:val="auto"/>
        </w:rPr>
      </w:pPr>
    </w:p>
    <w:p>
      <w:pPr>
        <w:jc w:val="both"/>
        <w:ind w:firstLine="507"/>
        <w:spacing w:after="0" w:line="254" w:lineRule="auto"/>
        <w:tabs>
          <w:tab w:leader="none" w:pos="75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348"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85"/>
        </w:trPr>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0100" w:type="dxa"/>
            <w:vAlign w:val="bottom"/>
            <w:tcBorders>
              <w:top w:val="single" w:sz="8" w:color="auto"/>
            </w:tcBorders>
            <w:gridSpan w:val="13"/>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 xml:space="preserve">Certificate of Designation of Series A Convertible Preferred Stock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4.1 to the Registration Statement</w:t>
            </w:r>
          </w:p>
        </w:tc>
      </w:tr>
      <w:tr>
        <w:trPr>
          <w:trHeight w:val="218"/>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6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rPr>
              <w:t>on Form S-1 filed February 2, 2021).</w:t>
            </w:r>
          </w:p>
        </w:tc>
        <w:tc>
          <w:tcPr>
            <w:tcW w:w="5240" w:type="dxa"/>
            <w:vAlign w:val="bottom"/>
            <w:gridSpan w:val="3"/>
          </w:tcPr>
          <w:p>
            <w:pPr>
              <w:spacing w:after="0"/>
              <w:rPr>
                <w:sz w:val="18"/>
                <w:szCs w:val="18"/>
                <w:color w:val="auto"/>
              </w:rPr>
            </w:pPr>
          </w:p>
        </w:tc>
      </w:tr>
      <w:tr>
        <w:trPr>
          <w:trHeight w:val="194"/>
        </w:trPr>
        <w:tc>
          <w:tcPr>
            <w:tcW w:w="1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6"/>
                <w:szCs w:val="16"/>
                <w:color w:val="auto"/>
              </w:rPr>
            </w:pPr>
          </w:p>
        </w:tc>
        <w:tc>
          <w:tcPr>
            <w:tcW w:w="10100" w:type="dxa"/>
            <w:vAlign w:val="bottom"/>
            <w:gridSpan w:val="13"/>
          </w:tcPr>
          <w:p>
            <w:pPr>
              <w:spacing w:after="0" w:line="194"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 xml:space="preserve">Form of Warrant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4.1 to the Current Report on Form 8-K filed June 18, 2024).</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 xml:space="preserve">Form of Series A Senior Secured Convertible Notes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4.1 to the Current Report on Form 8-K/A filed</w:t>
            </w:r>
          </w:p>
        </w:tc>
      </w:tr>
      <w:tr>
        <w:trPr>
          <w:trHeight w:val="218"/>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rPr>
              <w:t>December 23, 2025).</w:t>
            </w:r>
          </w:p>
        </w:tc>
        <w:tc>
          <w:tcPr>
            <w:tcW w:w="6260" w:type="dxa"/>
            <w:vAlign w:val="bottom"/>
            <w:gridSpan w:val="5"/>
          </w:tcPr>
          <w:p>
            <w:pPr>
              <w:spacing w:after="0"/>
              <w:rPr>
                <w:sz w:val="18"/>
                <w:szCs w:val="18"/>
                <w:color w:val="auto"/>
              </w:rPr>
            </w:pPr>
          </w:p>
        </w:tc>
      </w:tr>
      <w:tr>
        <w:trPr>
          <w:trHeight w:val="194"/>
        </w:trPr>
        <w:tc>
          <w:tcPr>
            <w:tcW w:w="1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6"/>
                <w:szCs w:val="16"/>
                <w:color w:val="auto"/>
              </w:rPr>
            </w:pPr>
          </w:p>
        </w:tc>
        <w:tc>
          <w:tcPr>
            <w:tcW w:w="10100" w:type="dxa"/>
            <w:vAlign w:val="bottom"/>
            <w:gridSpan w:val="13"/>
          </w:tcPr>
          <w:p>
            <w:pPr>
              <w:spacing w:after="0" w:line="194"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 xml:space="preserve">Form of Series B Senior Secured Convertible Notes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4.2 to the Current Report on Form 8-K/A filed</w:t>
            </w:r>
          </w:p>
        </w:tc>
      </w:tr>
      <w:tr>
        <w:trPr>
          <w:trHeight w:val="218"/>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December 23, 2025).</w:t>
            </w:r>
          </w:p>
        </w:tc>
        <w:tc>
          <w:tcPr>
            <w:tcW w:w="6280" w:type="dxa"/>
            <w:vAlign w:val="bottom"/>
            <w:gridSpan w:val="6"/>
          </w:tcPr>
          <w:p>
            <w:pPr>
              <w:spacing w:after="0"/>
              <w:rPr>
                <w:sz w:val="18"/>
                <w:szCs w:val="18"/>
                <w:color w:val="auto"/>
              </w:rPr>
            </w:pPr>
          </w:p>
        </w:tc>
      </w:tr>
      <w:tr>
        <w:trPr>
          <w:trHeight w:val="194"/>
        </w:trPr>
        <w:tc>
          <w:tcPr>
            <w:tcW w:w="1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6"/>
                <w:szCs w:val="16"/>
                <w:color w:val="auto"/>
              </w:rPr>
            </w:pPr>
          </w:p>
        </w:tc>
        <w:tc>
          <w:tcPr>
            <w:tcW w:w="10100" w:type="dxa"/>
            <w:vAlign w:val="bottom"/>
            <w:gridSpan w:val="13"/>
          </w:tcPr>
          <w:p>
            <w:pPr>
              <w:spacing w:after="0" w:line="194"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 xml:space="preserve">Form of Series A Senior Secured Convertible Note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 to the Current Report on Form 8-K filed on</w:t>
            </w:r>
          </w:p>
        </w:tc>
      </w:tr>
      <w:tr>
        <w:trPr>
          <w:trHeight w:val="218"/>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February 10, 2026).</w:t>
            </w:r>
          </w:p>
        </w:tc>
        <w:tc>
          <w:tcPr>
            <w:tcW w:w="6380" w:type="dxa"/>
            <w:vAlign w:val="bottom"/>
            <w:gridSpan w:val="7"/>
          </w:tcPr>
          <w:p>
            <w:pPr>
              <w:spacing w:after="0"/>
              <w:rPr>
                <w:sz w:val="18"/>
                <w:szCs w:val="18"/>
                <w:color w:val="auto"/>
              </w:rPr>
            </w:pPr>
          </w:p>
        </w:tc>
      </w:tr>
      <w:tr>
        <w:trPr>
          <w:trHeight w:val="194"/>
        </w:trPr>
        <w:tc>
          <w:tcPr>
            <w:tcW w:w="1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6"/>
                <w:szCs w:val="16"/>
                <w:color w:val="auto"/>
              </w:rPr>
            </w:pPr>
          </w:p>
        </w:tc>
        <w:tc>
          <w:tcPr>
            <w:tcW w:w="10100" w:type="dxa"/>
            <w:vAlign w:val="bottom"/>
            <w:gridSpan w:val="13"/>
          </w:tcPr>
          <w:p>
            <w:pPr>
              <w:spacing w:after="0" w:line="194"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 xml:space="preserve">Form of Series A Convertible Note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 to the Current Report on Form 8-K dated May 19, 2026).</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Legal Opinion of Dorsey &amp; Whitney LLP</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Consent of HTL International, LLC, independent registered public accounting firm</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7"/>
                <w:szCs w:val="17"/>
                <w:color w:val="auto"/>
              </w:rPr>
            </w:pPr>
          </w:p>
        </w:tc>
        <w:tc>
          <w:tcPr>
            <w:tcW w:w="598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rPr>
              <w:t xml:space="preserve">Consent of Dorsey &amp; Whitney LLP (included in </w:t>
            </w:r>
            <w:r>
              <w:rPr>
                <w:rFonts w:ascii="Times New Roman" w:cs="Times New Roman" w:eastAsia="Times New Roman" w:hAnsi="Times New Roman"/>
                <w:sz w:val="18"/>
                <w:szCs w:val="18"/>
                <w:color w:val="0000EE"/>
              </w:rPr>
              <w:t>Exhibit 5.1</w:t>
            </w:r>
            <w:r>
              <w:rPr>
                <w:rFonts w:ascii="Times New Roman" w:cs="Times New Roman" w:eastAsia="Times New Roman" w:hAnsi="Times New Roman"/>
                <w:sz w:val="18"/>
                <w:szCs w:val="18"/>
                <w:color w:val="auto"/>
              </w:rPr>
              <w:t>)</w:t>
            </w:r>
          </w:p>
        </w:tc>
        <w:tc>
          <w:tcPr>
            <w:tcW w:w="412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7"/>
                <w:szCs w:val="17"/>
                <w:color w:val="auto"/>
              </w:rPr>
            </w:pPr>
          </w:p>
        </w:tc>
        <w:tc>
          <w:tcPr>
            <w:tcW w:w="14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Powers of Attorney</w:t>
            </w:r>
          </w:p>
        </w:tc>
        <w:tc>
          <w:tcPr>
            <w:tcW w:w="2100" w:type="dxa"/>
            <w:vAlign w:val="bottom"/>
            <w:gridSpan w:val="3"/>
          </w:tcPr>
          <w:p>
            <w:pPr>
              <w:spacing w:after="0"/>
              <w:rPr>
                <w:sz w:val="17"/>
                <w:szCs w:val="17"/>
                <w:color w:val="auto"/>
              </w:rPr>
            </w:pPr>
          </w:p>
        </w:tc>
        <w:tc>
          <w:tcPr>
            <w:tcW w:w="800" w:type="dxa"/>
            <w:vAlign w:val="bottom"/>
            <w:tcBorders>
              <w:top w:val="single" w:sz="8" w:color="0000EE"/>
            </w:tcBorders>
            <w:gridSpan w:val="4"/>
          </w:tcPr>
          <w:p>
            <w:pPr>
              <w:spacing w:after="0"/>
              <w:rPr>
                <w:sz w:val="17"/>
                <w:szCs w:val="17"/>
                <w:color w:val="auto"/>
              </w:rPr>
            </w:pPr>
          </w:p>
        </w:tc>
        <w:tc>
          <w:tcPr>
            <w:tcW w:w="5780" w:type="dxa"/>
            <w:vAlign w:val="bottom"/>
            <w:gridSpan w:val="4"/>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7"/>
                <w:szCs w:val="17"/>
                <w:color w:val="auto"/>
              </w:rPr>
            </w:pPr>
          </w:p>
        </w:tc>
        <w:tc>
          <w:tcPr>
            <w:tcW w:w="50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iPower Inc. Third Amended and Restated 2020 Equity Incentive Plan</w:t>
            </w:r>
          </w:p>
        </w:tc>
        <w:tc>
          <w:tcPr>
            <w:tcW w:w="5100" w:type="dxa"/>
            <w:vAlign w:val="bottom"/>
            <w:gridSpan w:val="2"/>
          </w:tcPr>
          <w:p>
            <w:pPr>
              <w:spacing w:after="0"/>
              <w:rPr>
                <w:sz w:val="17"/>
                <w:szCs w:val="17"/>
                <w:color w:val="auto"/>
              </w:rPr>
            </w:pPr>
          </w:p>
        </w:tc>
      </w:tr>
    </w:tbl>
    <w:p>
      <w:pPr>
        <w:spacing w:after="0" w:line="9" w:lineRule="exact"/>
        <w:rPr>
          <w:sz w:val="20"/>
          <w:szCs w:val="20"/>
          <w:color w:val="auto"/>
        </w:rPr>
      </w:pPr>
    </w:p>
    <w:p>
      <w:pPr>
        <w:ind w:right="8840" w:firstLine="8"/>
        <w:spacing w:after="0" w:line="532" w:lineRule="auto"/>
        <w:tabs>
          <w:tab w:leader="none" w:pos="113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Rancho Cucamonga of the State of California, on this 23rd day of October 2026.</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IPOWER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Chenlong Tan</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1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5" w:lineRule="exact"/>
        <w:rPr>
          <w:sz w:val="20"/>
          <w:szCs w:val="20"/>
          <w:color w:val="auto"/>
        </w:rPr>
      </w:pPr>
    </w:p>
    <w:p>
      <w:pPr>
        <w:jc w:val="both"/>
        <w:ind w:firstLine="359"/>
        <w:spacing w:after="0" w:line="255"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Chenlong Tan as his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 true and lawful attorney-in-fact and agent, with full powers of substitution and resubstitution, for them and in their name, place and stead, in any and all capacities, to sign any and all amendments to this registration statement, and to file the same, with all exhibits thereto, and other documents in connection therewith, with the Commission, and generally to do all such things in their names and behalf in their capacities as officers and directors to enable the Company to comply with the provisions of the Securities Act of 1933 and all requirements of the Commission, granting unto said attorneys-in-fact and agents, full power and authority to do and perform each and every act and thing requisite and necessary to be done in connection therewith, as fully to all intents and purposes as he or she might or could do in person, ratifying and confirming all that said attorneys-in-fact and agents or his or her substitutes or substitute, may lawfully do or cause to be done by virtue hereof.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0"/>
                <w:szCs w:val="20"/>
                <w:color w:val="auto"/>
              </w:rPr>
            </w:pPr>
          </w:p>
        </w:tc>
        <w:tc>
          <w:tcPr>
            <w:tcW w:w="6740" w:type="dxa"/>
            <w:vAlign w:val="bottom"/>
            <w:tcBorders>
              <w:bottom w:val="single" w:sz="8" w:color="auto"/>
            </w:tcBorders>
          </w:tcPr>
          <w:p>
            <w:pPr>
              <w:ind w:left="32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07"/>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/s/ Chenlong Tan</w:t>
            </w:r>
          </w:p>
        </w:tc>
        <w:tc>
          <w:tcPr>
            <w:tcW w:w="6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 Chairman of the Board of</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23, 2026</w:t>
            </w:r>
          </w:p>
        </w:tc>
        <w:tc>
          <w:tcPr>
            <w:tcW w:w="0" w:type="dxa"/>
            <w:vAlign w:val="bottom"/>
          </w:tcPr>
          <w:p>
            <w:pPr>
              <w:spacing w:after="0"/>
              <w:rPr>
                <w:sz w:val="1"/>
                <w:szCs w:val="1"/>
                <w:color w:val="auto"/>
              </w:rPr>
            </w:pPr>
          </w:p>
        </w:tc>
      </w:tr>
      <w:tr>
        <w:trPr>
          <w:trHeight w:val="239"/>
        </w:trPr>
        <w:tc>
          <w:tcPr>
            <w:tcW w:w="2160" w:type="dxa"/>
            <w:vAlign w:val="bottom"/>
            <w:tcBorders>
              <w:bottom w:val="single" w:sz="8" w:color="auto"/>
            </w:tcBorders>
            <w:vMerge w:val="continue"/>
          </w:tcPr>
          <w:p>
            <w:pPr>
              <w:spacing w:after="0"/>
              <w:rPr>
                <w:sz w:val="20"/>
                <w:szCs w:val="20"/>
                <w:color w:val="auto"/>
              </w:rPr>
            </w:pPr>
          </w:p>
        </w:tc>
        <w:tc>
          <w:tcPr>
            <w:tcW w:w="6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Directors</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Chenlong Tan</w:t>
            </w:r>
          </w:p>
        </w:tc>
        <w:tc>
          <w:tcPr>
            <w:tcW w:w="6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(Principal Executive Officer, Principal Financial Officer, and Principal Accounting Officer)</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Yi Yang</w:t>
            </w:r>
          </w:p>
        </w:tc>
        <w:tc>
          <w:tcPr>
            <w:tcW w:w="6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23, 2026</w:t>
            </w:r>
          </w:p>
        </w:tc>
        <w:tc>
          <w:tcPr>
            <w:tcW w:w="0" w:type="dxa"/>
            <w:vAlign w:val="bottom"/>
          </w:tcPr>
          <w:p>
            <w:pPr>
              <w:spacing w:after="0"/>
              <w:rPr>
                <w:sz w:val="1"/>
                <w:szCs w:val="1"/>
                <w:color w:val="auto"/>
              </w:rPr>
            </w:pPr>
          </w:p>
        </w:tc>
      </w:tr>
      <w:tr>
        <w:trPr>
          <w:trHeight w:val="22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Yi Yang</w:t>
            </w:r>
          </w:p>
        </w:tc>
        <w:tc>
          <w:tcPr>
            <w:tcW w:w="10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Bennet Tchaikovsky</w:t>
            </w:r>
          </w:p>
        </w:tc>
        <w:tc>
          <w:tcPr>
            <w:tcW w:w="6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23, 2026</w:t>
            </w:r>
          </w:p>
        </w:tc>
        <w:tc>
          <w:tcPr>
            <w:tcW w:w="0" w:type="dxa"/>
            <w:vAlign w:val="bottom"/>
          </w:tcPr>
          <w:p>
            <w:pPr>
              <w:spacing w:after="0"/>
              <w:rPr>
                <w:sz w:val="1"/>
                <w:szCs w:val="1"/>
                <w:color w:val="auto"/>
              </w:rPr>
            </w:pPr>
          </w:p>
        </w:tc>
      </w:tr>
      <w:tr>
        <w:trPr>
          <w:trHeight w:val="22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Bennet Tchaikovsky</w:t>
            </w:r>
          </w:p>
        </w:tc>
        <w:tc>
          <w:tcPr>
            <w:tcW w:w="10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Hanxi Li</w:t>
            </w:r>
          </w:p>
        </w:tc>
        <w:tc>
          <w:tcPr>
            <w:tcW w:w="6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23, 2026</w:t>
            </w:r>
          </w:p>
        </w:tc>
        <w:tc>
          <w:tcPr>
            <w:tcW w:w="0" w:type="dxa"/>
            <w:vAlign w:val="bottom"/>
          </w:tcPr>
          <w:p>
            <w:pPr>
              <w:spacing w:after="0"/>
              <w:rPr>
                <w:sz w:val="1"/>
                <w:szCs w:val="1"/>
                <w:color w:val="auto"/>
              </w:rPr>
            </w:pPr>
          </w:p>
        </w:tc>
      </w:tr>
      <w:tr>
        <w:trPr>
          <w:trHeight w:val="22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Hanxi Li</w:t>
            </w:r>
          </w:p>
        </w:tc>
        <w:tc>
          <w:tcPr>
            <w:tcW w:w="10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Yue Guo</w:t>
            </w:r>
          </w:p>
        </w:tc>
        <w:tc>
          <w:tcPr>
            <w:tcW w:w="6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23, 2026</w:t>
            </w:r>
          </w:p>
        </w:tc>
        <w:tc>
          <w:tcPr>
            <w:tcW w:w="0" w:type="dxa"/>
            <w:vAlign w:val="bottom"/>
          </w:tcPr>
          <w:p>
            <w:pPr>
              <w:spacing w:after="0"/>
              <w:rPr>
                <w:sz w:val="1"/>
                <w:szCs w:val="1"/>
                <w:color w:val="auto"/>
              </w:rPr>
            </w:pPr>
          </w:p>
        </w:tc>
      </w:tr>
      <w:tr>
        <w:trPr>
          <w:trHeight w:val="22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Yue Guo</w:t>
            </w:r>
          </w:p>
        </w:tc>
        <w:tc>
          <w:tcPr>
            <w:tcW w:w="10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628775" cy="342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extLst>
                    </a:blip>
                    <a:srcRect/>
                    <a:stretch>
                      <a:fillRect/>
                    </a:stretch>
                  </pic:blipFill>
                  <pic:spPr bwMode="auto">
                    <a:xfrm>
                      <a:off x="0" y="0"/>
                      <a:ext cx="162877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23,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iPower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8798 9th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Rancho Cucamonga, CA 91730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acted as counsel to iPower Inc., a Nevada corporation (the “Company”), in connection with a Registration Statement on Form S-8 (the “Registration Statement”) filed by the Company with the Securities and Exchange Commission (the “Commission”) under the Securities Act of 1933, as amended (the “Securities Act”), relating to up to 49,372,685 additional shares of its common stock, par value $0.001 per share (the “Shares”), of the Company, that may be issued under the Company’s Third Amended and Restated 2020 Equity Incentive Plan (the “Plan”).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examined such documents and have reviewed such questions of law as we have considered necessary or appropriate for the purposes of our opinions set forth below. In rendering our opinions set forth below, we have assumed the authenticity of all documents submitted to us as originals, the genuineness of all signatures and the conformity to authentic originals of all documents submitted to us as copies. We have also assumed the legal capacity for all purposes relevant hereto of all natural persons. As to questions of fact material to our opinions, we have relied upon certificates or comparable documents of officers and other representatives of the Company and of public officials.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when issued and delivered in accordance with the terms of the Plan, will be validly issued, fully paid and non-assessable.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opinions expressed above are limited to Chapter 78 of the Nevada Revised Statutes.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this consent, we do not admit that we are within the category of persons whose consent is required under Section 7 of the Securities Act or the rules and regulations of the Commission thereunder.</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Dorsey &amp; Whitney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MJP/AWE</w:t>
      </w:r>
    </w:p>
    <w:p>
      <w:pPr>
        <w:sectPr>
          <w:pgSz w:w="11900" w:h="16838" w:orient="portrait"/>
          <w:cols w:equalWidth="0" w:num="1">
            <w:col w:w="11240"/>
          </w:cols>
          <w:pgMar w:left="320" w:top="108"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iPower Inc. (the “Company”) of our report dated October 2, 2026, relating to our audits of the consolidated financial statements of the Company as of June 30, 2026 and 2025, and the related consolidated statements of operations and comprehensive loss, changes in shareholders’ equity, and cash flows for each of the years in the two-year period ended June 30, 2026, and the related notes, included in the Company’s Annual Report on Form 10-K for the year ended June 30, 2026.</w:t>
      </w:r>
    </w:p>
    <w:p>
      <w:pPr>
        <w:spacing w:after="0" w:line="18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HTL International,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23, 2026</w:t>
      </w:r>
    </w:p>
    <w:p>
      <w:pPr>
        <w:sectPr>
          <w:pgSz w:w="11900" w:h="16838" w:orient="portrait"/>
          <w:cols w:equalWidth="0" w:num="1">
            <w:col w:w="11240"/>
          </w:cols>
          <w:pgMar w:left="320" w:top="108"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iPOWER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2020 EQUITY INCENTIVE PLAN</w:t>
      </w:r>
    </w:p>
    <w:p>
      <w:pPr>
        <w:spacing w:after="0" w:line="229"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w:t>
      </w:r>
    </w:p>
    <w:p>
      <w:pPr>
        <w:spacing w:after="0" w:line="238" w:lineRule="exact"/>
        <w:rPr>
          <w:rFonts w:ascii="Times New Roman" w:cs="Times New Roman" w:eastAsia="Times New Roman" w:hAnsi="Times New Roman"/>
          <w:sz w:val="18"/>
          <w:szCs w:val="18"/>
          <w:color w:val="auto"/>
        </w:rPr>
      </w:pPr>
    </w:p>
    <w:p>
      <w:pPr>
        <w:ind w:left="780" w:hanging="124"/>
        <w:spacing w:after="0"/>
        <w:tabs>
          <w:tab w:leader="none" w:pos="780" w:val="left"/>
        </w:tabs>
        <w:numPr>
          <w:ilvl w:val="1"/>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attract and retain the best available personnel for positions of substantial responsibility,</w:t>
      </w:r>
    </w:p>
    <w:p>
      <w:pPr>
        <w:spacing w:after="0" w:line="237" w:lineRule="exact"/>
        <w:rPr>
          <w:rFonts w:ascii="Arial" w:cs="Arial" w:eastAsia="Arial" w:hAnsi="Arial"/>
          <w:sz w:val="18"/>
          <w:szCs w:val="18"/>
          <w:b w:val="1"/>
          <w:bCs w:val="1"/>
          <w:color w:val="auto"/>
        </w:rPr>
      </w:pPr>
    </w:p>
    <w:p>
      <w:pPr>
        <w:ind w:left="780" w:hanging="124"/>
        <w:spacing w:after="0"/>
        <w:tabs>
          <w:tab w:leader="none" w:pos="780" w:val="left"/>
        </w:tabs>
        <w:numPr>
          <w:ilvl w:val="1"/>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provide incentives to individuals who perform services for the Company, and</w:t>
      </w:r>
    </w:p>
    <w:p>
      <w:pPr>
        <w:spacing w:after="0" w:line="237" w:lineRule="exact"/>
        <w:rPr>
          <w:rFonts w:ascii="Arial" w:cs="Arial" w:eastAsia="Arial" w:hAnsi="Arial"/>
          <w:sz w:val="18"/>
          <w:szCs w:val="18"/>
          <w:b w:val="1"/>
          <w:bCs w:val="1"/>
          <w:color w:val="auto"/>
        </w:rPr>
      </w:pPr>
    </w:p>
    <w:p>
      <w:pPr>
        <w:ind w:left="780" w:hanging="124"/>
        <w:spacing w:after="0"/>
        <w:tabs>
          <w:tab w:leader="none" w:pos="780" w:val="left"/>
        </w:tabs>
        <w:numPr>
          <w:ilvl w:val="1"/>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promote the success of the Company’s business.</w:t>
      </w:r>
    </w:p>
    <w:p>
      <w:pPr>
        <w:spacing w:after="0" w:line="22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Plan permits the grant of Incentive Stock Options, Nonstatutory Stock Options, Stock Appreciation Rights, Restricted Stock, Restricted Stock Units, Performance Units, Performance Shares and other stock or cash awards as the Administrator may determine.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Plan amends and restates in its entirety the Company’s Amended and Restated 2020 Equity Incentive Plan.</w:t>
      </w:r>
    </w:p>
    <w:p>
      <w:pPr>
        <w:spacing w:after="0" w:line="225"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of its Committees as will be administering the Plan, in accordance with Section 4 hereof.</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corporation or any other entity (including, but not limited to, partnerships and joint ventures) controlling, controlled by, or under common control with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9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requirements relating to the administration of equity-based awards under U.S. federal and state corporate laws, U.S. federal and state securities laws, the Code, any stock exchange or quotation system on which the Common Stock is listed or quoted and the applicable laws of any foreign country or jurisdiction where Awards are, or will be, granted under the Plans.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Performance Units, Performance Shares and other stock or cash awards as the Administrator may determine.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agreement setting forth the terms and provisions applicable to each Award granted under the Plan. The Award Agreement is subject to the terms and conditions of the Plan.</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 after the Effective Date:</w:t>
      </w:r>
    </w:p>
    <w:p>
      <w:pPr>
        <w:spacing w:after="0" w:line="225" w:lineRule="exact"/>
        <w:rPr>
          <w:rFonts w:ascii="Times New Roman" w:cs="Times New Roman" w:eastAsia="Times New Roman" w:hAnsi="Times New Roman"/>
          <w:sz w:val="18"/>
          <w:szCs w:val="18"/>
          <w:color w:val="auto"/>
        </w:rPr>
      </w:pPr>
    </w:p>
    <w:p>
      <w:pPr>
        <w:ind w:left="1620" w:hanging="316"/>
        <w:spacing w:after="0" w:line="258" w:lineRule="auto"/>
        <w:tabs>
          <w:tab w:leader="none" w:pos="1518"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the Company which occurs on the date that any one person, or more than one person acting as a group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acquires ownership of stock in the Company that, together with the stock already held by such Person, constitutes more than 50% of the total voting power of the stock of the Company; provided, however, that for purposes of this subsection (i), the acquisition of additional stock by any Person who is considered to own more than 50% of the total voting power of the stock of the Company before the acquisition will not be considered a Change in Control; or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jc w:val="both"/>
        <w:ind w:left="1620" w:hanging="316"/>
        <w:spacing w:after="0" w:line="266" w:lineRule="auto"/>
        <w:tabs>
          <w:tab w:leader="none" w:pos="15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who constitute the members of the Board cease, by reason of a financing, merger, combination, acquisition, takeover or other non-ordinary course transaction affecting the Company, to constitute at least fifty-one percent (51%) of the members of the Board; or</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52" w:lineRule="auto"/>
        <w:tabs>
          <w:tab w:leader="none" w:pos="162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of the following events: (A) 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or (B) a merger, consolidation or reorganization involving the Company, where either or both of the events described in clauses (i) or (ii) above would be the result. For purposes of this subsection (iii), the following will not constitute a change in the ownership of a substantial portion of the Company’s assets or a Change in Control: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equity or voting power of which is owned, directly or indirectly, by a Person described in subsection (iii)(B)(3) above. For purposes of this subsection (iii), gross fair market value means the value of the assets of the Company, or the value of the assets being disposed of, determined without regard to any liabilities associated with such assets.</w:t>
      </w:r>
    </w:p>
    <w:p>
      <w:pPr>
        <w:spacing w:after="0" w:line="19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Section 2(g), persons will be considered to be acting as a group if they are owners of a corporation or other entity that enters into a merger, consolidation, purchase or acquisition of stock, or similar business transaction with the Company.</w:t>
      </w:r>
    </w:p>
    <w:p>
      <w:pPr>
        <w:spacing w:after="0" w:line="162" w:lineRule="exact"/>
        <w:rPr>
          <w:sz w:val="20"/>
          <w:szCs w:val="20"/>
          <w:color w:val="auto"/>
        </w:rPr>
      </w:pPr>
    </w:p>
    <w:p>
      <w:pPr>
        <w:ind w:firstLine="656"/>
        <w:spacing w:after="0" w:line="282" w:lineRule="auto"/>
        <w:tabs>
          <w:tab w:leader="none" w:pos="9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Any reference to a section of the Code herein will be a reference to any successor or amended section of the Code.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7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in accordance with Section 4 hereof.</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$0.001 per share, of the Company.</w:t>
      </w:r>
    </w:p>
    <w:p>
      <w:pPr>
        <w:spacing w:after="0" w:line="22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iPower Inc</w:t>
      </w:r>
      <w:r>
        <w:rPr>
          <w:rFonts w:ascii="Times New Roman" w:cs="Times New Roman" w:eastAsia="Times New Roman" w:hAnsi="Times New Roman"/>
          <w:sz w:val="18"/>
          <w:szCs w:val="18"/>
          <w:color w:val="auto"/>
        </w:rPr>
        <w:t>., a Nevada corporation, or any successor thereto.</w:t>
      </w:r>
    </w:p>
    <w:p>
      <w:pPr>
        <w:spacing w:after="0" w:line="229" w:lineRule="exact"/>
        <w:rPr>
          <w:rFonts w:ascii="Times New Roman" w:cs="Times New Roman" w:eastAsia="Times New Roman" w:hAnsi="Times New Roman"/>
          <w:sz w:val="18"/>
          <w:szCs w:val="18"/>
          <w:color w:val="auto"/>
        </w:rPr>
      </w:pPr>
    </w:p>
    <w:p>
      <w:pPr>
        <w:ind w:right="20" w:firstLine="656"/>
        <w:spacing w:after="0" w:line="282" w:lineRule="auto"/>
        <w:tabs>
          <w:tab w:leader="none" w:pos="8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person, including an advisor, other than an Employee engaged by the Company or a Parent, Subsidiary or Affiliate to render services to such entity.</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permanent and total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have the meaning set forth in Section 17 hereof.</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Officers and Directors, other than a Consultant employed by the Company or any Parent, Subsidiary or Affiliate of the Company. Neither service as a Director nor payment of a director’s fee by the Company will be sufficient to constitute “employment” by the Company.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left="900" w:hanging="264"/>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85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means a program under which (i) outstanding Awards are surrendered or cancelled in exchange for Awards of the same type (which may have lower exercise prices and different terms), Awards of a different type, and/or cash, and/or (ii) the exercise price of an outstanding Award is reduced. The Administrator will determine the terms and conditions of any Exchange Program in its sole discretion.</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56" w:lineRule="auto"/>
        <w:tabs>
          <w:tab w:leader="none" w:pos="8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the Common Stock as the Administrator may determine in good faith, by reference to the closing price of such stock on any established stock exchange or on a national market system on the day of determination, if the Common Stock is so listed on any established stock exchange or on a national market system. If the Common Stock is not listed on any established stock exchange or on a national market system, the value of the Common Stock will be determined as the Administrator may determine in good faith using (i) a valuation methodology set forth in Treasury Regulation 1.409A-1(b)(5)(iv)(B) or (ii) with respect to valuations applicable to Awards that are not subject to Code Section 409A, such other valuation methods as the Administrator may select.</w:t>
      </w:r>
    </w:p>
    <w:p>
      <w:pPr>
        <w:spacing w:after="0" w:line="18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Company.</w:t>
      </w:r>
    </w:p>
    <w:p>
      <w:pPr>
        <w:spacing w:after="0" w:line="225" w:lineRule="exact"/>
        <w:rPr>
          <w:rFonts w:ascii="Times New Roman" w:cs="Times New Roman" w:eastAsia="Times New Roman" w:hAnsi="Times New Roman"/>
          <w:sz w:val="18"/>
          <w:szCs w:val="18"/>
          <w:color w:val="auto"/>
        </w:rPr>
      </w:pPr>
    </w:p>
    <w:p>
      <w:pPr>
        <w:ind w:left="-20" w:firstLine="656"/>
        <w:spacing w:after="0" w:line="282" w:lineRule="auto"/>
        <w:tabs>
          <w:tab w:leader="none" w:pos="88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that by its terms qualifies and is otherwise intended to qualify as an incentive stock option within the meaning of Section 422 of the Code and the regulations promulgated thereunder.</w:t>
      </w:r>
    </w:p>
    <w:p>
      <w:pPr>
        <w:spacing w:after="0" w:line="161" w:lineRule="exact"/>
        <w:rPr>
          <w:rFonts w:ascii="Times New Roman" w:cs="Times New Roman" w:eastAsia="Times New Roman" w:hAnsi="Times New Roman"/>
          <w:sz w:val="18"/>
          <w:szCs w:val="18"/>
          <w:color w:val="auto"/>
        </w:rPr>
      </w:pPr>
    </w:p>
    <w:p>
      <w:pPr>
        <w:ind w:left="-20" w:firstLine="656"/>
        <w:spacing w:after="0" w:line="282" w:lineRule="auto"/>
        <w:tabs>
          <w:tab w:leader="none" w:pos="88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means an Option that by its terms does not qualify or expressly provides that it is not intended to qualify as an Incentive Stock Option.</w:t>
      </w:r>
    </w:p>
    <w:p>
      <w:pPr>
        <w:spacing w:after="0" w:line="161" w:lineRule="exact"/>
        <w:rPr>
          <w:rFonts w:ascii="Times New Roman" w:cs="Times New Roman" w:eastAsia="Times New Roman" w:hAnsi="Times New Roman"/>
          <w:sz w:val="18"/>
          <w:szCs w:val="18"/>
          <w:color w:val="auto"/>
        </w:rPr>
      </w:pPr>
    </w:p>
    <w:p>
      <w:pPr>
        <w:ind w:left="-20" w:firstLine="656"/>
        <w:spacing w:after="0" w:line="282" w:lineRule="auto"/>
        <w:tabs>
          <w:tab w:leader="none" w:pos="95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61" w:lineRule="exact"/>
        <w:rPr>
          <w:rFonts w:ascii="Times New Roman" w:cs="Times New Roman" w:eastAsia="Times New Roman" w:hAnsi="Times New Roman"/>
          <w:sz w:val="18"/>
          <w:szCs w:val="18"/>
          <w:color w:val="auto"/>
        </w:rPr>
      </w:pPr>
    </w:p>
    <w:p>
      <w:pPr>
        <w:ind w:left="900" w:hanging="264"/>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stock option granted pursuant to Section 6 hereof.</w:t>
      </w:r>
    </w:p>
    <w:p>
      <w:pPr>
        <w:spacing w:after="0" w:line="225" w:lineRule="exact"/>
        <w:rPr>
          <w:rFonts w:ascii="Times New Roman" w:cs="Times New Roman" w:eastAsia="Times New Roman" w:hAnsi="Times New Roman"/>
          <w:sz w:val="18"/>
          <w:szCs w:val="18"/>
          <w:color w:val="auto"/>
        </w:rPr>
      </w:pPr>
    </w:p>
    <w:p>
      <w:pPr>
        <w:ind w:left="900" w:hanging="264"/>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Section 424(e) of the Code.</w:t>
      </w:r>
    </w:p>
    <w:p>
      <w:pPr>
        <w:spacing w:after="0" w:line="225" w:lineRule="exact"/>
        <w:rPr>
          <w:rFonts w:ascii="Times New Roman" w:cs="Times New Roman" w:eastAsia="Times New Roman" w:hAnsi="Times New Roman"/>
          <w:sz w:val="18"/>
          <w:szCs w:val="18"/>
          <w:color w:val="auto"/>
        </w:rPr>
      </w:pPr>
    </w:p>
    <w:p>
      <w:pPr>
        <w:ind w:left="880" w:hanging="244"/>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the holder of an outstanding Award.</w:t>
      </w:r>
    </w:p>
    <w:p>
      <w:pPr>
        <w:spacing w:after="0" w:line="225" w:lineRule="exact"/>
        <w:rPr>
          <w:sz w:val="20"/>
          <w:szCs w:val="20"/>
          <w:color w:val="auto"/>
        </w:rPr>
      </w:pPr>
    </w:p>
    <w:p>
      <w:pPr>
        <w:ind w:left="960" w:hanging="3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will have the meaning set forth in Section 11 hereof.</w:t>
      </w:r>
    </w:p>
    <w:p>
      <w:pPr>
        <w:spacing w:after="0" w:line="225" w:lineRule="exact"/>
        <w:rPr>
          <w:rFonts w:ascii="Times New Roman" w:cs="Times New Roman" w:eastAsia="Times New Roman" w:hAnsi="Times New Roman"/>
          <w:sz w:val="18"/>
          <w:szCs w:val="18"/>
          <w:color w:val="auto"/>
        </w:rPr>
      </w:pPr>
    </w:p>
    <w:p>
      <w:pPr>
        <w:ind w:left="980" w:hanging="34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any Fiscal Year of the Company or such other period as determined by the Administrator in its sole discretion.</w:t>
      </w:r>
    </w:p>
    <w:p>
      <w:pPr>
        <w:spacing w:after="0" w:line="225" w:lineRule="exact"/>
        <w:rPr>
          <w:rFonts w:ascii="Times New Roman" w:cs="Times New Roman" w:eastAsia="Times New Roman" w:hAnsi="Times New Roman"/>
          <w:sz w:val="18"/>
          <w:szCs w:val="18"/>
          <w:color w:val="auto"/>
        </w:rPr>
      </w:pPr>
    </w:p>
    <w:p>
      <w:pPr>
        <w:ind w:left="-20" w:firstLine="656"/>
        <w:spacing w:after="0" w:line="282" w:lineRule="auto"/>
        <w:tabs>
          <w:tab w:leader="none" w:pos="95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means an Award denominated in Shares which may be earned in whole or in part upon attainment of Performance Goals or other vesting criteria as the Administrator may determine pursuant to Section 10 hereof.</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97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 hereof.</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9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 of Restriction</w:t>
      </w:r>
      <w:r>
        <w:rPr>
          <w:rFonts w:ascii="Times New Roman" w:cs="Times New Roman" w:eastAsia="Times New Roman" w:hAnsi="Times New Roman"/>
          <w:sz w:val="18"/>
          <w:szCs w:val="18"/>
          <w:color w:val="auto"/>
        </w:rPr>
        <w:t>” means the period during which transfers of Shares of Restricted Stock are subject to restrictions and, therefore, the Shares are subject to a substantial risk of forfeiture. Such restrictions may be based on the passage of time, the achievement of target levels of performance, or the occurrence of other events specified in the applicable Award, as interpreted and construed by the Administrator.</w:t>
      </w:r>
    </w:p>
    <w:p>
      <w:pPr>
        <w:spacing w:after="0" w:line="175" w:lineRule="exact"/>
        <w:rPr>
          <w:rFonts w:ascii="Times New Roman" w:cs="Times New Roman" w:eastAsia="Times New Roman" w:hAnsi="Times New Roman"/>
          <w:sz w:val="18"/>
          <w:szCs w:val="18"/>
          <w:color w:val="auto"/>
        </w:rPr>
      </w:pPr>
    </w:p>
    <w:p>
      <w:pPr>
        <w:ind w:left="920" w:hanging="284"/>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Second Amended and Restated iPower Inc. 2020 Equity Incentive Plan.</w:t>
      </w:r>
    </w:p>
    <w:p>
      <w:pPr>
        <w:spacing w:after="0" w:line="225" w:lineRule="exact"/>
        <w:rPr>
          <w:rFonts w:ascii="Times New Roman" w:cs="Times New Roman" w:eastAsia="Times New Roman" w:hAnsi="Times New Roman"/>
          <w:sz w:val="18"/>
          <w:szCs w:val="18"/>
          <w:color w:val="auto"/>
        </w:rPr>
      </w:pPr>
    </w:p>
    <w:p>
      <w:pPr>
        <w:ind w:left="-20" w:firstLine="656"/>
        <w:spacing w:after="0" w:line="282" w:lineRule="auto"/>
        <w:tabs>
          <w:tab w:leader="none" w:pos="98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issued pursuant to an Award of Restricted Stock under Section 8 hereof, or issued pursuant to the early exercise of an Option.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10" w:name="page11"/>
    <w:bookmarkEnd w:id="10"/>
    <w:p>
      <w:pPr>
        <w:ind w:left="-8" w:right="20" w:firstLine="656"/>
        <w:spacing w:after="0" w:line="282" w:lineRule="auto"/>
        <w:tabs>
          <w:tab w:leader="none" w:pos="98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9 hereof. Each Restricted Stock Unit represents an unfunded and unsecured obligation of the Company.</w:t>
      </w:r>
    </w:p>
    <w:p>
      <w:pPr>
        <w:spacing w:after="0" w:line="161" w:lineRule="exact"/>
        <w:rPr>
          <w:rFonts w:ascii="Times New Roman" w:cs="Times New Roman" w:eastAsia="Times New Roman" w:hAnsi="Times New Roman"/>
          <w:sz w:val="18"/>
          <w:szCs w:val="18"/>
          <w:color w:val="auto"/>
        </w:rPr>
      </w:pPr>
    </w:p>
    <w:p>
      <w:pPr>
        <w:ind w:left="-8" w:firstLine="656"/>
        <w:spacing w:after="0" w:line="282" w:lineRule="auto"/>
        <w:tabs>
          <w:tab w:leader="none" w:pos="91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Plan.</w:t>
      </w:r>
    </w:p>
    <w:p>
      <w:pPr>
        <w:spacing w:after="0" w:line="161"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means Section 16(b) of the Exchange Act.</w:t>
      </w:r>
    </w:p>
    <w:p>
      <w:pPr>
        <w:spacing w:after="0" w:line="225" w:lineRule="exact"/>
        <w:rPr>
          <w:rFonts w:ascii="Times New Roman" w:cs="Times New Roman" w:eastAsia="Times New Roman" w:hAnsi="Times New Roman"/>
          <w:sz w:val="18"/>
          <w:szCs w:val="18"/>
          <w:color w:val="auto"/>
        </w:rPr>
      </w:pPr>
    </w:p>
    <w:p>
      <w:pPr>
        <w:ind w:left="992" w:hanging="344"/>
        <w:spacing w:after="0"/>
        <w:tabs>
          <w:tab w:leader="none" w:pos="9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means an Employee, Director, or Consultant.</w:t>
      </w:r>
    </w:p>
    <w:p>
      <w:pPr>
        <w:spacing w:after="0" w:line="225"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Common Stock, as adjusted in accordance with Section 14 hereof.</w:t>
      </w:r>
    </w:p>
    <w:p>
      <w:pPr>
        <w:spacing w:after="0" w:line="225" w:lineRule="exact"/>
        <w:rPr>
          <w:rFonts w:ascii="Times New Roman" w:cs="Times New Roman" w:eastAsia="Times New Roman" w:hAnsi="Times New Roman"/>
          <w:sz w:val="18"/>
          <w:szCs w:val="18"/>
          <w:color w:val="auto"/>
        </w:rPr>
      </w:pPr>
    </w:p>
    <w:p>
      <w:pPr>
        <w:ind w:left="-8" w:firstLine="656"/>
        <w:spacing w:after="0" w:line="282" w:lineRule="auto"/>
        <w:tabs>
          <w:tab w:leader="none" w:pos="108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means an Award, granted alone or in connection with an Option, that pursuant to Section 7 is designated as a Stock Appreciation Right.</w:t>
      </w:r>
    </w:p>
    <w:p>
      <w:pPr>
        <w:spacing w:after="0" w:line="161" w:lineRule="exact"/>
        <w:rPr>
          <w:rFonts w:ascii="Times New Roman" w:cs="Times New Roman" w:eastAsia="Times New Roman" w:hAnsi="Times New Roman"/>
          <w:sz w:val="18"/>
          <w:szCs w:val="18"/>
          <w:color w:val="auto"/>
        </w:rPr>
      </w:pPr>
    </w:p>
    <w:p>
      <w:pPr>
        <w:ind w:left="992" w:hanging="344"/>
        <w:spacing w:after="0"/>
        <w:tabs>
          <w:tab w:leader="none" w:pos="9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Section 424(f) of the Code.</w:t>
      </w:r>
    </w:p>
    <w:p>
      <w:pPr>
        <w:spacing w:after="0" w:line="225"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 w:firstLine="656"/>
        <w:spacing w:after="0" w:line="282" w:lineRule="auto"/>
        <w:tabs>
          <w:tab w:leader="none" w:pos="90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14 hereof, the maximum aggregate number of Shares that may be awarded and sold under the Plan is FIFTY MILLION (50,000,000) Shares. The Shares may be authorized, but unissued, or reacquired Common Stock.</w:t>
      </w:r>
    </w:p>
    <w:p>
      <w:pPr>
        <w:spacing w:after="0" w:line="161" w:lineRule="exact"/>
        <w:rPr>
          <w:rFonts w:ascii="Times New Roman" w:cs="Times New Roman" w:eastAsia="Times New Roman" w:hAnsi="Times New Roman"/>
          <w:sz w:val="18"/>
          <w:szCs w:val="18"/>
          <w:color w:val="auto"/>
        </w:rPr>
      </w:pPr>
    </w:p>
    <w:p>
      <w:pPr>
        <w:jc w:val="both"/>
        <w:ind w:left="-8" w:firstLine="656"/>
        <w:spacing w:after="0" w:line="252" w:lineRule="auto"/>
        <w:tabs>
          <w:tab w:leader="none" w:pos="90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Lapsed Awards</w:t>
      </w:r>
      <w:r>
        <w:rPr>
          <w:rFonts w:ascii="Times New Roman" w:cs="Times New Roman" w:eastAsia="Times New Roman" w:hAnsi="Times New Roman"/>
          <w:sz w:val="18"/>
          <w:szCs w:val="18"/>
          <w:color w:val="auto"/>
        </w:rPr>
        <w:t>. If an Award expires or becomes unexercisable without having been exercised in full, or, with respect to Restricted Stock, Restricted Stock Units, Performance Shares or Performance Units, is forfeited to or repurchased by the Company, the unpurchased Shares (or for Awards other than Options and Stock Appreciation Rights, the forfeited or repurchased Shares) which were subject thereto will become available for future grant or sale under the Plan (unless the Plan has terminated). Upon exercise of a Stock Appreciation Right settled in Shares, the gross number of Shares covered by the portion of the Award so settled will cease to be available under the Plan. Shares that have actually been issued under the Plan under any Award will not be returned to the Plan and will not become available for future distribution under the Plan; provided, however, that if unvested Shares of Restricted Stock, Restricted Stock Units, Performance Shares or Performance Units are repurchased by the Company or are forfeited to the Company, such Shares will become available for future grant under the Plan. Shares subject to an Award that are transferred to or retained by the Company to pay the tax and/or exercise price of an Award will become available for future grant or sale under the Plan. To the extent an Award under the Plan is paid out in cash rather than Shares, such cash payment will not result in reducing the number of Shares available for issuance under the Plan and, for the elimination of doubt, the number of Shares of equal value to such cash payment shall become available for future grant or sale under the Plan. Notwithstanding the foregoing provisions of this Section 3(b), subject to adjustment provided in Section 14 hereof, the maximum number of Shares that may be issued upon the exercise of Incentive Stock Options will equal the aggregate Share number stated in Section 3(a) above, plus, to the extent allowable under Section 422 of the Code, any Shares that become available for issuance under the Plan under this Section 3(b).</w:t>
      </w:r>
    </w:p>
    <w:p>
      <w:pPr>
        <w:spacing w:after="0" w:line="197" w:lineRule="exact"/>
        <w:rPr>
          <w:rFonts w:ascii="Times New Roman" w:cs="Times New Roman" w:eastAsia="Times New Roman" w:hAnsi="Times New Roman"/>
          <w:sz w:val="18"/>
          <w:szCs w:val="18"/>
          <w:color w:val="auto"/>
        </w:rPr>
      </w:pPr>
    </w:p>
    <w:p>
      <w:pPr>
        <w:ind w:left="-8" w:right="20" w:firstLine="656"/>
        <w:spacing w:after="0" w:line="282" w:lineRule="auto"/>
        <w:tabs>
          <w:tab w:leader="none" w:pos="89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The Company, during the term of this Plan, will at all times reserve and keep available such number of Shares as will be sufficient to satisfy the requirements of the Plan.</w:t>
      </w:r>
    </w:p>
    <w:p>
      <w:pPr>
        <w:spacing w:after="0" w:line="161" w:lineRule="exact"/>
        <w:rPr>
          <w:rFonts w:ascii="Times New Roman" w:cs="Times New Roman" w:eastAsia="Times New Roman" w:hAnsi="Times New Roman"/>
          <w:sz w:val="18"/>
          <w:szCs w:val="18"/>
          <w:color w:val="auto"/>
        </w:rPr>
      </w:pPr>
    </w:p>
    <w:p>
      <w:pPr>
        <w:jc w:val="both"/>
        <w:ind w:left="-8" w:firstLine="656"/>
        <w:spacing w:after="0" w:line="254" w:lineRule="auto"/>
        <w:tabs>
          <w:tab w:leader="none" w:pos="8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Evergreen Provision</w:t>
      </w:r>
      <w:r>
        <w:rPr>
          <w:rFonts w:ascii="Times New Roman" w:cs="Times New Roman" w:eastAsia="Times New Roman" w:hAnsi="Times New Roman"/>
          <w:sz w:val="18"/>
          <w:szCs w:val="18"/>
          <w:color w:val="auto"/>
        </w:rPr>
        <w:t>. In addition to subpart (a) above, the number of shares of Common Stock in the Share Reserve and available for issuance under the Plan shall automatically increase on January 1st of each year for a period of ten years commencing on January 1, 2027 and ending on (and including) January 1, 2037, in an amount equal to five percent (5%) of the total number of shares of Common Stock outstanding on December 31st of the preceding calendar year. Notwithstanding the foregoing, the Board may act prior to the first day of any calendar year, to provide that there shall be no increase in the Share Reserve for such calendar year or that the increase in the Share Reserve for such calendar year shall be a lesser number of shares of Common Stock than would otherwise occur pursuant to the preceding sentence. For clarity, the Share Reserve in this Section 3(d) is a limitation on the number of shares of Common Stock that may be issued pursuant to the Plan. Accordingly, this Section 3(d) does not limit the granting of Stock Awards outside of the Plan.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11" w:name="page12"/>
    <w:bookmarkEnd w:id="11"/>
    <w:p>
      <w:pPr>
        <w:ind w:left="172" w:hanging="172"/>
        <w:spacing w:after="0"/>
        <w:tabs>
          <w:tab w:leader="none" w:pos="17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92" w:hanging="244"/>
        <w:spacing w:after="0"/>
        <w:tabs>
          <w:tab w:leader="none" w:pos="89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12" w:hanging="316"/>
        <w:spacing w:after="0" w:line="266" w:lineRule="auto"/>
        <w:tabs>
          <w:tab w:leader="none" w:pos="1503"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Administrative Bodies</w:t>
      </w:r>
      <w:r>
        <w:rPr>
          <w:rFonts w:ascii="Times New Roman" w:cs="Times New Roman" w:eastAsia="Times New Roman" w:hAnsi="Times New Roman"/>
          <w:sz w:val="18"/>
          <w:szCs w:val="18"/>
          <w:color w:val="auto"/>
        </w:rPr>
        <w:t>. Different Committees may be established with respect to different groups of Service Providers; in that event, the Committee established with respect to a group of Service Providers shall administer the Plan with respect to Awards granted to members of such group.</w:t>
      </w:r>
    </w:p>
    <w:p>
      <w:pPr>
        <w:spacing w:after="0" w:line="175" w:lineRule="exact"/>
        <w:rPr>
          <w:rFonts w:ascii="Times New Roman" w:cs="Times New Roman" w:eastAsia="Times New Roman" w:hAnsi="Times New Roman"/>
          <w:sz w:val="18"/>
          <w:szCs w:val="18"/>
          <w:color w:val="auto"/>
        </w:rPr>
      </w:pPr>
    </w:p>
    <w:p>
      <w:pPr>
        <w:ind w:left="1612" w:hanging="316"/>
        <w:spacing w:after="0" w:line="282" w:lineRule="auto"/>
        <w:tabs>
          <w:tab w:leader="none" w:pos="1566"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61" w:lineRule="exact"/>
        <w:rPr>
          <w:rFonts w:ascii="Times New Roman" w:cs="Times New Roman" w:eastAsia="Times New Roman" w:hAnsi="Times New Roman"/>
          <w:sz w:val="18"/>
          <w:szCs w:val="18"/>
          <w:color w:val="auto"/>
        </w:rPr>
      </w:pPr>
    </w:p>
    <w:p>
      <w:pPr>
        <w:ind w:left="1612" w:hanging="316"/>
        <w:spacing w:after="0" w:line="282" w:lineRule="auto"/>
        <w:tabs>
          <w:tab w:leader="none" w:pos="1616"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 committee will be constituted to satisfy Applicable Laws.</w:t>
      </w:r>
    </w:p>
    <w:p>
      <w:pPr>
        <w:spacing w:after="0" w:line="161" w:lineRule="exact"/>
        <w:rPr>
          <w:rFonts w:ascii="Times New Roman" w:cs="Times New Roman" w:eastAsia="Times New Roman" w:hAnsi="Times New Roman"/>
          <w:sz w:val="18"/>
          <w:szCs w:val="18"/>
          <w:color w:val="auto"/>
        </w:rPr>
      </w:pPr>
    </w:p>
    <w:p>
      <w:pPr>
        <w:ind w:left="-8" w:firstLine="656"/>
        <w:spacing w:after="0" w:line="282" w:lineRule="auto"/>
        <w:tabs>
          <w:tab w:leader="none" w:pos="8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61" w:lineRule="exact"/>
        <w:rPr>
          <w:rFonts w:ascii="Times New Roman" w:cs="Times New Roman" w:eastAsia="Times New Roman" w:hAnsi="Times New Roman"/>
          <w:sz w:val="18"/>
          <w:szCs w:val="18"/>
          <w:color w:val="auto"/>
        </w:rPr>
      </w:pPr>
    </w:p>
    <w:p>
      <w:pPr>
        <w:ind w:left="1512" w:hanging="216"/>
        <w:spacing w:after="0"/>
        <w:tabs>
          <w:tab w:leader="none" w:pos="1512"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Fair Market Value;</w:t>
      </w:r>
    </w:p>
    <w:p>
      <w:pPr>
        <w:spacing w:after="0" w:line="225" w:lineRule="exact"/>
        <w:rPr>
          <w:rFonts w:ascii="Times New Roman" w:cs="Times New Roman" w:eastAsia="Times New Roman" w:hAnsi="Times New Roman"/>
          <w:sz w:val="18"/>
          <w:szCs w:val="18"/>
          <w:color w:val="auto"/>
        </w:rPr>
      </w:pPr>
    </w:p>
    <w:p>
      <w:pPr>
        <w:ind w:left="1552" w:hanging="256"/>
        <w:spacing w:after="0"/>
        <w:tabs>
          <w:tab w:leader="none" w:pos="1552"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Service Providers to whom Awards may be granted hereunder;</w:t>
      </w:r>
    </w:p>
    <w:p>
      <w:pPr>
        <w:spacing w:after="0" w:line="225" w:lineRule="exact"/>
        <w:rPr>
          <w:rFonts w:ascii="Times New Roman" w:cs="Times New Roman" w:eastAsia="Times New Roman" w:hAnsi="Times New Roman"/>
          <w:sz w:val="18"/>
          <w:szCs w:val="18"/>
          <w:color w:val="auto"/>
        </w:rPr>
      </w:pPr>
    </w:p>
    <w:p>
      <w:pPr>
        <w:ind w:left="1612" w:hanging="316"/>
        <w:spacing w:after="0"/>
        <w:tabs>
          <w:tab w:leader="none" w:pos="1612"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 not inconsistent with the terms of the Plan, of any Award granted hereunder;</w:t>
      </w:r>
    </w:p>
    <w:p>
      <w:pPr>
        <w:spacing w:after="0" w:line="225" w:lineRule="exact"/>
        <w:rPr>
          <w:rFonts w:ascii="Times New Roman" w:cs="Times New Roman" w:eastAsia="Times New Roman" w:hAnsi="Times New Roman"/>
          <w:sz w:val="18"/>
          <w:szCs w:val="18"/>
          <w:color w:val="auto"/>
        </w:rPr>
      </w:pPr>
    </w:p>
    <w:p>
      <w:pPr>
        <w:jc w:val="both"/>
        <w:ind w:left="1612" w:right="20" w:hanging="316"/>
        <w:spacing w:after="0" w:line="276" w:lineRule="auto"/>
        <w:tabs>
          <w:tab w:leader="none" w:pos="1602" w:val="left"/>
        </w:tabs>
        <w:numPr>
          <w:ilvl w:val="2"/>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institute an Exchange Program and to determine the terms and conditions, not inconsistent with the terms of the Plan, for (1) the surrender or cancellation of outstanding Awards in exchange for Awards of the same type, Awards of a different type, and/or cash, or</w:t>
      </w:r>
    </w:p>
    <w:p>
      <w:pPr>
        <w:ind w:left="1872" w:hanging="252"/>
        <w:spacing w:after="0"/>
        <w:tabs>
          <w:tab w:leader="none" w:pos="1872" w:val="left"/>
        </w:tabs>
        <w:numPr>
          <w:ilvl w:val="3"/>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the exercise price of outstanding Awards;</w:t>
      </w:r>
    </w:p>
    <w:p>
      <w:pPr>
        <w:spacing w:after="0" w:line="206" w:lineRule="exact"/>
        <w:rPr>
          <w:rFonts w:ascii="Times New Roman" w:cs="Times New Roman" w:eastAsia="Times New Roman" w:hAnsi="Times New Roman"/>
          <w:sz w:val="18"/>
          <w:szCs w:val="18"/>
          <w:color w:val="auto"/>
        </w:rPr>
      </w:pPr>
    </w:p>
    <w:p>
      <w:pPr>
        <w:ind w:left="1552" w:hanging="256"/>
        <w:spacing w:after="0"/>
        <w:tabs>
          <w:tab w:leader="none" w:pos="1552"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granted pursuant to the Plan;</w:t>
      </w:r>
    </w:p>
    <w:p>
      <w:pPr>
        <w:spacing w:after="0" w:line="225" w:lineRule="exact"/>
        <w:rPr>
          <w:rFonts w:ascii="Times New Roman" w:cs="Times New Roman" w:eastAsia="Times New Roman" w:hAnsi="Times New Roman"/>
          <w:sz w:val="18"/>
          <w:szCs w:val="18"/>
          <w:color w:val="auto"/>
        </w:rPr>
      </w:pPr>
    </w:p>
    <w:p>
      <w:pPr>
        <w:ind w:left="1612" w:hanging="316"/>
        <w:spacing w:after="0" w:line="282" w:lineRule="auto"/>
        <w:tabs>
          <w:tab w:leader="none" w:pos="1623"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Plan, including rules and regulations relating to sub-plans established for the purpose of satisfying applicable foreign laws;</w:t>
      </w:r>
    </w:p>
    <w:p>
      <w:pPr>
        <w:spacing w:after="0" w:line="161" w:lineRule="exact"/>
        <w:rPr>
          <w:rFonts w:ascii="Times New Roman" w:cs="Times New Roman" w:eastAsia="Times New Roman" w:hAnsi="Times New Roman"/>
          <w:sz w:val="18"/>
          <w:szCs w:val="18"/>
          <w:color w:val="auto"/>
        </w:rPr>
      </w:pPr>
    </w:p>
    <w:p>
      <w:pPr>
        <w:ind w:left="1652" w:hanging="356"/>
        <w:spacing w:after="0"/>
        <w:tabs>
          <w:tab w:leader="none" w:pos="1652"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or amend each Award (subject to Section 19(c) hereof);</w:t>
      </w:r>
    </w:p>
    <w:p>
      <w:pPr>
        <w:spacing w:after="0" w:line="225" w:lineRule="exact"/>
        <w:rPr>
          <w:rFonts w:ascii="Times New Roman" w:cs="Times New Roman" w:eastAsia="Times New Roman" w:hAnsi="Times New Roman"/>
          <w:sz w:val="18"/>
          <w:szCs w:val="18"/>
          <w:color w:val="auto"/>
        </w:rPr>
      </w:pPr>
    </w:p>
    <w:p>
      <w:pPr>
        <w:ind w:left="1612" w:hanging="316"/>
        <w:spacing w:after="0" w:line="282" w:lineRule="auto"/>
        <w:tabs>
          <w:tab w:leader="none" w:pos="1696"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reflect or implement the grant of an Award previously granted by the Administrator;</w:t>
      </w:r>
    </w:p>
    <w:p>
      <w:pPr>
        <w:spacing w:after="0" w:line="161" w:lineRule="exact"/>
        <w:rPr>
          <w:rFonts w:ascii="Times New Roman" w:cs="Times New Roman" w:eastAsia="Times New Roman" w:hAnsi="Times New Roman"/>
          <w:sz w:val="18"/>
          <w:szCs w:val="18"/>
          <w:color w:val="auto"/>
        </w:rPr>
      </w:pPr>
    </w:p>
    <w:p>
      <w:pPr>
        <w:jc w:val="both"/>
        <w:ind w:left="1612" w:hanging="316"/>
        <w:spacing w:after="0" w:line="266" w:lineRule="auto"/>
        <w:tabs>
          <w:tab w:leader="none" w:pos="1615"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 Participant to defer the receipt of the payment of cash or the delivery of Shares that would otherwise be due to such Participant under an Award pursuant to such procedures as the Administrator may determine consistent with the requirements for compliance with or exemption from the provisions of Code Section 409A; and</w:t>
      </w:r>
    </w:p>
    <w:p>
      <w:pPr>
        <w:spacing w:after="0" w:line="175" w:lineRule="exact"/>
        <w:rPr>
          <w:rFonts w:ascii="Times New Roman" w:cs="Times New Roman" w:eastAsia="Times New Roman" w:hAnsi="Times New Roman"/>
          <w:sz w:val="18"/>
          <w:szCs w:val="18"/>
          <w:color w:val="auto"/>
        </w:rPr>
      </w:pPr>
    </w:p>
    <w:p>
      <w:pPr>
        <w:ind w:left="1552" w:hanging="256"/>
        <w:spacing w:after="0"/>
        <w:tabs>
          <w:tab w:leader="none" w:pos="1552"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the Plan.</w:t>
      </w:r>
    </w:p>
    <w:p>
      <w:pPr>
        <w:spacing w:after="0" w:line="225" w:lineRule="exact"/>
        <w:rPr>
          <w:rFonts w:ascii="Times New Roman" w:cs="Times New Roman" w:eastAsia="Times New Roman" w:hAnsi="Times New Roman"/>
          <w:sz w:val="18"/>
          <w:szCs w:val="18"/>
          <w:color w:val="auto"/>
        </w:rPr>
      </w:pPr>
    </w:p>
    <w:p>
      <w:pPr>
        <w:ind w:left="-8" w:firstLine="656"/>
        <w:spacing w:after="0" w:line="282" w:lineRule="auto"/>
        <w:tabs>
          <w:tab w:leader="none" w:pos="92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Administrator’s Decision</w:t>
      </w:r>
      <w:r>
        <w:rPr>
          <w:rFonts w:ascii="Times New Roman" w:cs="Times New Roman" w:eastAsia="Times New Roman" w:hAnsi="Times New Roman"/>
          <w:sz w:val="18"/>
          <w:szCs w:val="18"/>
          <w:color w:val="auto"/>
        </w:rPr>
        <w:t>. The Administrator’s decisions, determinations, and interpretations will be final and binding on all Participants and any other holders of Awards.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12" w:name="page13"/>
    <w:bookmarkEnd w:id="12"/>
    <w:p>
      <w:pPr>
        <w:jc w:val="both"/>
        <w:ind w:left="-8" w:firstLine="8"/>
        <w:spacing w:after="0" w:line="266" w:lineRule="auto"/>
        <w:tabs>
          <w:tab w:leader="none" w:pos="1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Nonstatutory Stock Options, Restricted Stock, Restricted Stock Units, Stock Appreciation Rights, Performance Units, Performance Shares, and such other cash or stock awards as the Administrator determines may be granted to Service Providers. Incentive Stock Options may be granted only to Employees.</w:t>
      </w:r>
    </w:p>
    <w:p>
      <w:pPr>
        <w:spacing w:after="0" w:line="175"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92" w:hanging="244"/>
        <w:spacing w:after="0"/>
        <w:tabs>
          <w:tab w:leader="none" w:pos="89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12" w:hanging="316"/>
        <w:spacing w:after="0" w:line="256" w:lineRule="auto"/>
        <w:tabs>
          <w:tab w:leader="none" w:pos="1539"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$100,000 (U.S.),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87" w:lineRule="exact"/>
        <w:rPr>
          <w:rFonts w:ascii="Times New Roman" w:cs="Times New Roman" w:eastAsia="Times New Roman" w:hAnsi="Times New Roman"/>
          <w:sz w:val="18"/>
          <w:szCs w:val="18"/>
          <w:color w:val="auto"/>
        </w:rPr>
      </w:pPr>
    </w:p>
    <w:p>
      <w:pPr>
        <w:ind w:left="1612" w:right="20" w:hanging="316"/>
        <w:spacing w:after="0" w:line="282" w:lineRule="auto"/>
        <w:tabs>
          <w:tab w:leader="none" w:pos="1555"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limits set forth in Section 3, the Administrator will have complete discretion to determine the number of Shares subject to an Option granted to any Participant.</w:t>
      </w:r>
    </w:p>
    <w:p>
      <w:pPr>
        <w:spacing w:after="0" w:line="161" w:lineRule="exact"/>
        <w:rPr>
          <w:rFonts w:ascii="Times New Roman" w:cs="Times New Roman" w:eastAsia="Times New Roman" w:hAnsi="Times New Roman"/>
          <w:sz w:val="18"/>
          <w:szCs w:val="18"/>
          <w:color w:val="auto"/>
        </w:rPr>
      </w:pPr>
    </w:p>
    <w:p>
      <w:pPr>
        <w:jc w:val="both"/>
        <w:ind w:left="-8" w:firstLine="656"/>
        <w:spacing w:after="0" w:line="258" w:lineRule="auto"/>
        <w:tabs>
          <w:tab w:leader="none" w:pos="89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The Administrator will determine the term of each Option in its sole discretion; provided, however, that the term will be no more than ten (10) years from the date of grant thereof in the case of Incentive Stock Options Moreover, in the case of an Incentive Stock Option granted to a Participant who, at the time the Incentive Stock Option is granted, owns stock representing more than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83" w:lineRule="exact"/>
        <w:rPr>
          <w:rFonts w:ascii="Times New Roman" w:cs="Times New Roman" w:eastAsia="Times New Roman" w:hAnsi="Times New Roman"/>
          <w:sz w:val="18"/>
          <w:szCs w:val="18"/>
          <w:color w:val="auto"/>
        </w:rPr>
      </w:pPr>
    </w:p>
    <w:p>
      <w:pPr>
        <w:ind w:left="892" w:hanging="244"/>
        <w:spacing w:after="0"/>
        <w:tabs>
          <w:tab w:leader="none" w:pos="89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Exercise Price and Consideration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12" w:hanging="316"/>
        <w:spacing w:after="0" w:line="254" w:lineRule="auto"/>
        <w:tabs>
          <w:tab w:leader="none" w:pos="1503"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per share exercise price for the Shares to be issued pursuant to exercise of an Option will be determined by the Administrator, but will be no less than 100% of the Fair Market Value per Share on the date of grant. In addition, in the case of an Incentive Stock Option granted to an Employee who, at the time the Incentive Stock Option is granted, owns stock representing more than 10% of the voting power of all classes of stock of the Company or any Parent or Subsidiary, the per Share exercise price will be no less than 110% of the Fair Market Value per Share on the date of grant. Notwithstanding the foregoing provisions of this Section 6(c), Options may be granted with a per Share exercise price of less than 100% of the Fair Market Value per Share on the date of grant pursuant to the issuance or assumption of an Option in a transaction to which Section 424(a) of the Code applies in a manner consistent with said Section 424(a).</w:t>
      </w:r>
    </w:p>
    <w:p>
      <w:pPr>
        <w:spacing w:after="0" w:line="191" w:lineRule="exact"/>
        <w:rPr>
          <w:rFonts w:ascii="Times New Roman" w:cs="Times New Roman" w:eastAsia="Times New Roman" w:hAnsi="Times New Roman"/>
          <w:sz w:val="18"/>
          <w:szCs w:val="18"/>
          <w:color w:val="auto"/>
        </w:rPr>
      </w:pPr>
    </w:p>
    <w:p>
      <w:pPr>
        <w:ind w:left="1612" w:hanging="316"/>
        <w:spacing w:after="0" w:line="282" w:lineRule="auto"/>
        <w:tabs>
          <w:tab w:leader="none" w:pos="1553"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61" w:lineRule="exact"/>
        <w:rPr>
          <w:rFonts w:ascii="Times New Roman" w:cs="Times New Roman" w:eastAsia="Times New Roman" w:hAnsi="Times New Roman"/>
          <w:sz w:val="18"/>
          <w:szCs w:val="18"/>
          <w:color w:val="auto"/>
        </w:rPr>
      </w:pPr>
    </w:p>
    <w:p>
      <w:pPr>
        <w:jc w:val="both"/>
        <w:ind w:left="1612" w:right="20" w:hanging="316"/>
        <w:spacing w:after="0" w:line="266" w:lineRule="auto"/>
        <w:tabs>
          <w:tab w:leader="none" w:pos="1603"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Consideration</w:t>
      </w:r>
      <w:r>
        <w:rPr>
          <w:rFonts w:ascii="Times New Roman" w:cs="Times New Roman" w:eastAsia="Times New Roman" w:hAnsi="Times New Roman"/>
          <w:sz w:val="18"/>
          <w:szCs w:val="18"/>
          <w:color w:val="auto"/>
        </w:rPr>
        <w:t>. The Administrator will determine the acceptable form(s) of consideration for exercising an Option, including the method of payment, to the extent permitted by Applicable Laws including but not limited to tendering capital stock of the Company owned by a Participant, duly endorsed for transfer to the Company.</w:t>
      </w:r>
    </w:p>
    <w:p>
      <w:pPr>
        <w:spacing w:after="0" w:line="175"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12" w:hanging="316"/>
        <w:spacing w:after="0" w:line="266" w:lineRule="auto"/>
        <w:tabs>
          <w:tab w:leader="none" w:pos="1503"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 Rights as a Stockholder</w:t>
      </w:r>
      <w:r>
        <w:rPr>
          <w:rFonts w:ascii="Times New Roman" w:cs="Times New Roman" w:eastAsia="Times New Roman" w:hAnsi="Times New Roman"/>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13" w:name="page14"/>
    <w:bookmarkEnd w:id="13"/>
    <w:p>
      <w:pPr>
        <w:jc w:val="both"/>
        <w:ind w:left="1620"/>
        <w:spacing w:after="0" w:line="261" w:lineRule="auto"/>
        <w:rPr>
          <w:sz w:val="20"/>
          <w:szCs w:val="20"/>
          <w:color w:val="auto"/>
        </w:rPr>
      </w:pPr>
      <w:r>
        <w:rPr>
          <w:rFonts w:ascii="Times New Roman" w:cs="Times New Roman" w:eastAsia="Times New Roman" w:hAnsi="Times New Roman"/>
          <w:sz w:val="18"/>
          <w:szCs w:val="18"/>
          <w:color w:val="auto"/>
        </w:rPr>
        <w:t>An Option will be deemed exercised when the Company receives: (i) notice of exercise (in such form as the Administrator specifies from time to time) from the person entitled to exercise the Option, and (ii) full payment for the Shares with respect to which the Option is exercised (together with any applicable withholding taxes). No adjustment will be made for a dividend or other right for which the record date is prior to the date the Shares are issued, except as provided in Section 14 hereof.</w:t>
      </w:r>
    </w:p>
    <w:p>
      <w:pPr>
        <w:spacing w:after="0" w:line="180" w:lineRule="exact"/>
        <w:rPr>
          <w:sz w:val="20"/>
          <w:szCs w:val="20"/>
          <w:color w:val="auto"/>
        </w:rPr>
      </w:pPr>
    </w:p>
    <w:p>
      <w:pPr>
        <w:ind w:left="1620" w:hanging="316"/>
        <w:spacing w:after="0" w:line="254" w:lineRule="auto"/>
        <w:tabs>
          <w:tab w:leader="none" w:pos="1561"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Relationship as a Service Provider</w:t>
      </w:r>
      <w:r>
        <w:rPr>
          <w:rFonts w:ascii="Times New Roman" w:cs="Times New Roman" w:eastAsia="Times New Roman" w:hAnsi="Times New Roman"/>
          <w:sz w:val="18"/>
          <w:szCs w:val="18"/>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Award Agreement or by operation of this Section 6(d)(3), the Option will terminate, and the Shares covered by such Option will revert to the Plan.</w:t>
      </w:r>
    </w:p>
    <w:p>
      <w:pPr>
        <w:spacing w:after="0" w:line="188" w:lineRule="exact"/>
        <w:rPr>
          <w:rFonts w:ascii="Times New Roman" w:cs="Times New Roman" w:eastAsia="Times New Roman" w:hAnsi="Times New Roman"/>
          <w:sz w:val="18"/>
          <w:szCs w:val="18"/>
          <w:color w:val="auto"/>
        </w:rPr>
      </w:pPr>
    </w:p>
    <w:p>
      <w:pPr>
        <w:jc w:val="both"/>
        <w:ind w:left="1620" w:hanging="316"/>
        <w:spacing w:after="0" w:line="254" w:lineRule="auto"/>
        <w:tabs>
          <w:tab w:leader="none" w:pos="1611"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cessation (but in no event later than the expiration of the term of such Option as set forth in the Award Agreement). In the absence of a specified time in the Award Agreement, the Option will remain exercisable for six (6) months following the date the Participant ceases to be a Service Provider. Unless otherwise provided by the Administrator, if on the date of cessation the Participant is not vested as to his or her entire Option, the Shares covered by the unvested portion of the Option will revert to the Plan. If after cessation the Participant does not exercise his or her Option within the time specified herein, the Option will terminate, and the Shares covered by such Option will revert to the Plan.</w:t>
      </w:r>
    </w:p>
    <w:p>
      <w:pPr>
        <w:spacing w:after="0" w:line="191" w:lineRule="exact"/>
        <w:rPr>
          <w:rFonts w:ascii="Times New Roman" w:cs="Times New Roman" w:eastAsia="Times New Roman" w:hAnsi="Times New Roman"/>
          <w:sz w:val="18"/>
          <w:szCs w:val="18"/>
          <w:color w:val="auto"/>
        </w:rPr>
      </w:pPr>
    </w:p>
    <w:p>
      <w:pPr>
        <w:jc w:val="both"/>
        <w:ind w:left="1620" w:hanging="316"/>
        <w:spacing w:after="0" w:line="253" w:lineRule="auto"/>
        <w:tabs>
          <w:tab w:leader="none" w:pos="161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If a Participant dies while a Service Provider, the Option may be exercised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six (6) months following Participant’s death. Unless otherwise provided by the Administrator, if at the time of death Participant is not vested as to his or her entire Option, the Shares covered by the unvested portion of the Option will continue to vest in accordance with the Award Agreement. If the Option is not so exercised within the time specified herein, the Option will terminate, and the Shares covered by such Option will revert to the Plan.</w:t>
      </w:r>
    </w:p>
    <w:p>
      <w:pPr>
        <w:spacing w:after="0" w:line="19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Stock Appreciation Rights</w:t>
      </w:r>
      <w:r>
        <w:rPr>
          <w:rFonts w:ascii="Times New Roman" w:cs="Times New Roman" w:eastAsia="Times New Roman" w:hAnsi="Times New Roman"/>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Administrator will have complete discretion to determine the number of Stock Appreciation Rights granted to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89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and Other Terms</w:t>
      </w:r>
      <w:r>
        <w:rPr>
          <w:rFonts w:ascii="Times New Roman" w:cs="Times New Roman" w:eastAsia="Times New Roman" w:hAnsi="Times New Roman"/>
          <w:sz w:val="18"/>
          <w:szCs w:val="18"/>
          <w:color w:val="auto"/>
        </w:rPr>
        <w:t>. The Administrator, subject to the provisions of the Plan, will have complete discretion to determine the terms and conditions of Stock Appreciation Rights granted under the Plan; provided, however, that the exercise price will be not less than 100% of the Fair Market Value of a Share on the date of grant.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both"/>
        <w:ind w:firstLine="656"/>
        <w:spacing w:after="0" w:line="266" w:lineRule="auto"/>
        <w:tabs>
          <w:tab w:leader="none" w:pos="9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 Agreement</w:t>
      </w:r>
      <w:r>
        <w:rPr>
          <w:rFonts w:ascii="Times New Roman" w:cs="Times New Roman" w:eastAsia="Times New Roman" w:hAnsi="Times New Roman"/>
          <w:sz w:val="18"/>
          <w:szCs w:val="18"/>
          <w:color w:val="auto"/>
        </w:rPr>
        <w:t>. Each Stock Appreciation Right grant will be evidenced by an Award Agreement that will specify the exercise price, the number of Shares with respect to which the Award is granted, the term of the Stock Appreciation Right, the conditions of exercise, and such other terms and conditions as the Administrator, in its sole discretion, will determine.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of Stock Appreciation Rights</w:t>
      </w:r>
      <w:r>
        <w:rPr>
          <w:rFonts w:ascii="Times New Roman" w:cs="Times New Roman" w:eastAsia="Times New Roman" w:hAnsi="Times New Roman"/>
          <w:sz w:val="18"/>
          <w:szCs w:val="18"/>
          <w:color w:val="auto"/>
        </w:rPr>
        <w:t>. A Stock Appreciation Right granted under the Plan will expire upon the date determined by the Administrator, in its sole discretion, and set forth in the Award Agreement; provided, however, that the term will be no more than ten (10) years from the date of grant thereof. Notwithstanding the foregoing, the rules of Section 6(d) above also will apply to Stock Appreciation Rights.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7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Stock Appreciation Right Amount</w:t>
      </w:r>
      <w:r>
        <w:rPr>
          <w:rFonts w:ascii="Times New Roman" w:cs="Times New Roman" w:eastAsia="Times New Roman" w:hAnsi="Times New Roman"/>
          <w:sz w:val="18"/>
          <w:szCs w:val="18"/>
          <w:color w:val="auto"/>
        </w:rPr>
        <w:t>. Upon exercise of a Stock Appreciation Right, a Participant will be entitled to receive payment from the Company in an amount determined by multiplying:</w:t>
      </w:r>
    </w:p>
    <w:p>
      <w:pPr>
        <w:spacing w:after="0" w:line="161" w:lineRule="exact"/>
        <w:rPr>
          <w:rFonts w:ascii="Times New Roman" w:cs="Times New Roman" w:eastAsia="Times New Roman" w:hAnsi="Times New Roman"/>
          <w:sz w:val="18"/>
          <w:szCs w:val="18"/>
          <w:color w:val="auto"/>
        </w:rPr>
      </w:pPr>
    </w:p>
    <w:p>
      <w:pPr>
        <w:ind w:left="1620" w:hanging="316"/>
        <w:spacing w:after="0" w:line="266" w:lineRule="auto"/>
        <w:tabs>
          <w:tab w:leader="none" w:pos="151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difference between the Fair Market Value of a Share on the date of exercise over the “stock appreciation right exercise price,” as defined under Treasury Regulation Section 1.409A-1(b)(i)(B)(2),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the Fair Market Value of a Share on the date of grant of the Stock Appreciation Right; times</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Stock Appreciation Right is exercised.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At the discretion of the Administrator, the payment upon Stock Appreciation Right exercise may be in cash, in Shares of equivalent value, or in some combination thereof.</w:t>
      </w:r>
    </w:p>
    <w:p>
      <w:pPr>
        <w:spacing w:after="0" w:line="162"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3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Agreement</w:t>
      </w:r>
      <w:r>
        <w:rPr>
          <w:rFonts w:ascii="Times New Roman" w:cs="Times New Roman" w:eastAsia="Times New Roman" w:hAnsi="Times New Roman"/>
          <w:sz w:val="18"/>
          <w:szCs w:val="18"/>
          <w:color w:val="auto"/>
        </w:rPr>
        <w:t>. Each Award of Restricted Stock will be evidenced by an Award Agreement that will specify the Period of Restriction, the number of Shares granted, and such other terms and conditions as the Administrator, in its sole discretion, will determine.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this Section 8, Shares of Restricted Stock may not be sold, transferred, pledged, assigned, or otherwise alienated or hypothecated until such Shares become non-forfeitable at the end of the applicable Period of Restriction.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Restrictions</w:t>
      </w:r>
      <w:r>
        <w:rPr>
          <w:rFonts w:ascii="Times New Roman" w:cs="Times New Roman" w:eastAsia="Times New Roman" w:hAnsi="Times New Roman"/>
          <w:sz w:val="18"/>
          <w:szCs w:val="18"/>
          <w:color w:val="auto"/>
        </w:rPr>
        <w:t>. Except as otherwise provided in this Section 8, Shares of Restricted Stock covered by each Restricted Stock grant made under the Plan will be released from escrow as soon as practicable after the last day of the Period of Restriction. The Administrator, in its discretion, may accelerate the time at which any restrictions will lapse or be removed.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8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During the Period of Restriction, Service Providers holding Shares of Restricted Stock granted hereunder may exercise full voting rights with respect to those Shares, unless the Administrator determines otherwise in a manner not prohibited by the Award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During the Period of Restriction, Service Providers holding Shares of Restricted Stock will be entitled to receive all dividends and other distributions paid with respect to such Shares unless otherwise provided in the Award Agreement. If any such dividends or distributions are paid in Shares, the Shares will be subject to the same restrictions on transferability and provisions for forfeiture as the Shares of Restricted Stock with respect to which they were paid.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 not lapsed will revert to the Company and again will become available for grant under the Plan.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ind w:left="172" w:hanging="172"/>
        <w:spacing w:after="0"/>
        <w:tabs>
          <w:tab w:leader="none" w:pos="1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89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Restricted Stock Units may be granted at any time and from time to time as determined by the Administrator. Each Restricted Stock Unit grant will be evidenced by an Award Agreement that will specify such other terms and conditions as the Administrator, in its sole discretion, will determine in accordance with the terms and conditions of the Plan, including all terms, conditions, and restrictions related to the grant, the number of Restricted Stock Units and the form of payout, which, subject to Section 9(d) hereof, may be left to the discretion of the Administrator.</w:t>
      </w:r>
    </w:p>
    <w:p>
      <w:pPr>
        <w:spacing w:after="0" w:line="179" w:lineRule="exact"/>
        <w:rPr>
          <w:rFonts w:ascii="Times New Roman" w:cs="Times New Roman" w:eastAsia="Times New Roman" w:hAnsi="Times New Roman"/>
          <w:sz w:val="18"/>
          <w:szCs w:val="18"/>
          <w:color w:val="auto"/>
        </w:rPr>
      </w:pPr>
    </w:p>
    <w:p>
      <w:pPr>
        <w:jc w:val="both"/>
        <w:ind w:left="-8" w:firstLine="656"/>
        <w:spacing w:after="0" w:line="256" w:lineRule="auto"/>
        <w:tabs>
          <w:tab w:leader="none" w:pos="90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 the criteria are met, will determine the number of Restricted Stock Units that will be paid out to the Participant. After the grant of Restricted Stock Units, the Administrator, in its sole discretion, may reduce or waive any restrictions for such Restricted Stock Units. Each Award of Restricted Stock Units will be evidenced by an Award Agreement that will specify the vesting criteria, and such other terms and conditions as the Administrator, in its sole discretion will determine. The Administrator, in its discretion, may accelerate the time at which any restrictions will lapse or be removed, subject to the prohibition on acceleration of the timing of distribution of deferred compensation subject to Section 409A of the Code, to the extent applicable to the Award.</w:t>
      </w:r>
    </w:p>
    <w:p>
      <w:pPr>
        <w:spacing w:after="0" w:line="187" w:lineRule="exact"/>
        <w:rPr>
          <w:rFonts w:ascii="Times New Roman" w:cs="Times New Roman" w:eastAsia="Times New Roman" w:hAnsi="Times New Roman"/>
          <w:sz w:val="18"/>
          <w:szCs w:val="18"/>
          <w:color w:val="auto"/>
        </w:rPr>
      </w:pPr>
    </w:p>
    <w:p>
      <w:pPr>
        <w:ind w:left="-8" w:firstLine="656"/>
        <w:spacing w:after="0" w:line="282" w:lineRule="auto"/>
        <w:tabs>
          <w:tab w:leader="none" w:pos="88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specified in the Award Agreement.</w:t>
      </w:r>
    </w:p>
    <w:p>
      <w:pPr>
        <w:spacing w:after="0" w:line="161"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8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w:t>
      </w:r>
      <w:r>
        <w:rPr>
          <w:rFonts w:ascii="Times New Roman" w:cs="Times New Roman" w:eastAsia="Times New Roman" w:hAnsi="Times New Roman"/>
          <w:sz w:val="18"/>
          <w:szCs w:val="18"/>
          <w:color w:val="auto"/>
        </w:rPr>
        <w:t>. Payment of earned Restricted Stock Units will be made as soon as practicable after the date(s) set forth in the Award Agreement, which shall satisfy the requirements of Section 409A of the Code, to the extent applicable to such Award. The Administrator, in its sole discretion, may pay earned Restricted Stock Units in cash, Shares, or a combination thereof. Shares represented by Restricted Stock Units that are fully paid in cash again will be available for grant under the Plan.</w:t>
      </w:r>
    </w:p>
    <w:p>
      <w:pPr>
        <w:spacing w:after="0" w:line="179" w:lineRule="exact"/>
        <w:rPr>
          <w:rFonts w:ascii="Times New Roman" w:cs="Times New Roman" w:eastAsia="Times New Roman" w:hAnsi="Times New Roman"/>
          <w:sz w:val="18"/>
          <w:szCs w:val="18"/>
          <w:color w:val="auto"/>
        </w:rPr>
      </w:pPr>
    </w:p>
    <w:p>
      <w:pPr>
        <w:ind w:left="892" w:hanging="244"/>
        <w:spacing w:after="0"/>
        <w:tabs>
          <w:tab w:leader="none" w:pos="89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On the date set forth in the Award Agreement, all unearned Restricted Stock Units will be forfeited to the Company.</w:t>
      </w:r>
    </w:p>
    <w:p>
      <w:pPr>
        <w:spacing w:after="0" w:line="225"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Units and Performance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88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Performance Units/Shares</w:t>
      </w:r>
      <w:r>
        <w:rPr>
          <w:rFonts w:ascii="Times New Roman" w:cs="Times New Roman" w:eastAsia="Times New Roman" w:hAnsi="Times New Roman"/>
          <w:sz w:val="18"/>
          <w:szCs w:val="18"/>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Units/Shares granted to each Participant.</w:t>
      </w:r>
    </w:p>
    <w:p>
      <w:pPr>
        <w:spacing w:after="0" w:line="175" w:lineRule="exact"/>
        <w:rPr>
          <w:rFonts w:ascii="Times New Roman" w:cs="Times New Roman" w:eastAsia="Times New Roman" w:hAnsi="Times New Roman"/>
          <w:sz w:val="18"/>
          <w:szCs w:val="18"/>
          <w:color w:val="auto"/>
        </w:rPr>
      </w:pPr>
    </w:p>
    <w:p>
      <w:pPr>
        <w:ind w:left="-8" w:firstLine="656"/>
        <w:spacing w:after="0" w:line="282" w:lineRule="auto"/>
        <w:tabs>
          <w:tab w:leader="none" w:pos="8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Value of Performance Units/Shares</w:t>
      </w:r>
      <w:r>
        <w:rPr>
          <w:rFonts w:ascii="Times New Roman" w:cs="Times New Roman" w:eastAsia="Times New Roman" w:hAnsi="Times New Roman"/>
          <w:sz w:val="18"/>
          <w:szCs w:val="18"/>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61"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89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Objectives and Other Terms</w:t>
      </w:r>
      <w:r>
        <w:rPr>
          <w:rFonts w:ascii="Times New Roman" w:cs="Times New Roman" w:eastAsia="Times New Roman" w:hAnsi="Times New Roman"/>
          <w:sz w:val="18"/>
          <w:szCs w:val="18"/>
          <w:color w:val="auto"/>
        </w:rPr>
        <w:t>. The Administrator will set performance objectives or other vesting provisions. The Administrator may set vesting criteria based upon the achievement of Company-wide, business unit, or individual goals (including, but not limited to, continued employment), or any other basis determined by the Administrator in its discretion. Each Award of Performance Units/Shares will be evidenced by an Award Agreement that will specify the Performance Period, and such other terms and conditions as the Administrator, in its sole discretion, will determine.</w:t>
      </w:r>
    </w:p>
    <w:p>
      <w:pPr>
        <w:spacing w:after="0" w:line="179" w:lineRule="exact"/>
        <w:rPr>
          <w:rFonts w:ascii="Times New Roman" w:cs="Times New Roman" w:eastAsia="Times New Roman" w:hAnsi="Times New Roman"/>
          <w:sz w:val="18"/>
          <w:szCs w:val="18"/>
          <w:color w:val="auto"/>
        </w:rPr>
      </w:pPr>
    </w:p>
    <w:p>
      <w:pPr>
        <w:jc w:val="both"/>
        <w:ind w:left="-8" w:firstLine="656"/>
        <w:spacing w:after="0" w:line="258" w:lineRule="auto"/>
        <w:tabs>
          <w:tab w:leader="none" w:pos="90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of Performance Units/Shares</w:t>
      </w:r>
      <w:r>
        <w:rPr>
          <w:rFonts w:ascii="Times New Roman" w:cs="Times New Roman" w:eastAsia="Times New Roman" w:hAnsi="Times New Roman"/>
          <w:sz w:val="18"/>
          <w:szCs w:val="18"/>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16" w:name="page17"/>
    <w:bookmarkEnd w:id="16"/>
    <w:p>
      <w:pPr>
        <w:jc w:val="both"/>
        <w:ind w:firstLine="656"/>
        <w:spacing w:after="0" w:line="257" w:lineRule="auto"/>
        <w:tabs>
          <w:tab w:leader="none" w:pos="89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 of Performance Units/Shares</w:t>
      </w:r>
      <w:r>
        <w:rPr>
          <w:rFonts w:ascii="Times New Roman" w:cs="Times New Roman" w:eastAsia="Times New Roman" w:hAnsi="Times New Roman"/>
          <w:sz w:val="18"/>
          <w:szCs w:val="18"/>
          <w:color w:val="auto"/>
        </w:rPr>
        <w:t>. Payment of earned Performance Units/Shares will be made as soon as practicable after the expiration of the applicable Performance Period or, if earlier, after the date on which a Participant’s interest in such Performance Units/Shares is no longer subject to a substantial risk of forfeiture, provided however, that in no event shall such payment be made after the later to occur of (i) December</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year in which such risk of forfeiture lapses or (ii) two and one-half months after such risk of forfeiture lapses.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85" w:lineRule="exact"/>
        <w:rPr>
          <w:rFonts w:ascii="Times New Roman" w:cs="Times New Roman" w:eastAsia="Times New Roman" w:hAnsi="Times New Roman"/>
          <w:sz w:val="18"/>
          <w:szCs w:val="18"/>
          <w:color w:val="auto"/>
        </w:rPr>
      </w:pPr>
    </w:p>
    <w:p>
      <w:pPr>
        <w:ind w:right="20" w:firstLine="656"/>
        <w:spacing w:after="0" w:line="282" w:lineRule="auto"/>
        <w:tabs>
          <w:tab w:leader="none" w:pos="87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Performance Units/Shares</w:t>
      </w:r>
      <w:r>
        <w:rPr>
          <w:rFonts w:ascii="Times New Roman" w:cs="Times New Roman" w:eastAsia="Times New Roman" w:hAnsi="Times New Roman"/>
          <w:sz w:val="18"/>
          <w:szCs w:val="18"/>
          <w:color w:val="auto"/>
        </w:rPr>
        <w:t>. On the date set forth in the Award Agreement, all unearned or unvested Performance Units/Shares will be forfeited to the Company, and again will be available for grant under the Plan.</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57" w:lineRule="auto"/>
        <w:tabs>
          <w:tab w:leader="none" w:pos="26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Leaves of Absence</w:t>
      </w:r>
      <w:r>
        <w:rPr>
          <w:rFonts w:ascii="Times New Roman" w:cs="Times New Roman" w:eastAsia="Times New Roman" w:hAnsi="Times New Roman"/>
          <w:sz w:val="18"/>
          <w:szCs w:val="18"/>
          <w:color w:val="auto"/>
        </w:rPr>
        <w:t>. Unless the Administrator provides otherwise, vesting of Awards granted hereunder will be suspended during any unpaid leave of absence. A Service Provider will not cease to be an Employee in the case of (i) any leave of absence approved by the Company, or (ii) transfers between locations of the Company or between the Company, its Parent, or any Subsidiary. For purposes of Incentive Stock Options, no such leave may exceed three</w:t>
      </w:r>
    </w:p>
    <w:p>
      <w:pPr>
        <w:spacing w:after="0" w:line="1"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months, unless reemployment upon expiration of such leave is guaranteed by statute or contract. If reemployment upon expiration of a leave of absence approved by the Company is not so guaranteed, then six (6) months and one day following the commencement of such leave any Incentive Stock Option held by the Participant will cease to be treated as an Incentive Stock Option and will be treated for tax purposes as a Nonstatutory Stock Option.</w:t>
      </w:r>
    </w:p>
    <w:p>
      <w:pPr>
        <w:spacing w:after="0" w:line="185" w:lineRule="exact"/>
        <w:rPr>
          <w:rFonts w:ascii="Times New Roman" w:cs="Times New Roman" w:eastAsia="Times New Roman" w:hAnsi="Times New Roman"/>
          <w:sz w:val="18"/>
          <w:szCs w:val="18"/>
          <w:color w:val="auto"/>
        </w:rPr>
      </w:pPr>
    </w:p>
    <w:p>
      <w:pPr>
        <w:jc w:val="both"/>
        <w:ind w:firstLine="8"/>
        <w:spacing w:after="0" w:line="261" w:lineRule="auto"/>
        <w:tabs>
          <w:tab w:leader="none" w:pos="27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may only be transferred (i) by will, (ii) by the laws of descent and distribution, (iii) to a revocable trust, or (iv) as permitted by Rule 701 of the Securities Act of 1933, as amended.</w:t>
      </w:r>
    </w:p>
    <w:p>
      <w:pPr>
        <w:spacing w:after="0" w:line="17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Dissolution or Liquidation; Merger or 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90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set forth in Sections 3, 6, 7, 8, 9 and 10 hereof.</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93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any corporate separation or division, including, but not limited to, a split-up, a split-off or a spin-off; a reverse merger in which the Company is the surviving entity, but the shares of Company stock outstanding immediately preceding the merger are converted by virtue of the merger into other property, whether in the form of securities, cash or otherwise; or the transfer of more than fifty percent (50%) of the then outstanding voting stock of the Company to another person or entity. the Administrator will notify each Participant as soon as practicable prior to the effective date of such proposed transaction. The Company, to the extent permitted by applicable law but otherwise in its sole discretion may provide for: (i) the continuation Awards by the Company (if the Company is surviving entity or its parent; (ii) the assumption of the Plan and such outstanding Awards by the surviving entity or its parent; (iii) the substitution by the surviving entity or its parent of rights with substantially the same terms for such outstanding Awards; or (iv) the cancellation of such outstanding Rights without payment of any consideration provided that in the case of this clause (iv), the Administrator will provide notice of its intention to cancel Award and offer a reasonable opportunity to exercise vested Awards.</w:t>
      </w:r>
    </w:p>
    <w:p>
      <w:pPr>
        <w:spacing w:after="0" w:line="194" w:lineRule="exact"/>
        <w:rPr>
          <w:rFonts w:ascii="Times New Roman" w:cs="Times New Roman" w:eastAsia="Times New Roman" w:hAnsi="Times New Roman"/>
          <w:sz w:val="18"/>
          <w:szCs w:val="18"/>
          <w:color w:val="auto"/>
        </w:rPr>
      </w:pPr>
    </w:p>
    <w:p>
      <w:pPr>
        <w:jc w:val="both"/>
        <w:ind w:firstLine="656"/>
        <w:spacing w:after="0" w:line="261" w:lineRule="auto"/>
        <w:tabs>
          <w:tab w:leader="none" w:pos="90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the event of a merger or Change in Control, each outstanding Award will be treated as the Administrator determines, including, without limitation, that each Award will be assumed or an equivalent option or right substituted by the successor corporation or a Parent or Subsidiary of the successor corporation (the “</w:t>
      </w:r>
      <w:r>
        <w:rPr>
          <w:rFonts w:ascii="Times New Roman" w:cs="Times New Roman" w:eastAsia="Times New Roman" w:hAnsi="Times New Roman"/>
          <w:sz w:val="18"/>
          <w:szCs w:val="18"/>
          <w:u w:val="single" w:color="auto"/>
          <w:color w:val="auto"/>
        </w:rPr>
        <w:t>Successor Corporation</w:t>
      </w:r>
      <w:r>
        <w:rPr>
          <w:rFonts w:ascii="Times New Roman" w:cs="Times New Roman" w:eastAsia="Times New Roman" w:hAnsi="Times New Roman"/>
          <w:sz w:val="18"/>
          <w:szCs w:val="18"/>
          <w:color w:val="auto"/>
        </w:rPr>
        <w:t>”). The Administrator will not be required to treat all Awards similarly in the transaction.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will lapse, and, with respect to Restricted Stock Units, Performance Shares and Performance Units, all Performance Goals or other vesting criteria will be deemed achieved at target levels and all other terms and conditions met. In addition, if an Option or Stock Appreciation Right is not assumed or substituted for in the event of a Change in Control, the Administrator will notify the Participant in writing or electronically that the Option or Stock Appreciation Right will be fully vested and exercisable for a period of time determined by the Administrator in its sole discretion, and the Option or Stock Appreciation Right will terminate upon the expiration of such period.</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or, in the case of a Stock Appreciation Right upon the exercise of which the Administrator determines to settle in cash or a Performance Share or Performance Unit which the Administrator can determine to settle in cash, the fair market value of the consideration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the Administrator may, with the consent of the Successor Corporation, provide for the consideration to be received upon the exercise of an Option or Stock Appreciation Right or upon the payout of a Performance Share or Performance Unit, for each Share subject to such Award (or in the case of Performance Units, the number of implied shares determined by dividing the value of the Performance Units by the per share consideration received by holders of Common Stock in the Change in Control), to be solely common stock of the Successor Corporation equal in fair market value to the per share consideration received by holders of Common Stock in the Change in Control.</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3" w:lineRule="exact"/>
        <w:rPr>
          <w:sz w:val="20"/>
          <w:szCs w:val="20"/>
          <w:color w:val="auto"/>
        </w:rPr>
      </w:pPr>
    </w:p>
    <w:p>
      <w:pPr>
        <w:ind w:left="320" w:hanging="267"/>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89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At any time prior to or following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cash or Shares having a Fair Market Value equal to the minimum amount required to be withheld, (iii) delivering to the Company already-owned Shares having a Fair Market Value equal to the amount required to be withheld, or (iv) selling a sufficient number of Shares otherwise deliverable to the Participant through such means as the Administrator may determine in its sole discretion (whether through a broker or otherwise)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jc w:val="both"/>
        <w:ind w:left="-8" w:firstLine="8"/>
        <w:spacing w:after="0" w:line="266" w:lineRule="auto"/>
        <w:tabs>
          <w:tab w:leader="none" w:pos="2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75" w:lineRule="exact"/>
        <w:rPr>
          <w:rFonts w:ascii="Times New Roman" w:cs="Times New Roman" w:eastAsia="Times New Roman" w:hAnsi="Times New Roman"/>
          <w:sz w:val="18"/>
          <w:szCs w:val="18"/>
          <w:color w:val="auto"/>
        </w:rPr>
      </w:pPr>
    </w:p>
    <w:p>
      <w:pPr>
        <w:jc w:val="both"/>
        <w:ind w:left="-8" w:right="20" w:firstLine="8"/>
        <w:spacing w:after="0" w:line="266" w:lineRule="auto"/>
        <w:tabs>
          <w:tab w:leader="none" w:pos="2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6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Subject to Section 21 hereof, the Plan will become effective upon its adoption by the Board (the “Effective Date”). It will continue in effect for a term of ten (10) years unless terminated earlier under Section 18 hereof; provided, however, that such expiration shall not affect Awards then outstanding, and the terms and conditions of this Plan shall continue to apply to such Awards.</w:t>
      </w:r>
    </w:p>
    <w:p>
      <w:pPr>
        <w:spacing w:after="0" w:line="175"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92" w:hanging="244"/>
        <w:spacing w:after="0"/>
        <w:tabs>
          <w:tab w:leader="none" w:pos="89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The Administrator may at any time amend, alter, suspend or terminate the Plan.</w:t>
      </w:r>
    </w:p>
    <w:p>
      <w:pPr>
        <w:spacing w:after="0" w:line="225" w:lineRule="exact"/>
        <w:rPr>
          <w:rFonts w:ascii="Times New Roman" w:cs="Times New Roman" w:eastAsia="Times New Roman" w:hAnsi="Times New Roman"/>
          <w:sz w:val="18"/>
          <w:szCs w:val="18"/>
          <w:color w:val="auto"/>
        </w:rPr>
      </w:pPr>
    </w:p>
    <w:p>
      <w:pPr>
        <w:ind w:left="-8" w:firstLine="656"/>
        <w:spacing w:after="0" w:line="282"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Subject to Section 21, the Company will obtain stockholder approval of the Plan and any Plan amendment to the extent necessary or desirable to comply with Applicable Laws.</w:t>
      </w:r>
    </w:p>
    <w:p>
      <w:pPr>
        <w:spacing w:after="0" w:line="161"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92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79"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89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75"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92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5"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91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Legends</w:t>
      </w:r>
      <w:r>
        <w:rPr>
          <w:rFonts w:ascii="Times New Roman" w:cs="Times New Roman" w:eastAsia="Times New Roman" w:hAnsi="Times New Roman"/>
          <w:sz w:val="18"/>
          <w:szCs w:val="18"/>
          <w:color w:val="auto"/>
        </w:rPr>
        <w:t>. All Award Agreements and all securities of the Company issued pursuant thereto shall bear such legends regarding restrictions on transfer and such other legends as the appropriate officer of the Company shall determine to be necessary or advisable to comply with applicable securities and other laws.</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6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796" w:right="339" w:bottom="1440" w:gutter="0" w:footer="0" w:header="0"/>
        </w:sectPr>
      </w:pPr>
    </w:p>
    <w:bookmarkStart w:id="19" w:name="page20"/>
    <w:bookmarkEnd w:id="19"/>
    <w:p>
      <w:pPr>
        <w:jc w:val="both"/>
        <w:ind w:left="-8" w:firstLine="8"/>
        <w:spacing w:after="0" w:line="258" w:lineRule="auto"/>
        <w:tabs>
          <w:tab w:leader="none" w:pos="26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xml:space="preserve">. The Plan will be subject to approval by the stockholders of the Company within twelve (12) months after the date the Plan is adopted by the Board. Such stockholder approval will be obtained in the manner and to the degree required under Applicable Laws, including without limitation Section 422 of the Code. In the event that stockholder approval is not obtained within twelve (12) months after the date the Plan is adopted by the Board, all Incentive Stock Options granted hereunder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effect. Notwithstanding any other provisions of the Plan, no Awards shall be exercisable until the date of such stockholder approval.</w:t>
      </w:r>
    </w:p>
    <w:p>
      <w:pPr>
        <w:spacing w:after="0" w:line="183" w:lineRule="exact"/>
        <w:rPr>
          <w:rFonts w:ascii="Times New Roman" w:cs="Times New Roman" w:eastAsia="Times New Roman" w:hAnsi="Times New Roman"/>
          <w:sz w:val="18"/>
          <w:szCs w:val="18"/>
          <w:color w:val="auto"/>
        </w:rPr>
      </w:pPr>
    </w:p>
    <w:p>
      <w:pPr>
        <w:jc w:val="both"/>
        <w:ind w:left="-8" w:firstLine="8"/>
        <w:spacing w:after="0" w:line="258" w:lineRule="auto"/>
        <w:tabs>
          <w:tab w:leader="none" w:pos="26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Election Under Section 83 of the Code</w:t>
      </w:r>
      <w:r>
        <w:rPr>
          <w:rFonts w:ascii="Times New Roman" w:cs="Times New Roman" w:eastAsia="Times New Roman" w:hAnsi="Times New Roman"/>
          <w:sz w:val="18"/>
          <w:szCs w:val="18"/>
          <w:color w:val="auto"/>
        </w:rPr>
        <w:t>. If any Service Provider shall, in connection with the acquisition of Shares under the Plan, make an election permitted under either Section 83(b) or Section 83(i) of the Code, such Service Provider shall notify the Company of such election within ten (10) days of filing notice of the election with the Internal Revenue Service and provide the Company with a copy thereof, in addition to any filing and a notification required pursuant to regulations issued under the authority of Sections 83(b) or 83(i) of the Code, as applicable. A Service Provider shall not be permitted to make a Section 83(b) election with respect to an Award of a Restricted Stock Unit.</w:t>
      </w:r>
    </w:p>
    <w:p>
      <w:pPr>
        <w:spacing w:after="0" w:line="183"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6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Upon Disqualifying Disposition Under Section 421(b) of the Code</w:t>
      </w:r>
      <w:r>
        <w:rPr>
          <w:rFonts w:ascii="Times New Roman" w:cs="Times New Roman" w:eastAsia="Times New Roman" w:hAnsi="Times New Roman"/>
          <w:sz w:val="18"/>
          <w:szCs w:val="18"/>
          <w:color w:val="auto"/>
        </w:rPr>
        <w:t>. Each Service Provider shall notify the Company of any disposition of Shares issued pursuant to the exercise of an Incentive Stock Option under the circumstances described in Section 421(b) of the Code (relating to certain disqualifying dispositions), within ten (10) days of such disposition.</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61" w:lineRule="auto"/>
        <w:tabs>
          <w:tab w:leader="none" w:pos="26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409A Timing Rule for Specified Employees</w:t>
      </w:r>
      <w:r>
        <w:rPr>
          <w:rFonts w:ascii="Times New Roman" w:cs="Times New Roman" w:eastAsia="Times New Roman" w:hAnsi="Times New Roman"/>
          <w:sz w:val="18"/>
          <w:szCs w:val="18"/>
          <w:color w:val="auto"/>
        </w:rPr>
        <w:t>. If at the time of a Service Provider’s separation from service, such individual is considered a “specified employee” within the meaning of Section 409A(a)(2)(B)(i) of the Code, and if any payment that such Service Provider becomes entitled to under the Plan or any Award is deemed payable on account of such individual’s separation from service, then no such payment shall be made prior to the date that is the earlier of (i) six months and one day after the individual’s separation from service, or (ii) the individual’s death.</w:t>
      </w:r>
    </w:p>
    <w:p>
      <w:pPr>
        <w:spacing w:after="0" w:line="179"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6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law of the State of Nevada shall govern all questions concerning the construction, validity and interpretation of this Plan, without regard to such state’s conflict of laws rules, subject to the Company’s intention that the Plan satisfy the requirements of jurisdictions outside of the United States of America with respect to Awards subject to such jurisdictions.</w:t>
      </w:r>
    </w:p>
    <w:p>
      <w:pPr>
        <w:spacing w:after="0" w:line="175"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89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w:t>
      </w:r>
      <w:r>
        <w:rPr>
          <w:rFonts w:ascii="Times New Roman" w:cs="Times New Roman" w:eastAsia="Times New Roman" w:hAnsi="Times New Roman"/>
          <w:sz w:val="18"/>
          <w:szCs w:val="18"/>
          <w:color w:val="auto"/>
        </w:rPr>
        <w:t>. Except as specifically provided in this plan, a Participant or a transferee of an Award shall have no rights as a stockholder with respect to any shares covered by the Award until the date of the issuance of such shares to the Participant, and no adjustment shall be made for dividends (ordinary or extraordinary, whether in cash, securities or other property) or distributions of other rights for which the record date is prior to the date such Stock is issued.</w:t>
      </w:r>
    </w:p>
    <w:p>
      <w:pPr>
        <w:spacing w:after="0" w:line="179" w:lineRule="exact"/>
        <w:rPr>
          <w:rFonts w:ascii="Times New Roman" w:cs="Times New Roman" w:eastAsia="Times New Roman" w:hAnsi="Times New Roman"/>
          <w:sz w:val="18"/>
          <w:szCs w:val="18"/>
          <w:color w:val="auto"/>
        </w:rPr>
      </w:pPr>
    </w:p>
    <w:p>
      <w:pPr>
        <w:ind w:left="-8" w:right="20" w:firstLine="656"/>
        <w:spacing w:after="0" w:line="282" w:lineRule="auto"/>
        <w:tabs>
          <w:tab w:leader="none" w:pos="90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Arrangements.</w:t>
      </w:r>
      <w:r>
        <w:rPr>
          <w:rFonts w:ascii="Times New Roman" w:cs="Times New Roman" w:eastAsia="Times New Roman" w:hAnsi="Times New Roman"/>
          <w:sz w:val="18"/>
          <w:szCs w:val="18"/>
          <w:color w:val="auto"/>
        </w:rPr>
        <w:t xml:space="preserve"> Nothing contained in this Plan shall prevent the Board from adopting other or additional compensation arrangements, subject to stockholder approval is required; and such arrangements may be either generally applicable or applicable only in specific cases.</w:t>
      </w:r>
    </w:p>
    <w:p>
      <w:pPr>
        <w:spacing w:after="0" w:line="161"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88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Disqualifying Dispositions.</w:t>
      </w:r>
      <w:r>
        <w:rPr>
          <w:rFonts w:ascii="Times New Roman" w:cs="Times New Roman" w:eastAsia="Times New Roman" w:hAnsi="Times New Roman"/>
          <w:sz w:val="18"/>
          <w:szCs w:val="18"/>
          <w:color w:val="auto"/>
        </w:rPr>
        <w:t xml:space="preserve"> Any participant who shall make a “disposition” (as defined in Section 424 of the Code) of all or any portion of an Incentive Stock Option within two (2) years from the date of grant of such Incentive Stock Option or within (1) year after the issuance of the shares of Stock acquired upon exercise of such Incentive Stock Option shall be required to immediately advise the Company in writing as to the occurrence of the sale and the price realized upon the sale of such shares of Stock.</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796" w:right="339" w:bottom="1440" w:gutter="0" w:footer="0" w:header="0"/>
        </w:sectPr>
      </w:pPr>
    </w:p>
    <w:bookmarkStart w:id="20" w:name="page21"/>
    <w:bookmarkEnd w:id="20"/>
    <w:p>
      <w:pPr>
        <w:jc w:val="both"/>
        <w:ind w:left="-20" w:firstLine="656"/>
        <w:spacing w:after="0" w:line="261" w:lineRule="auto"/>
        <w:tabs>
          <w:tab w:leader="none" w:pos="8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 xml:space="preserve"> Each Stock Option Agreement and Stock Purchase Agreement shall provide that no shares shall be purchased or sold thereunder unless and until (i) any then applicable requirements of state or federal laws and regulatory agencies shall have been fully compiled with to the satisfaction of the Company and its counsel and (ii) if required to do so by the Company, the Optionee or Offeree shall have executed and delivered to the Company a letter of investment intent in such form and containing such provisions as the Board or Committee may require.</w:t>
      </w:r>
    </w:p>
    <w:p>
      <w:pPr>
        <w:spacing w:after="0" w:line="179"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88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Upon exercise of an Award granted under this Plan, the Company shall issue Stock or pay any amounts due within a reasonable period of time thereafter. Subject to any statutory obligations the Company may otherwise have, for purposes of this Plan, thirty days shall be considered a reasonable period of time.</w:t>
      </w:r>
    </w:p>
    <w:p>
      <w:pPr>
        <w:spacing w:after="0" w:line="175" w:lineRule="exact"/>
        <w:rPr>
          <w:rFonts w:ascii="Times New Roman" w:cs="Times New Roman" w:eastAsia="Times New Roman" w:hAnsi="Times New Roman"/>
          <w:sz w:val="18"/>
          <w:szCs w:val="18"/>
          <w:color w:val="auto"/>
        </w:rPr>
      </w:pPr>
    </w:p>
    <w:p>
      <w:pPr>
        <w:ind w:left="-20" w:right="20" w:firstLine="656"/>
        <w:spacing w:after="0" w:line="282" w:lineRule="auto"/>
        <w:tabs>
          <w:tab w:leader="none" w:pos="85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 The Stock Option Agreements and Stock Purchase Agreements authorized under the Plan may contain such other provisions not inconsistent with this Plan, including, without limitation, restrictions upon the exercise of the Rights, as the Administrator may deem advisable.</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88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Awards under the Plan are intended either to be exempt from the rules of Section 409A of the Code or to satisfy those rules, and the Plan and such awards shall be construed accordingly. Granted rights may be modified at any time, in the Administrator’s direction, so as to increase the likelihood of exemption from or compliance with the rules of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S-8</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40" w:type="dxa"/>
            <w:vAlign w:val="bottom"/>
          </w:tcPr>
          <w:p>
            <w:pPr>
              <w:spacing w:after="0"/>
              <w:rPr>
                <w:sz w:val="12"/>
                <w:szCs w:val="12"/>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Fee Calculation</w:t>
            </w:r>
          </w:p>
        </w:tc>
        <w:tc>
          <w:tcPr>
            <w:tcW w:w="11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tcPr>
          <w:p>
            <w:pPr>
              <w:spacing w:after="0"/>
              <w:rPr>
                <w:sz w:val="12"/>
                <w:szCs w:val="12"/>
                <w:color w:val="auto"/>
              </w:rPr>
            </w:pPr>
          </w:p>
        </w:tc>
        <w:tc>
          <w:tcPr>
            <w:tcW w:w="254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vMerge w:val="restart"/>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00" w:type="dxa"/>
            <w:vAlign w:val="bottom"/>
          </w:tcPr>
          <w:p>
            <w:pPr>
              <w:spacing w:after="0"/>
              <w:rPr>
                <w:sz w:val="15"/>
                <w:szCs w:val="15"/>
                <w:color w:val="auto"/>
              </w:rPr>
            </w:pPr>
          </w:p>
        </w:tc>
        <w:tc>
          <w:tcPr>
            <w:tcW w:w="1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74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49,372,685</w:t>
            </w: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$ 1.0850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53,569,363.23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0.000087</w:t>
            </w:r>
          </w:p>
        </w:tc>
        <w:tc>
          <w:tcPr>
            <w:tcW w:w="10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$ 4,660.54</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 share, reserved for issuance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pursuant to the Registrant's Third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Amended and Restated 2020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2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Equity Incentive Plan</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gridSpan w:val="5"/>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Total Offering Amounts:</w:t>
            </w: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5"/>
            <w:vMerge w:val="continue"/>
          </w:tcPr>
          <w:p>
            <w:pPr>
              <w:spacing w:after="0"/>
              <w:rPr>
                <w:sz w:val="16"/>
                <w:szCs w:val="16"/>
                <w:color w:val="auto"/>
              </w:rPr>
            </w:pPr>
          </w:p>
        </w:tc>
        <w:tc>
          <w:tcPr>
            <w:tcW w:w="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53,569,363.23</w:t>
            </w:r>
          </w:p>
        </w:tc>
        <w:tc>
          <w:tcPr>
            <w:tcW w:w="1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4,660.54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Total Fee Offsets:</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Net Fee Due:</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$ 4,660.54</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58"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promulgated under the Securities Act of 1933, as amended (the “Securities Act”), this Registration Statement shall also cover any additional shares of common stock (“Common Stock”) of iPower Inc. (the “Registrant”) that become issuable under the Registrant’s Third Amended and Restated 2020 Equity Incentive Plan (the “Third Amended and Restated Plan”) by reason of any stock dividend, stock split, recapitalizations, or other similar transaction effected without receipt of consideration that results in an increase to the number of outstanding shares of the Registrant’s Common Stock, as applicable.</w:t>
      </w:r>
    </w:p>
    <w:p>
      <w:pPr>
        <w:spacing w:after="0" w:line="183" w:lineRule="exact"/>
        <w:rPr>
          <w:rFonts w:ascii="Times New Roman" w:cs="Times New Roman" w:eastAsia="Times New Roman" w:hAnsi="Times New Roman"/>
          <w:sz w:val="18"/>
          <w:szCs w:val="18"/>
          <w:color w:val="auto"/>
        </w:rPr>
      </w:pPr>
    </w:p>
    <w:p>
      <w:pPr>
        <w:jc w:val="both"/>
        <w:ind w:left="360"/>
        <w:spacing w:after="0" w:line="218"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to be registered represents 49,372,685 shares of Common Stock reserved for future issuance under the Third Amended and Restated 2020 Equity Incentive Plan (the “Third Amended and Restated Plan”). On November 16, 2021, the Registrant filed a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(File No. 333-261100) registering 5,000,000 shares of Common Stock issuable under its equity incentive plan. On April 17, 2026, the Registrant filed a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(File No. 333-295173) registering an additional 45,000,000 shares of Common Stock issuable under the plan. Following the Registrant’s 1-for-30 reverse stock split effected in October 2025, 1-for-8 reverse stock split effected in May 2026 and 1-for-9 reverse stock split effected in August 2026, the aggregate number of shares previously registered under such registration statements was proportionately adjusted to 627,315 shares on a post-split basis. On September 21, 2026, the Registrant’s Board of Directors and stockholders approved the Third Amended and Restated Plan, which adjusted the aggregate number of shares reserved for issuance under the plan to 50,000,000 shares and adopted an evergreen provision providing for an automatic annual increase equal to 5% of the Registrant’s outstanding Common Stock for ten years. Accordingly, the Registrant is registering an additional 49,372,685 shares of Common Stock pursuant to this Registration Statement.</w:t>
      </w:r>
    </w:p>
    <w:p>
      <w:pPr>
        <w:spacing w:after="0" w:line="202"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offering price per share estimated in accordance with Rules 457(c) and 457(h) of the Securities Act solely for the purpose of calculating the registration fee. The offering price per share and the aggregate offering price are based upon $1.21, which is the average of the high and low selling prices per share of the Registrant’s Common Stock on September 24, 2026 as reported on the Nasdaq Capital Market.</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lowerLetter"/>
      <w:start w:val="1"/>
    </w:lvl>
  </w:abstractNum>
  <w:abstractNum w:abstractNumId="1">
    <w:nsid w:val="109CF92E"/>
    <w:multiLevelType w:val="hybridMultilevel"/>
    <w:lvl w:ilvl="0">
      <w:lvlJc w:val="left"/>
      <w:lvlText w:val="%1"/>
      <w:numFmt w:val="decimal"/>
      <w:start w:val="107"/>
    </w:lvl>
  </w:abstractNum>
  <w:abstractNum w:abstractNumId="2">
    <w:nsid w:val="DED7263"/>
    <w:multiLevelType w:val="hybridMultilevel"/>
    <w:lvl w:ilvl="0">
      <w:lvlJc w:val="left"/>
      <w:lvlText w:val="%1."/>
      <w:numFmt w:val="decimal"/>
      <w:start w:val="1"/>
    </w:lvl>
    <w:lvl w:ilvl="1">
      <w:lvlJc w:val="left"/>
      <w:lvlText w:val="·"/>
      <w:numFmt w:val="bullet"/>
      <w:start w:val="1"/>
    </w:lvl>
  </w:abstractNum>
  <w:abstractNum w:abstractNumId="3">
    <w:nsid w:val="7FDCC23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4">
    <w:nsid w:val="1BEFD79F"/>
    <w:multiLevelType w:val="hybridMultilevel"/>
    <w:lvl w:ilvl="0">
      <w:lvlJc w:val="left"/>
      <w:lvlText w:val="(%1)"/>
      <w:numFmt w:val="lowerRoman"/>
      <w:start w:val="2"/>
    </w:lvl>
  </w:abstractNum>
  <w:abstractNum w:abstractNumId="5">
    <w:nsid w:val="41A7C4C9"/>
    <w:multiLevelType w:val="hybridMultilevel"/>
    <w:lvl w:ilvl="0">
      <w:lvlJc w:val="left"/>
      <w:lvlText w:val="(%1)"/>
      <w:numFmt w:val="lowerLetter"/>
      <w:start w:val="8"/>
    </w:lvl>
  </w:abstractNum>
  <w:abstractNum w:abstractNumId="6">
    <w:nsid w:val="6B68079A"/>
    <w:multiLevelType w:val="hybridMultilevel"/>
    <w:lvl w:ilvl="0">
      <w:lvlJc w:val="left"/>
      <w:lvlText w:val="(%1)"/>
      <w:numFmt w:val="lowerLetter"/>
      <w:start w:val="17"/>
    </w:lvl>
  </w:abstractNum>
  <w:abstractNum w:abstractNumId="7">
    <w:nsid w:val="4E6AFB66"/>
    <w:multiLevelType w:val="hybridMultilevel"/>
    <w:lvl w:ilvl="0">
      <w:lvlJc w:val="left"/>
      <w:lvlText w:val="(%1)"/>
      <w:numFmt w:val="lowerLetter"/>
      <w:start w:val="27"/>
    </w:lvl>
  </w:abstractNum>
  <w:abstractNum w:abstractNumId="8">
    <w:nsid w:val="25E45D32"/>
    <w:multiLevelType w:val="hybridMultilevel"/>
    <w:lvl w:ilvl="0">
      <w:lvlJc w:val="left"/>
      <w:lvlText w:val="%1"/>
      <w:numFmt w:val="decimal"/>
      <w:start w:val="1"/>
    </w:lvl>
    <w:lvl w:ilvl="1">
      <w:lvlJc w:val="left"/>
      <w:lvlText w:val="(%2)"/>
      <w:numFmt w:val="lowerLetter"/>
      <w:start w:val="34"/>
    </w:lvl>
  </w:abstractNum>
  <w:abstractNum w:abstractNumId="9">
    <w:nsid w:val="519B500D"/>
    <w:multiLevelType w:val="hybridMultilevel"/>
    <w:lvl w:ilvl="0">
      <w:lvlJc w:val="left"/>
      <w:lvlText w:val="%1."/>
      <w:numFmt w:val="decimal"/>
      <w:start w:val="3"/>
    </w:lvl>
    <w:lvl w:ilvl="1">
      <w:lvlJc w:val="left"/>
      <w:lvlText w:val="(%2)"/>
      <w:numFmt w:val="lowerLetter"/>
      <w:start w:val="1"/>
    </w:lvl>
  </w:abstractNum>
  <w:abstractNum w:abstractNumId="10">
    <w:nsid w:val="431BD7B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decimal"/>
      <w:start w:val="2"/>
    </w:lvl>
  </w:abstractNum>
  <w:abstractNum w:abstractNumId="11">
    <w:nsid w:val="3F2DBA3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2">
    <w:nsid w:val="7C83E45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3">
    <w:nsid w:val="257130A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4">
    <w:nsid w:val="62BBD95A"/>
    <w:multiLevelType w:val="hybridMultilevel"/>
    <w:lvl w:ilvl="0">
      <w:lvlJc w:val="left"/>
      <w:lvlText w:val="(%1)"/>
      <w:numFmt w:val="lowerLetter"/>
      <w:start w:val="4"/>
    </w:lvl>
    <w:lvl w:ilvl="1">
      <w:lvlJc w:val="left"/>
      <w:lvlText w:val="(%2)"/>
      <w:numFmt w:val="lowerRoman"/>
      <w:start w:val="1"/>
    </w:lvl>
  </w:abstractNum>
  <w:abstractNum w:abstractNumId="15">
    <w:nsid w:val="436C6125"/>
    <w:multiLevelType w:val="hybridMultilevel"/>
    <w:lvl w:ilvl="0">
      <w:lvlJc w:val="left"/>
      <w:lvlText w:val="%1."/>
      <w:numFmt w:val="decimal"/>
      <w:start w:val="8"/>
    </w:lvl>
    <w:lvl w:ilvl="1">
      <w:lvlJc w:val="left"/>
      <w:lvlText w:val="(%2)"/>
      <w:numFmt w:val="lowerLetter"/>
      <w:start w:val="1"/>
    </w:lvl>
  </w:abstractNum>
  <w:abstractNum w:abstractNumId="16">
    <w:nsid w:val="628C895D"/>
    <w:multiLevelType w:val="hybridMultilevel"/>
    <w:lvl w:ilvl="0">
      <w:lvlJc w:val="left"/>
      <w:lvlText w:val="%1."/>
      <w:numFmt w:val="decimal"/>
      <w:start w:val="9"/>
    </w:lvl>
    <w:lvl w:ilvl="1">
      <w:lvlJc w:val="left"/>
      <w:lvlText w:val="(%2)"/>
      <w:numFmt w:val="lowerLetter"/>
      <w:start w:val="1"/>
    </w:lvl>
  </w:abstractNum>
  <w:abstractNum w:abstractNumId="17">
    <w:nsid w:val="333AB105"/>
    <w:multiLevelType w:val="hybridMultilevel"/>
    <w:lvl w:ilvl="0">
      <w:lvlJc w:val="left"/>
      <w:lvlText w:val="%1"/>
      <w:numFmt w:val="decimal"/>
      <w:start w:val="1"/>
    </w:lvl>
    <w:lvl w:ilvl="1">
      <w:lvlJc w:val="left"/>
      <w:lvlText w:val="(%2)"/>
      <w:numFmt w:val="lowerLetter"/>
      <w:start w:val="5"/>
    </w:lvl>
  </w:abstractNum>
  <w:abstractNum w:abstractNumId="18">
    <w:nsid w:val="721DA317"/>
    <w:multiLevelType w:val="hybridMultilevel"/>
    <w:lvl w:ilvl="0">
      <w:lvlJc w:val="left"/>
      <w:lvlText w:val="%1"/>
      <w:numFmt w:val="decimal"/>
      <w:start w:val="31"/>
    </w:lvl>
    <w:lvl w:ilvl="1">
      <w:lvlJc w:val="left"/>
      <w:lvlText w:val="(%2)"/>
      <w:numFmt w:val="lowerLetter"/>
      <w:start w:val="6"/>
    </w:lvl>
  </w:abstractNum>
  <w:abstractNum w:abstractNumId="19">
    <w:nsid w:val="2443A858"/>
    <w:multiLevelType w:val="hybridMultilevel"/>
    <w:lvl w:ilvl="0">
      <w:lvlJc w:val="left"/>
      <w:lvlText w:val="%1."/>
      <w:numFmt w:val="decimal"/>
      <w:start w:val="11"/>
    </w:lvl>
    <w:lvl w:ilvl="1">
      <w:lvlJc w:val="left"/>
      <w:lvlText w:val="(%2)"/>
      <w:numFmt w:val="lowerLetter"/>
      <w:start w:val="1"/>
    </w:lvl>
  </w:abstractNum>
  <w:abstractNum w:abstractNumId="20">
    <w:nsid w:val="2D1D5AE9"/>
    <w:multiLevelType w:val="hybridMultilevel"/>
    <w:lvl w:ilvl="0">
      <w:lvlJc w:val="left"/>
      <w:lvlText w:val="%1."/>
      <w:numFmt w:val="decimal"/>
      <w:start w:val="14"/>
    </w:lvl>
    <w:lvl w:ilvl="1">
      <w:lvlJc w:val="left"/>
      <w:lvlText w:val="(%2)"/>
      <w:numFmt w:val="lowerLetter"/>
      <w:start w:val="1"/>
    </w:lvl>
  </w:abstractNum>
  <w:abstractNum w:abstractNumId="21">
    <w:nsid w:val="6763845E"/>
    <w:multiLevelType w:val="hybridMultilevel"/>
    <w:lvl w:ilvl="0">
      <w:lvlJc w:val="left"/>
      <w:lvlText w:val="%1."/>
      <w:numFmt w:val="decimal"/>
      <w:start w:val="15"/>
    </w:lvl>
    <w:lvl w:ilvl="1">
      <w:lvlJc w:val="left"/>
      <w:lvlText w:val="(%2)"/>
      <w:numFmt w:val="lowerLetter"/>
      <w:start w:val="1"/>
    </w:lvl>
  </w:abstractNum>
  <w:abstractNum w:abstractNumId="22">
    <w:nsid w:val="75A2A8D4"/>
    <w:multiLevelType w:val="hybridMultilevel"/>
    <w:lvl w:ilvl="0">
      <w:lvlJc w:val="left"/>
      <w:lvlText w:val="%1."/>
      <w:numFmt w:val="decimal"/>
      <w:start w:val="21"/>
    </w:lvl>
    <w:lvl w:ilvl="1">
      <w:lvlJc w:val="left"/>
      <w:lvlText w:val="(%2)"/>
      <w:numFmt w:val="lowerLetter"/>
      <w:start w:val="1"/>
    </w:lvl>
  </w:abstractNum>
  <w:abstractNum w:abstractNumId="23">
    <w:nsid w:val="8EDBDAB"/>
    <w:multiLevelType w:val="hybridMultilevel"/>
    <w:lvl w:ilvl="0">
      <w:lvlJc w:val="left"/>
      <w:lvlText w:val="(%1)"/>
      <w:numFmt w:val="lowerLetter"/>
      <w:start w:val="4"/>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7" Type="http://schemas.openxmlformats.org/officeDocument/2006/relationships/image" Target="media/image3.png"/><Relationship Id="rId24" Type="http://schemas.openxmlformats.org/officeDocument/2006/relationships/image" Target="media/image4.png"/><Relationship Id="rId25"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7.jpeg"/><Relationship Id="rId28"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10" Type="http://schemas.openxmlformats.org/officeDocument/2006/relationships/hyperlink" Target="https://www.sec.gov/Archives/edgar/data/1830072/000168316826007580/ipower_i10k-063026.htm" TargetMode="External"/><Relationship Id="rId11" Type="http://schemas.openxmlformats.org/officeDocument/2006/relationships/hyperlink" Target="https://www.sec.gov/Archives/edgar/data/0001830072/000168316826005727/ipower_8k.htm" TargetMode="External"/><Relationship Id="rId12" Type="http://schemas.openxmlformats.org/officeDocument/2006/relationships/hyperlink" Target="https://www.sec.gov/Archives/edgar/data/0001830072/000168316826005967/ipower_8k.htm" TargetMode="External"/><Relationship Id="rId13" Type="http://schemas.openxmlformats.org/officeDocument/2006/relationships/hyperlink" Target="https://www.sec.gov/Archives/edgar/data/0001830072/000168316826007176/ipower_8k.htm" TargetMode="External"/><Relationship Id="rId14" Type="http://schemas.openxmlformats.org/officeDocument/2006/relationships/hyperlink" Target="https://www.sec.gov/Archives/edgar/data/0001830072/000168316826007276/ipower_8k.htm" TargetMode="External"/><Relationship Id="rId15" Type="http://schemas.openxmlformats.org/officeDocument/2006/relationships/hyperlink" Target="https://www.sec.gov/Archives/edgar/data/1830072/000168316826007863/ipower_8k.htm" TargetMode="External"/><Relationship Id="rId16" Type="http://schemas.openxmlformats.org/officeDocument/2006/relationships/hyperlink" Target="http://www.sec.gov/Archives/edgar/data/1830072/000168316821001779/ipower_8a.htm" TargetMode="External"/><Relationship Id="rId18" Type="http://schemas.openxmlformats.org/officeDocument/2006/relationships/hyperlink" Target="http://www.sec.gov/Archives/edgar/data/1830072/000168316821000335/ipower_ex0401.htm" TargetMode="External"/><Relationship Id="rId19" Type="http://schemas.openxmlformats.org/officeDocument/2006/relationships/hyperlink" Target="https://www.sec.gov/Archives/edgar/data/1830072/000168316824004323/ipower_ex0401.htm" TargetMode="External"/><Relationship Id="rId20" Type="http://schemas.openxmlformats.org/officeDocument/2006/relationships/hyperlink" Target="https://www.sec.gov/Archives/edgar/data/1830072/000168316825009331/ipower_ex0401.htm" TargetMode="External"/><Relationship Id="rId21" Type="http://schemas.openxmlformats.org/officeDocument/2006/relationships/hyperlink" Target="https://www.sec.gov/Archives/edgar/data/1830072/000168316825009331/ipower_ex0402.htm" TargetMode="External"/><Relationship Id="rId22" Type="http://schemas.openxmlformats.org/officeDocument/2006/relationships/hyperlink" Target="https://www.sec.gov/Archives/edgar/data/1830072/000168316826000884/ipower_ex1001.htm" TargetMode="External"/><Relationship Id="rId23" Type="http://schemas.openxmlformats.org/officeDocument/2006/relationships/hyperlink" Target="https://www.sec.gov/Archives/edgar/data/1830072/000168316826004092/ipower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2026-10-23T16:45:53Z</dcterms:created>
  <dcterms:modified xsi:type="dcterms:W3CDTF">2026-10-23T16:45:53Z</dcterms:modified>
</cp:coreProperties>
</file>