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440" w:right="2140" w:hanging="4108"/>
        <w:spacing w:after="0" w:line="500" w:lineRule="auto"/>
        <w:tabs>
          <w:tab w:leader="none" w:pos="7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June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1820" w:hanging="2828"/>
        <w:spacing w:after="0" w:line="500" w:lineRule="auto"/>
        <w:tabs>
          <w:tab w:leader="none" w:pos="7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3780" w:type="dxa"/>
            <w:vAlign w:val="bottom"/>
          </w:tcPr>
          <w:p>
            <w:pPr>
              <w:jc w:val="center"/>
              <w:ind w:left="165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Pr>
          <w:p>
            <w:pPr>
              <w:jc w:val="center"/>
              <w:ind w:right="17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540" w:type="dxa"/>
            <w:vAlign w:val="bottom"/>
            <w:gridSpan w:val="8"/>
          </w:tcPr>
          <w:p>
            <w:pPr>
              <w:jc w:val="center"/>
              <w:ind w:right="20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7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8798 9th Street</w:t>
            </w:r>
          </w:p>
        </w:tc>
        <w:tc>
          <w:tcPr>
            <w:tcW w:w="3700" w:type="dxa"/>
            <w:vAlign w:val="bottom"/>
          </w:tcPr>
          <w:p>
            <w:pPr>
              <w:spacing w:after="0"/>
              <w:rPr>
                <w:sz w:val="24"/>
                <w:szCs w:val="24"/>
                <w:color w:val="auto"/>
              </w:rPr>
            </w:pPr>
          </w:p>
        </w:tc>
      </w:tr>
      <w:tr>
        <w:trPr>
          <w:trHeight w:val="220"/>
        </w:trPr>
        <w:tc>
          <w:tcPr>
            <w:tcW w:w="3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70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p>
        </w:tc>
        <w:tc>
          <w:tcPr>
            <w:tcW w:w="37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70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332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4"/>
        </w:trPr>
        <w:tc>
          <w:tcPr>
            <w:tcW w:w="3780" w:type="dxa"/>
            <w:vAlign w:val="bottom"/>
          </w:tcPr>
          <w:p>
            <w:pPr>
              <w:spacing w:after="0"/>
              <w:rPr>
                <w:sz w:val="20"/>
                <w:szCs w:val="20"/>
                <w:color w:val="auto"/>
              </w:rPr>
            </w:pPr>
          </w:p>
        </w:tc>
        <w:tc>
          <w:tcPr>
            <w:tcW w:w="37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00" w:type="dxa"/>
            <w:vAlign w:val="bottom"/>
          </w:tcPr>
          <w:p>
            <w:pPr>
              <w:spacing w:after="0"/>
              <w:rPr>
                <w:sz w:val="20"/>
                <w:szCs w:val="20"/>
                <w:color w:val="auto"/>
              </w:rPr>
            </w:pPr>
          </w:p>
        </w:tc>
      </w:tr>
      <w:tr>
        <w:trPr>
          <w:trHeight w:val="432"/>
        </w:trPr>
        <w:tc>
          <w:tcPr>
            <w:tcW w:w="7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700" w:type="dxa"/>
            <w:vAlign w:val="bottom"/>
          </w:tcPr>
          <w:p>
            <w:pPr>
              <w:spacing w:after="0"/>
              <w:rPr>
                <w:sz w:val="24"/>
                <w:szCs w:val="24"/>
                <w:color w:val="auto"/>
              </w:rPr>
            </w:pPr>
          </w:p>
        </w:tc>
      </w:tr>
      <w:tr>
        <w:trPr>
          <w:trHeight w:val="432"/>
        </w:trPr>
        <w:tc>
          <w:tcPr>
            <w:tcW w:w="37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last business day of the registrant’s most recently completed second fiscal quarter, the aggregate market value of the voting and non-voting common equity held by non-affiliates was $9,775,042 based on the closing sale price of the registrant’s common stock on such date as reported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October 9, 2025 was 31,493,686.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60" w:type="dxa"/>
            <w:vAlign w:val="bottom"/>
            <w:gridSpan w:val="15"/>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rPr>
              <w:t>iPOWER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16"/>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1"/>
            <w:vMerge w:val="restart"/>
          </w:tcPr>
          <w:p>
            <w:pPr>
              <w:jc w:val="center"/>
              <w:ind w:right="4620"/>
              <w:spacing w:after="0"/>
              <w:rPr>
                <w:sz w:val="20"/>
                <w:szCs w:val="20"/>
                <w:color w:val="auto"/>
              </w:rPr>
            </w:pPr>
            <w:r>
              <w:rPr>
                <w:rFonts w:ascii="Times New Roman" w:cs="Times New Roman" w:eastAsia="Times New Roman" w:hAnsi="Times New Roman"/>
                <w:sz w:val="18"/>
                <w:szCs w:val="18"/>
                <w:color w:val="0000EE"/>
                <w:w w:val="95"/>
              </w:rPr>
              <w:t>PART I</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11"/>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Borders>
              <w:top w:val="single" w:sz="8" w:color="0000EE"/>
            </w:tcBorders>
            <w:gridSpan w:val="2"/>
          </w:tcPr>
          <w:p>
            <w:pPr>
              <w:spacing w:after="0"/>
              <w:rPr>
                <w:sz w:val="18"/>
                <w:szCs w:val="18"/>
                <w:color w:val="auto"/>
              </w:rPr>
            </w:pPr>
          </w:p>
        </w:tc>
        <w:tc>
          <w:tcPr>
            <w:tcW w:w="462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70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874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gridSpan w:val="2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20" w:type="dxa"/>
            <w:vAlign w:val="bottom"/>
            <w:gridSpan w:val="2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color w:val="0000EE"/>
                <w:w w:val="95"/>
              </w:rPr>
              <w:t>PART II</w:t>
            </w:r>
          </w:p>
        </w:tc>
        <w:tc>
          <w:tcPr>
            <w:tcW w:w="458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960" w:type="dxa"/>
            <w:vAlign w:val="bottom"/>
            <w:gridSpan w:val="2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540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2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440" w:type="dxa"/>
            <w:vAlign w:val="bottom"/>
            <w:gridSpan w:val="2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13"/>
          </w:tcPr>
          <w:p>
            <w:pPr>
              <w:jc w:val="center"/>
              <w:ind w:right="4560"/>
              <w:spacing w:after="0"/>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40" w:type="dxa"/>
            <w:vAlign w:val="bottom"/>
            <w:gridSpan w:val="2"/>
          </w:tcPr>
          <w:p>
            <w:pPr>
              <w:spacing w:after="0"/>
              <w:rPr>
                <w:sz w:val="17"/>
                <w:szCs w:val="17"/>
                <w:color w:val="auto"/>
              </w:rPr>
            </w:pPr>
          </w:p>
        </w:tc>
        <w:tc>
          <w:tcPr>
            <w:tcW w:w="660" w:type="dxa"/>
            <w:vAlign w:val="bottom"/>
            <w:tcBorders>
              <w:top w:val="single" w:sz="8" w:color="0000EE"/>
            </w:tcBorders>
            <w:gridSpan w:val="6"/>
          </w:tcPr>
          <w:p>
            <w:pPr>
              <w:spacing w:after="0"/>
              <w:rPr>
                <w:sz w:val="17"/>
                <w:szCs w:val="17"/>
                <w:color w:val="auto"/>
              </w:rPr>
            </w:pPr>
          </w:p>
        </w:tc>
        <w:tc>
          <w:tcPr>
            <w:tcW w:w="456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 and Related Transactions, and Director Independence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3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7"/>
              </w:rPr>
              <w:t>PART IV</w:t>
            </w:r>
          </w:p>
        </w:tc>
        <w:tc>
          <w:tcPr>
            <w:tcW w:w="454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60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8180" w:type="dxa"/>
            <w:vAlign w:val="bottom"/>
            <w:gridSpan w:val="2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(including the section regarding Management’s Discussion and Analysis and Results of Operations, the “Annual Report”) contains forward-looking statements within the meaning of Section 27A of the Securities Act of 1933, as amended, or the Securities Act, and Section 21E of the Securities Exchange Act of 1934, as amended, or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include statements concerning the following:</w:t>
      </w:r>
    </w:p>
    <w:p>
      <w:pPr>
        <w:spacing w:after="0" w:line="225" w:lineRule="exact"/>
        <w:rPr>
          <w:sz w:val="20"/>
          <w:szCs w:val="20"/>
          <w:color w:val="auto"/>
        </w:rPr>
      </w:pPr>
    </w:p>
    <w:p>
      <w:pPr>
        <w:ind w:left="680" w:hanging="335"/>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predict or anticipate the occurrence and duration of any economic and business consequences that may be caused by any epidemic, recession or other unknown or unanticipated general economic upheavals;</w:t>
      </w:r>
    </w:p>
    <w:p>
      <w:pPr>
        <w:ind w:left="680" w:hanging="335"/>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predict or anticipate the duration or long-term economic effect of the ongoing conflicts between Ukraine and Russia and in the Middle East and any potential supply chain issues that may result;</w:t>
      </w: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w:t>
      </w:r>
    </w:p>
    <w:p>
      <w:pPr>
        <w:spacing w:after="0" w:line="9"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capital requirements necessary to support our efforts to open or acquire new complimentary businesses and channels of trade;</w:t>
      </w: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needs and financial plans;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how it may impact consumer behavior and resulting sales;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consumer interest in growing crops with the equipment and other products that we offer;</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laws surrounding cannabis on a local, state, and federal level;</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manufacture and sell us inventory;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protect our intellectual property;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develop new intellectual property to continue enhancing our product and service offerings;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from unauthorized intrusions or theft of proprietary information;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executive team;</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third-party vendors and suppliers;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internally develop products and intellectual property;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technological advances by us or by third parties and our ability to leverage such advances;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growth opportunities;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current laws and the passage of future laws;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business model by investors;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and capital requirements;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additional products and services to customers;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growth;</w:t>
      </w:r>
    </w:p>
    <w:p>
      <w:pPr>
        <w:spacing w:after="0" w:line="9"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consistency in the quality of our products and the quality and costs of our supply chain, including management of freight costs;</w:t>
      </w:r>
    </w:p>
    <w:p>
      <w:pPr>
        <w:ind w:left="680" w:hanging="335"/>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to third party sales platforms, including Amazon.com, Walmart and eBay, through which we derive approximately 99% of our current revenues; and</w:t>
      </w:r>
    </w:p>
    <w:p>
      <w:pPr>
        <w:ind w:left="680" w:hanging="335"/>
        <w:spacing w:after="0" w:line="26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and supply chain as a result of any conflicts or trade wars between China and the U.S., as well as increased tariffs on the products which we import.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reports we file with the Securities and Exchange Commission, or the SEC. Actual events or results may vary significantly from those implied or projected by the forward-looking statements due to these risk factors. No forward-looking statement is a guarantee of future performance. You should read this Annual Report, the documents that we reference in this Annual Report and the documentation we have filed as exhibits thereto with the SEC, with the understanding that our actual future results and circumstances may be materially different from what we expect.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spacing w:after="0" w:line="180"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“the Company,” “we,” “us,” and/or “our” in this Annual Report refer to iPower Inc.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risks described under the heading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on page 6 of this Annual Report on Form 10-K may cause us to be unable to realize the full benefits of our strengths and/or may cause us to be unable to successfully execute all or part of our strategy. Some of the more significant challenges we face include: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Products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proprietary brand offerings, as well as third party brands, which could expose us to various risks.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and potential competitors may develop products and technologies that are more effective or commercially attractive than our products.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develop new products or improve existing products or maintain our effectiveness in reaching consumers through rapidly evolving communication vehicles.</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transportation for our products is vital to our success, and the loss of availability or increase in the cost of transportation or freight costs could have an unfavorable impact on our business, results of operations, financial condition, and cash flows.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between Russia and Ukraine may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both"/>
        <w:ind w:left="328" w:hanging="328"/>
        <w:spacing w:after="0" w:line="257"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epidemic or pandemic, including but not limited to COVID-19 or similar infectious diseases, and any resurgence in related infections, whether in the U.S., China or elsewhere, along with efforts to mitigate their impact, could adversely affect our business, liquidity, operations, financial condition, the business of our suppliers, vendors and logistic partners, and the price of our securities.</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on which stockholders and potential investors can evaluate our business or base an investment decision, and are only just now commencing our Digital Treasury Strategy.</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Almost all of our sales are carried out through third-party platforms, including Amazon, Temu, Walmart and eBay; any disruption in our selling efforts on such third party platforms could substantially disrupt our business.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economic conditions could adversely affect our business.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inflation, increased interest rates and other economic conditions including potential recession and credit market disruptions could negatively impact our business.</w:t>
      </w:r>
    </w:p>
    <w:p>
      <w:pPr>
        <w:jc w:val="both"/>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or weakened economic conditions in the U.S. and globally may adversely affect our business and operating results. Moreover, while the recent banking crisis involving the closure of Silicon Valley Bank (“SVB”) and other small banks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efforts to combat inflation, along with other interest rate pressures arising from an inflationary economic environment, could lead to higher financing costs.</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p>
      <w:pPr>
        <w:jc w:val="both"/>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China-based subsidiaries, Dayourenzi (Shenzhen) Technology Co., Ltd. and Daheshou (Shenzhen) Information Technology Co., Ltd., through which we procure the majority of our inventory and overseas logistical support, are owned through contractual agreements, as required by the laws of the PRC. As a result, the Chinese government could potentially exercise significant oversight and/or discretion over the business and operations of our China-based subsidiaries and could potentially intervene in or influence the operations of those businesses at any time.</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that could prohibit us from developing or increasing our customer base.</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additional capital to fund the expansion of our operations, we may not be able to obtain sufficient capital on terms favorable to us and may be forced to limit the expansion of our operations.</w:t>
      </w:r>
    </w:p>
    <w:p>
      <w:pPr>
        <w:ind w:left="328" w:right="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the continuing efforts of our executive officers and our business may be severely disrupted if we lose their services.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attracting and retaining highly qualified personnel, we may not be able to successfully implement our business strategy.</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increase our sales and marketing infrastructure, we will need to grow the size of our organization, and we may experience difficulties in managing this growth.</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products may be purchased for use in the cannabis industry and/or be subject to varying, inconsistent, and rapidly changing laws, regulations, administrative practices, enforcement approaches, judicial interpretations, and consumer perceptions.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federal intervention in certain segments of the cannabis industry may have a negative impact on us.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other strategic alliances, and investments could result in operating difficulties, dilution, and other harmful consequences that may adversely impact our business and results of operations.</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investment in and development of our new in-house branded product line is inherently risky and could disrupt our ongoing businesses.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execute our e-commerce business, our reputation and operating results may be harmed.</w:t>
      </w:r>
    </w:p>
    <w:p>
      <w:pPr>
        <w:spacing w:after="0" w:line="9" w:lineRule="exact"/>
        <w:rPr>
          <w:rFonts w:ascii="Times New Roman" w:cs="Times New Roman" w:eastAsia="Times New Roman" w:hAnsi="Times New Roman"/>
          <w:sz w:val="18"/>
          <w:szCs w:val="18"/>
          <w:color w:val="auto"/>
        </w:rPr>
      </w:pPr>
    </w:p>
    <w:p>
      <w:pPr>
        <w:ind w:left="328" w:hanging="328"/>
        <w:spacing w:after="0" w:line="26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proportion of our sales occur on Amazon and, as such, should our Company experience any negative actions by Amazon, our sales could be significantly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6" w:name="page7"/>
    <w:bookmarkEnd w:id="6"/>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could harm our business.</w:t>
      </w:r>
    </w:p>
    <w:p>
      <w:pPr>
        <w:spacing w:after="0" w:line="27"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 for certain products, such as light ballasts, may result in disruptions to our business and adversely affect our financial results.</w:t>
      </w: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interruption in the operation of our or our suppliers’ facilities could impact our capacity to produce products and service our customers, which could adversely affect revenues and earnings.</w:t>
      </w:r>
    </w:p>
    <w:p>
      <w:pPr>
        <w:ind w:left="328" w:right="2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are unable to source raw materials in sufficient quantities, on a timely basis, and at acceptable costs, our ability to sell our products may be harmed.</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availability or increases in the prices of raw materials sourced by suppliers could adversely affect our results of operations.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ind w:left="328" w:right="2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impaired if our information technology systems fail to perform adequately or if we are the subject of a data breach or cyber-attack.</w:t>
      </w:r>
    </w:p>
    <w:p>
      <w:pPr>
        <w:jc w:val="both"/>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and other proprietary rights that are material to our business.</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that we may adopt a digital treasury strategy which, if adopted and effectuated, would expose us to various risks, including risks associated with holding Bitcoin and other cryptocurrency assets, including the following:</w:t>
      </w:r>
    </w:p>
    <w:p>
      <w:pPr>
        <w:ind w:left="648" w:right="5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Bitcoin and other digital assets are highly volatile assets. o Bitcoin does not pay interest or dividends.</w:t>
      </w: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Bitcoin and other digital asset holdings could significantly impact our financial results and the market price of our listed securities.</w:t>
      </w:r>
    </w:p>
    <w:p>
      <w:pPr>
        <w:spacing w:after="0" w:line="9" w:lineRule="exact"/>
        <w:rPr>
          <w:rFonts w:ascii="Times New Roman" w:cs="Times New Roman" w:eastAsia="Times New Roman" w:hAnsi="Times New Roman"/>
          <w:sz w:val="18"/>
          <w:szCs w:val="18"/>
          <w:color w:val="auto"/>
        </w:rPr>
      </w:pPr>
    </w:p>
    <w:p>
      <w:pPr>
        <w:ind w:left="968"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Should we purchase Bitcoin or other digital assets, such acquisition would be completed primarily using proceeds from equity and debt financings.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7" w:name="page8"/>
    <w:bookmarkEnd w:id="7"/>
    <w:p>
      <w:pPr>
        <w:ind w:left="1300" w:hanging="320"/>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Treasury Strategy is new to our business, has not been tested and we will be unable to assure its success or successful implementation.</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counterparty risks, including in particular risks relating to our custodians.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digital assets industry is subject to counterparty risks, which could adversely impact the adoption rate, price, and use of Bitcoin and other cryptocurrency or digital assets.</w:t>
      </w:r>
    </w:p>
    <w:p>
      <w:pPr>
        <w:ind w:left="1300" w:hanging="320"/>
        <w:spacing w:after="0" w:line="26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of our Bitcoin or other digital currency holdings could have significant accounting impacts, including increasing the volatility of our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 Related to Our Business</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may adversely affect our business, financial condition, and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may incur substantial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insurance coverage adequate to cover all significant risk exposures.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the adoption of new tax legislation or exposure to additional tax liabilities could affect our profitability and cash flows.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products sell on a seasonal basis, resulting in fluctuations in our cash flow, inventory, and accounts payable.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our products and manage our inventory.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to meet their contractual, regulatory, and other obligations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sizes of the markets for our current and future products have not been established with precision and may be smaller than we estimate.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between Russia and Ukraine and in the Middle East may have the effect of heightening many of the other risks described in the “Risk Factors” section.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with the Cannabis Industry</w:t>
      </w:r>
    </w:p>
    <w:p>
      <w:pPr>
        <w:spacing w:after="0" w:line="229" w:lineRule="exact"/>
        <w:rPr>
          <w:sz w:val="20"/>
          <w:szCs w:val="20"/>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business includes both the hobbyist gardener, and is not exclusively reliant on the cannabis grower, our 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 pertaining to the use and cultivation of cannabis have been enacted on both the state and federal government level 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indirect involvement in the cannabis industry could affect the public’s perception of us and be detrimental to our reputation.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Businesses involved in the cannabis industry, and investments in such businesses, are subject to a variety of laws and regulations related to money laundering, financial recordkeeping, and regulations surrounding prevention of financial crimes.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29"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founders, officers and directors may control, and may continue to control, our company for the foreseeable future, including the outcome of matters requiring stockholder approval.</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 Related to our Common Stock</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including stock market volatility, inherent in owning our common stock.</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 and, as a result, your ability to achieve a return on your investment will depend on appreciation in the price of our common stock.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further dilution if we issue additional equity or equity-linked securities in the future.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common stock, the market price for our common stock and trading volume could decline.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actively-traded Nasdaq-listed company, the market price of our common stock may be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liquidation or dissolution of our company, stockholders may not recoup all or any portion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iPower Inc. (formerly BZRTH, Inc.), a California-based corporation, was formed in Nevada in April 2018 (“iPower,” “we,” or “us”). Driven by tech and data, iPower is an online retailer and supplier of consumer home, pet, garden products, outdoor and consumer electronics, as well as a provider of value-added ecommerce services for third-party products and brands. iPower's capabilities include a full spectrum of online channels, robust fulfillment capacity, a network of warehouses serving the U.S., competitive last mile delivery partners and a differentiated business intelligence platform. With these capabilities, iPower efficiently moves a diverse catalog of SKUs from its supply chain partners to end consumers every day, providing the best value to customers in the U.S. and other countries. Our sales channels currently include Amazon Vendor, Amazon 3P, Walmart.com, Tiktok, Temu, and other marketplaces as well as our e-commerce websites such as simpledeluxe.com and more. We continue to expand our product categories through product development, our SuperSuite supply chain partner and future acquisitions. We anticipate continuing to expand our reach across the United States and internationally through organic growth. iPower has developed a set of methodologies driven by proprietary data formulas to effectively bring products to market and increase sales.</w:t>
      </w:r>
    </w:p>
    <w:p>
      <w:pPr>
        <w:spacing w:after="0" w:line="19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8"/>
          <w:szCs w:val="18"/>
          <w:color w:val="auto"/>
        </w:rPr>
        <w:t xml:space="preserve">We are actively developing in-house branded products and through supply chain partners, which to date include </w:t>
      </w:r>
      <w:r>
        <w:rPr>
          <w:rFonts w:ascii="Times New Roman" w:cs="Times New Roman" w:eastAsia="Times New Roman" w:hAnsi="Times New Roman"/>
          <w:sz w:val="18"/>
          <w:szCs w:val="18"/>
          <w:b w:val="1"/>
          <w:bCs w:val="1"/>
          <w:i w:val="1"/>
          <w:iCs w:val="1"/>
          <w:color w:val="auto"/>
        </w:rPr>
        <w:t>iPower, Simple Deluxe</w:t>
      </w:r>
      <w:r>
        <w:rPr>
          <w:rFonts w:ascii="Times New Roman" w:cs="Times New Roman" w:eastAsia="Times New Roman" w:hAnsi="Times New Roman"/>
          <w:sz w:val="18"/>
          <w:szCs w:val="18"/>
          <w:color w:val="auto"/>
        </w:rPr>
        <w:t xml:space="preserve"> and other brands and consist of products such as home goods, fans, pet products, outdoor, gardening and consumer electronics, some of which have been designated as Amazon Choice products and category best sellers, among others. For the fiscal year ended June 30, 2025, our top five product categories accounted for 69% of total sales. While we continue to focus on our top product categories, we are working to expand our product catalog to include new and adjacent categories through in-house products and our supply chain partners driven by market data analytics.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iPower offers essential products in the home, pet, outdoor, gardening, and consumer electronics categories. We have established ours own in-house branded products as well as third-party brands from supply chain partners which are made available for purchase through our various sales channels. These products range from hydroponic-related items, fans, shelving, pet supplies, outdoor lifestyle products and consumer electronics, some of which have been designated as Amazon best seller product leaders, numerous of which have been designated “Amazon’s Choice” and “#1 Best Seller” products. This year, we expanded our in-house catalog to include more general home goods products, with home goods making up our largest meta category.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Large and Rapidly Growing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industry opportunity is in the retail sale and distribution of consumer goods. Our primary subcategories include consumer home, pet, hydroponics and gardening products, outdoor and consumer electronics. Hydroponics supplies generally include grow light systems; advanced heating, ventilation and air conditioning (“HVAC”) systems; water pumps, heaters, chillers and filters; nutrient and fertilizer delivery systems; and various growing media typically made from soil, rock wool or coconut fiber, among others. General gardening supplies generally include environmental sensors and controls and nutrients among others. Home goods supplies currently include commercial fans, floor and wall fans, storage and shelving units, and chairs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incurred any significant research and development (“R&amp;D”) expenses during the fiscal year ended June 30, 2025. We do most of our development work in conjunction with our supply chain partners and our manufacturing partners, where we co-engineer designs with their development teams. We plan to increase our investments in R&amp;D relating to the improvement of existing products and the development and addition of new product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and Suppliers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 diverse customer base, with residential gardeners and home goods consumers constituting a significant portion of our customer base and thus the largest portion of our total sales. We sell to both commercial and home cultivators growing specialty crops, as well as in the home goods category. At present, sales to customers through Amazon and other third-party online platforms accounts for almost all of our annual sales.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manufacture any of the products we sell through our distribution channels. We purchase our products from many different suppliers, including manufacturers and distributors in the U.S. and Southeast Asia. For the years ended June 30, 2025 and 2024, one supplier accounted for 14% and 10% of the Company's total purchases, respectively. We do not have any long-term supply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obtain both our branded proprietary products and distributed products from third party suppliers. Our products are sourced from well diversified suppliers and manufacturers, with approximately 90% sourced from China. Quality control is a critical priority for our team charged with ensuring the supply of the products from our suppliers, specifically those coming from China. We seek to ensure the highest level of quality control for our products through routine factory visits, spot testing and continual, ongoing supplier due diligence.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distributed products that are sourced from third-party suppliers, our experienced internal sourcing team is charged with maintaining strong relationships with current suppliers, while also constantly tracking current and future market trends and reviewing offerings of new suppliers.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exclusive purchase agreements with many of our suppliers. Based on our knowledge and communication with our suppliers, we believe some of our suppliers may sell directly to the retail market or to our wholesale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demand for iPower’s products is strong for several reasons. Consumer interest in hydroponics for in home gardening as a hobby and lifestyle choice surged in interest during the Covid-19 pandemic and has continued as employer work-from-home policies have allowed consumers to continue to expand upon their interests in at home gardening. Our non-hydroponics product lines are also seeing strong demand as the categories we participate in are primarily in large markets with a fragmented supply base. We also believe that our expertise in product development and supply chain management has created a catalog well suited to gaining market share in these categories. In addition, our relationship with our largest channel partner, Amazon, has led to a strong demand environment. Working as a supplier on Amazon’s Vendor Central platform, we are confident that we have demonstrated our ability to supply products that consumers want, in sufficient volumes, enabling us to meet the stringent operating metrics required by Amazon. We believe this has allowed us to gain market share from other suppliers in our various channels.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Strategy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continues to grow and develop its e-commerce platforms, including simpledeluxe.com and more, where we sell our in house and third party products. In addition to our websites, we offer products to consumers through established e-commerce channels such as Amazon, eBay, Tiktok, Temu and Walmart. Through these portals we offer various consumer products for sale. Online shoppers can have the ability to peruse our various product categories such as gardening equipment, home fans and furnishing, shelving, outdoor lifestyle products, and pet products, providing consumers with an easy and quick method to find the exact products they need. In addition to these sections, our webstores offer customers periodic flash deals, best value recommendations and clearance sale items. Each product listed on the site contains product descriptions, product reviews and a picture so the consumer can make an informed and educated purchase. Our product filters allow the consumer to search by brand, manufacturer, or by price. Consumers can shop online day and night and have their purchases shipped directly to the location of their choice, or simply elect to use our website as a resource. Google advertising, social media advertising and email list marketing, in addition to auto-ship functionality, are the primary mechanisms we employ to drive traffic to our e-commerce platforms and the other portals through which we make our products available for sale, including Amazon.com, Tiktok, Temu, eBay and Walmart. At present, more than 82% of our total sales occur through Amazon.com.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Established Distribution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worked to develop a highly developed distribution network through our distribution centers in California as well as partner fulfillment centers across the United States. We work with a network of third-party common carrier trucking/freight companies that service our customers throughout the U.S., Canada and across the globe. We receive daily customer orders via our business-to-business e-commerce platform. Orders are then routed to the applicable distribution center and packed for shipments. Most of our customer orders are shipped within one business day of order receipt.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and fragmented. Our key competitors include many local and national vendors of home and gardening supplies, local product resellers of hydroponic and other specialty growing equipment, as well as other online product resellers on large online marketplaces such as Amazon.com and Walmart.com. We compete with companies that have greater capital resources, facilities, and diversity of product lines. Our competitors could also introduce products and as manufacturers are able to sell equipment directly to consumers, our distributors could cease selling products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believe that our pricing, inventory and product availability, and overall customer service provide us with the ability to compete in this marketplace. We believe that we have the following core competitive advantages over our competitors:</w:t>
      </w:r>
    </w:p>
    <w:p>
      <w:pPr>
        <w:spacing w:after="0" w:line="162"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in-house branded products, we distribute products from third-party brands, ensuring that whatever a customer’s particular need may be, they need look no further than iPower for their product needs.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knowledgeable and experienced sales team can provide guidance and insights, whether dealing with a seasoned commercial entity or a first-time purchaser looking to get their grow operations off the ground.</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our e-commerce platform allows customers to shop from the comfort of their own home and have their purchases shipped directly to them.</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prominent position as a supplier to Amazon means that our products are prominently featured on the world’s most important retailer.</w:t>
      </w: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view ourselves as an industry leader, offering products and new technologies from the largest and most trusted names in the business, as well as our own in-house branded products.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Moreover, we expect that as we continue to grow our business, we will achieve an economy of scale and, as such, will be able to further optimize and expand supply chains, which will enable us to continue to maintain competitive pricing options and deliver the array of items that our customers require. Through supply chain and industry competency, support services, and through our relationships with suppliers, distributors, vendors, and logistics partners, we believe we can maintain and increase our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Proprietary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intellectual property primarily consists of our brands and their related trademarks, domain names, websites, customer lists and affiliations, as well as our marketing intangibles, product know-how and technology. We also hold rights to website addresses related to our business, including websites that are actively used in our daily business operations, such as Zenhydro.com and simpledeluxe.com. We own federally registered trademarks for “iPower” and “Simple Deluxe,” which correspond to our current in-house branded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and hemp, that may not grow or achieve market acceptance in a manner that we can predict. The demand for these products depends on the uncertain growth of these industries or segments.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and hemp, that are subject to varying, inconsistent, and rapidly changing laws, regulations, administrative practices, enforcement approaches, judicial interpretations, and consumer perceptions. For example, certain countries and a total of 48 U.S. states plus the District of Columbia have adopted frameworks, in varying forms, that authorize, regulate, and tax the cultivation, processing, sale, and use of cannabis for medicinal and/or non-medicinal use, as well as hemp and CBD, while the U.S. Controlled Substances Act and the laws of other U.S. states prohibit growing cannabis. In addition, with the passage of the Farm Bill in December 2018, hemp cultivation is now broadly permitted. The 2018 Farm Bill explicitly allows the transfer of hemp-derived products across state lines for commercial or other purposes. It also puts no restrictions on the sale, transport, or possession of hemp-derived products, so long as those items are produced in a manner consistent with the law. While we do not know the percentage or actual usage of our products for purposes of growing cannabis or hemp-derived products, for those users who intend to use the Company’s products to grow hemp-derived CBD medicinal products, the 2018 Farm Bill officially removed hemp from the list of controlled substances. While we note that the 2018 Farm Bill has not changed the regulatory authority of the Food and Drug Administration as concerns cannabis and cannabis-derived products, and that such products continue to remain subject to the same regulatory requirements as FDA-regulated products, we nonetheless believe the passage of the 2018 Farm Bill will allow the Company to expand its marketplace opportunities.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gardening products, including our hydroponic gardening products, are multi-purpose products designed and intended for growing a wide range of plants and are purchased by cultivators who may grow any variety of plants, including cannabis and hemp. Although the demand for certain of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The changing laws may cause us to experience additional capital expenditures as we adapt our business to meet the requirements of the evolving legal and regulatory landscape.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growth in licensed cannabis cultivation facilities and the growth in organically grown produce will increase the general demand for hydroponics products, including the hobbyist consumer segment that we serve. Further, we believe our dedication to providing consumers with innovative and cutting-edge products tailored to their individual needs, combined with our industry knowledge and customer service, has positioned iPower to take advantage of the domestic and international growth anticipated for hydroponic products.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Digital Treasury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recently announced our plans to adopt a digital treasury strategy (the “Digital Treasury Strategy”), with the plan of holding various cryptocurrency assets, starting with the plan of acquiring major digital currencies to serve as Company’s primary treasury reserve asset. When and if we do establish a Digital Treasury Strategy, we may hold a variety of cryptocurrency assets, which may change from time to time. The Company has not yet launched a Digital Treasury Strategy and it is unknown when, or if, we will commence such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conducting business as iPower Inc. (formerly BZRTH Inc.) since our formation in 2018 and subsequent acquisition of the assets, and certain liabilities, of BizRight LLC. In order to diversify and facilitate the Company’s marketing and research and development activities, we used two variable interest entities, E Marketing Solution Inc. (“E Marketing”) and Global Products Marketing Inc. (“GPM”), to perform and conduct certain aspects of our business relative to marketing, banking and cash management. E-Marketing and GPM were wholly owned by one of our shareholders, Shanshan Huang, and one of our founders and majority shareholders, Chenlong Tan. On May 18, 2021, the Company entered into equity purchase agreements with the shareholders of E Marketing and GPM, pursuant to which we acquired 100% of the equity interests of each of E Marketing and GPM for nominal consideration and E Marketing and GPM became our wholly owned subsidiaries.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Anivia Limited (“Anivia”). Anivia indirectly owns Dayourenzai (Shenzhen) Technology Co., Ltd. (“DYRZ”), a corporation located in the People’s Republic of China (“PRC”), which is a wholly foreign-owned enterprise of Fly Elephant Limited. Dayourenzai (Shenzhen) Technology Co., Ltd. which controlled, through contractual arrangements, the business, revenues, and profits of Daheshou (Shenzhen) Information Technology Co., Ltd., a company organized under the laws of the PRC and is located in Shenzhen, China (“DHS”). DHS was principally engaged in selling a wide range of products and providing merchandizing and logistics services in the PRC. In 2023, iPower purchased approximately 90% of its products and supplies from or through DHS. During 2025, we moved the business that was being conducted under DHS into iPower and DYRZ. After transferring all of the assets and operations out of DHS, on August 4, 2025, we entered into a contract termination agreement with DHS and its direct shareholders, Xiaoyun Liu and Jing Xie, and terminated our contractual relationship with DHS.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on February 10, 2022 and January 14, 2022, respectively, we entered into joint venture agreements with Global Social Medial, LLC, a Nevada limited liability company formed in 2022 which provides social media platform and services to assist business in product marketing (“GSM”), and Box Harmony, LLC, a Nevada limited liability company (“Box Harmony”) formed in 2022 which provides logistics services primarily for foreign-based manufacturers and distributors who desire to sell their products online in the United States with such logistic services to include, without limitation, receiving, storing and transporting such products. We have a 60% equity interest in GSM and a 40% equity interest in Box Harmony.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3, 2025, the Company, Custom Cup Factory, Inc., a California corporation (“CCF”), and Yi Yang entered into the Limited Liability Company Operating Agreement (the “Operating Agreement”) of United Package NV, LLC, a Nevada limited liability corporation (the “Joint Venture”).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Joint Venture focuses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the Joint Venture in consideration for the Joint Venture’s use of certain of the Company’s equipment and facility. Ms. Yang owns 1,140 Class A Voting Units of the Joint Venture in consideration for Ms. Yang’s commitment to manage the business of the Joint Venture and CCF owns 1,710 Class A Voting Units of the Joint Venture in consideration for CCF’s contribution of its marketing expertise, existing sales channel and customer list. The Joint Venture is managed by the Company, CCF and Yang.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 Nevada corporation, was formed on April 11, 2018 under the name BZRTH Inc. On September 4, 2020, we filed a Certificate of Amendment with the State of Nevada changing our name to iPower Inc.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8798 9th Street, Rancho Cucamonga, CA 91730, and our phone number is (626) 863-7344. Our business website is www.meetipower.com and our e-commerce websites are www.Zenhydro.com and www.simpledeluxe.com. Information contained on our websites should not be deemed incorporated by reference and is not a part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October 9, 2025, we had a total of 10 full-time and four part-time employees and consultants. None of our employees are subject to collective bargaining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sell proprietary brand offerings, as well as third party brands, which could expose us to various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 in the event of product defects or other issues;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measures we take may not effectively or sufficiently protect and/or maintain the intellectual property, and proprietary rights associated with our products and business;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heavily invest in marketing such proprietary branded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innovate and obtain, maintain, protect and enforce our intellectual property and proprietary rights (including defending against counterfeit, knock offs, grey-market, infringing or otherwise unauthorized goods); and</w:t>
      </w: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and potential competitors may develop products and technologies that are more effective or commercially attractive than our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develop new products or improve existing products or maintain our effectiveness in reaching consumers through rapidly evolving communication vehicles.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and cost of transportation for our products is vital to our success, and the loss of availability or increase in the cost of transportation or freight costs could have an unfavorable impact on our business, results of operations, financial condition, and cash flows.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obtain adequate and reasonably priced means of transportation to import and distribute our products is a key factor in our success. Delays in transportation, including weather-related delays and disruptions due to a pandemic or similar public health emergency, could have a material adverse effect on our business and results of operations. Further, higher fuel costs and increased line haul costs due to industry capacity constraints, customer delivery requirements and a more restrictive regulatory environment, could negatively impact our financial results. If we were unable to pass higher freight costs to our customers in the form of price increases, those higher costs could have a material adverse effect on our business, results of operations, financial condition and cash flows. Further, an increase in the selling prices for our products resulting from a pass-through of increased freight costs could also have an adverse impact on the volume of products we sell, and as a result, our business, financial condition, and operating results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financial condition, or results of operations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2022, Russia initiated a military offensive in Ukraine. While neither Ukraine nor Russia is a key supplier of ours, the scope, intensity, duration and outcome of the ongoing war is uncertain and its continuation or escalation could have a material adverse effect on iPower due to the general impact on the global supply chain and prices of certain commodities. While we presently have no business or direct trade relationships with entities located in Russia or Ukraine, the ongoing conflict between Russia and Ukraine could potentially cause supply chain disruptions that could disrupt our business should any of our end-suppliers rely on supplies, products or shipments from those regions.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war, the United States, other North Atlantic Treaty Organization (“NATO”) member states, as well as non-member states, have announced targeted economic sanctions on Russia, certain Russian citizens and enterprises. Any continuation or escalation of the war may trigger a series of additional economic and other sanctions. Certain companies have experienced negative reactions from their investors, employees, customers, or other stakeholders as a result of their action or inaction related to the war between Russia and Ukraine. We continue to monitor the reactions of our investors, employees, customers and other stakeholders and, as of the date of this report, have neither experienced any material adverse financial impacts nor suffered from the loss of key customers or employees.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risk of cybersecurity incidents has increased in connection with the ongoing war, driven by justifications such as retaliation for the sanctions imposed in conjunction with the war, or in response to certain companies’ continued operations in Russia. For example, the war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and could increase the frequency and severity of cyber-based attacks against our information technology systems. While we have taken actions to mitigate such potential risks, the proliferation of malware from the war into systems unrelated to the war or cyberattacks against U.S. companies in retaliation for U.S. sanctions against Russia or U.S. support of Ukraine, could also adversely affect our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insure ourselves against many types of risks; however, while this insurance may mitigate certain of the risks associated with the ongoing war, our level of insurance may not cover all losses we could incur. The potential effects of these conditions could have a material adverse effect on our business, results of operations and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any epidemic or pandemic, including but not limited to COVID-19 or similar infectious diseases, and any resurgence in related infections, whether in the U.S., China or elsewhere, along with efforts to mitigate their impact, could adversely affect our business, liquidity, operations, financial condition, the business of our suppliers, vendors and logistic partners, and the price of our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emergence of any epidemic or pandemic, and the measures taken to combat such health crises by public health authorities and governments at local, national, and international levels, may have significant adverse effects on our business. These measures, which may directly or indirectly impact our operations, include but are not limited to:</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gatherings in public places;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of non-essential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and spending patterns.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future epidemic or pandemic, we cannot predict the duration of such an outbreak, the effectiveness of our response, or the full extent of the disruption to our operations. The impact may vary depending on the nature and severity of the health crisis, as well as the specific measures implemented to contain its spread and mitigate its effects.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even after an epidemic or pandemic subsides, we may continue to experience adverse effects to our business as a result of a pandemic’s overall global economic impact, including any recession, economic downturn or increased unemployment that has occurred or may occur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on which stockholders and potential investors can evaluate our business or base an investment decision.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Thereafter, we launched our e-commerce platforms, www.Zenhydro.com and www.simpledeluxe.com, where we sell our own in-house branded products, marketed under the iPower and Simple Deluxe brands, and provide distribution for hundreds of other brands manufactured by a number of third-party vendors. Accordingly, the operation of our e-commerce platform, branding and marketing of our own in-house branded products, and our relationships with third-party vendors and suppliers have been limited. If we are unable to effectively maintain our relationships with third-party vendors and suppliers, manage our e-commerce operations, as well as other sales platforms/distribution network, our business is unlikely to succeed. Our business should be viewed in light of these risks, challenges and uncertainties. In addition, our board of directors only authorized our commencement of the Digital Treasury Strategy in June 17, 2025, so, in the event we launch such strategy, we have only limited experience in that area and cannot assure investors that we will be successful in executing on a Digital Treasury Strategy.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Almost all of our sales are carried out through third-party platforms, including Amazon, Temu, Walmart and eBay; any disruption in our selling efforts on such third party platforms could substantially disrupt our business.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While we maintain our own websites, </w:t>
      </w:r>
      <w:r>
        <w:rPr>
          <w:rFonts w:ascii="Times New Roman" w:cs="Times New Roman" w:eastAsia="Times New Roman" w:hAnsi="Times New Roman"/>
          <w:sz w:val="18"/>
          <w:szCs w:val="18"/>
          <w:i w:val="1"/>
          <w:iCs w:val="1"/>
          <w:color w:val="auto"/>
        </w:rPr>
        <w:t>Zenhydro.com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simpledeluxe.com</w:t>
      </w:r>
      <w:r>
        <w:rPr>
          <w:rFonts w:ascii="Times New Roman" w:cs="Times New Roman" w:eastAsia="Times New Roman" w:hAnsi="Times New Roman"/>
          <w:sz w:val="18"/>
          <w:szCs w:val="18"/>
          <w:color w:val="auto"/>
        </w:rPr>
        <w:t>, as well as our offline wholesale department, almost all of our sales occurred on third party platforms such as Amazon, Temu, Walmart and other platforms. As such, should we experience a disruption in our sales on third party platforms, or should such third party platforms somehow come to rank us unfavorably or fail to list our products, this could negatively affect our overall sales and, thus, negatively impact our overall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Poor economic conditions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 global economic conditions, particularly in light of the COVID-19 pandemic, could adversely affect our business. During the COVID-19 pandemic, some of the effects of which are still ongoing, there have been ongoing negative global economic trends, such as decreased consumer and business spending, higher than normal unemployment levels and declining consumer and business confidence. All of these issues have posed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Heightened inflation, increased interest rates and other economic conditions including potential recession and credit market disruptions could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demand for our products may be influenced by heightened inflation, increased interest rates and other weak economic conditions including recessionary conditions and credit market disruptions and volatility. Continued weak economic conditions may cause a decrease in demand for our products from our customers. In addition, these economic conditions may adversely impact certain customers, suppliers and other vendors who are highly leveraged. Accordingly, in an environment of heightened inflation, increased interest rates or other recessionary pressures, our business, financial condition and results of operation may be adversely impacted.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Volatile or weakened economic conditions in the U.S. and globally may adversely affect our business and operating results. Moreover, while the recent banking crisis involving the closure of Silicon Valley Bank (“SVB”) and other small banks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overall performance depends in part on U.S. and international macroeconomic conditions. The U.S. and other key international economies, including China, have experienced and may in the future experience significant economic and market downturns in which economic activity is impacted by falling demand for a variety of goods and services, restricted credit, poor liquidity, reduced corporate profitability, volatility in credit, equity and foreign exchange markets, inflation, bankruptcies and overall uncertainty with respect to the economy. These economic conditions can arise suddenly and the full impact of such conditions are impossible to predict. In addition, geopolitical and domestic political developments, such as existing and potential trade wars and other events beyond our control, such as the war in Ukraine and the trade war between the U.S. and China, can increase levels of political and economic unpredictability globally and increase the volatility of global financial markets.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there has been recent turmoil in the global banking system. For example, in March 2023, SVB was closed by the California Department of Financial Protection and Innovation, which appointed the Federal Deposit Insurance Corporation, or the FDIC, as receiver. First-Citizens Bank &amp; Trust Company then assumed all of SVB’s customer deposits and certain other liabilities and acquired substantially all of SVB’s loans and certain other assets from the FDIC. While the closure of SVB, and the subsequent failures of Signature Bank, First Republic Bank and Heartland Tri-State Bank,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efforts to combat inflation, along with other interest rate pressures arising from an inflationary economic environment, could lead to higher financing costs.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Inflation has risen on a global basis, the U.S. has been experiencing historically high levels of inflation, and government entities have taken various actions to combat inflation, such as by raising interest rate benchmarks. Government entities may continue their efforts, or implement additional efforts, to combat inflation, which could include, among other things, continuing to raise interest rate benchmarks or maintaining interest rate benchmarks at elevated levels. Such government efforts, along with other interest rate pressures arising from an inflationary economic environment, could lead to higher financing costs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heavily reliant on manufacturers in China to produce many of the goods we sell. Approximately 96% of the products we purchased for resale during the fiscal year ended June 30, 2025 were manufactured in and imported from China. At present, we have 7 suppliers in the U.S. and more than 144 suppliers in China. However, all of the goods sourced in China were purchased through our VIE, DHS.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in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However, should we be unable to continue to absorb such costs, or should we need to pass all such costs on to consumers, such increase could cut into our competitive advantage and our volume of sales activity in the United States could be materially reduced. Any such reduction may materially and adversely affect our sales and our business.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China-based subsidiary, Dayourenzi (Shenzhen) Technology Co., Ltd., through which we have historically procured much of our inventory and overseas logistical support, is owned through contractual agreements, as required by the laws of the PRC. As a result, the Chinese government could potentially exercise significant oversight and/or discretion over the business and operations of our China-based subsidiary and could potentially intervene in or influence the operations of those businesses at any time.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recently acquired two China-based subsidiaries, Dayourenzi (Shenzhen) Technology Co., Ltd. (“DYRZ”) and Daheshou (Shenzhen) Information Technology Co., Ltd. (“DHS”). (DYRZ and DHS together are referred to as our “China-based Subsidiary”). The Operating Company DYRZ, in conjunction with our since disposed variable interest entity, DHS, has historically provided the bulk of our China-based procurement and logistical needs and we believe it will help streamline our procurement of goods and shipping, as well as reduce costs by bringing these services in house. Our China-based subsidiary is owned by us through contractual arrangements with our Hong Kong subsidiary, Fly Elephant Limited, and its parent company, Anivia Limited, a British Virgin Islands company. In addition, our China-based subsidiary may be at risk of influence by the PRC government as it is subject to the laws, rules and regulations of the PRC, which can be complex and evolve rapidly. The PRC government has the power to exercise significant oversight and discretion over the conduct of our China-based Subsidiary, and the regulations to which they are subject may change rapidly and with little notice to us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own policies and practices. New laws, regulations and other government directives in the PRC may also be costly to comply with, and such compliance or any associated inquiries or investigations or any other government actions may, as regards our China-based Subsidiary:</w:t>
      </w:r>
    </w:p>
    <w:p>
      <w:pPr>
        <w:spacing w:after="0" w:line="1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China-based business practices.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could restrict or otherwise unfavorably impact the ability or manner in which we conduct the business of our China based subsidiaries and could require us to change certain aspects of their business to ensure compliance, which could delay our procurement of goods, reduce revenues, increase costs, or subject us to additional liabilities. To the extent any new or more stringent measures are required to be implemented in the PRC,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specialty gardening and hydroponic product industry is highly competitive. We may compete with companies that have greater capital resources and facilities. More established gardening companies with much greater financial resources which do not currently compete with us may be able to easily adapt their existing operations to sell hydroponic growing equipment. Our competitors may also introduce new hydroponic growing equipment,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additional capital to fund the expansion of our operations, we may not be able to obtain sufficient capital on terms favorable to us and may be forced to limit the expansion of our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and our business may be severely disrupted if we lose their services.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substantially on the continued services of our executive officers, especially our Chairman, Chief Executive Officer, President and Interim Chief Financial Officer, Chenlong Tan. We do not presently maintain key man life insurance on any of our executive officers or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hydroponics and gardening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our sales and marketing infrastructure, we will need to grow the size of our organization, and we may experience difficulties in managing this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continue to work to increase our presence across the hydroponics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hydroponics industry will depend in part on our ability to effectively manage any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the cannabis industry and/or be subject to varying, inconsistent, and rapidly changing laws, regulations, administrative practices, enforcement approaches, judicial interpretations, and consumer perceptions.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hydroponic gardening products are multi-purpose products designed and intended for growing a wide range of plants and are generally purchased from retailers by end users who may grow any variety of vegetables and plants, including cannabis. As such, we sell hydroponic gardening products that end users may purchase for use in a variety of industries or segments, including the growing of cannabis. The cannabis industry is subject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act solely as a supplier and distributor of hydroponics equipment and supplies, and at no time do we engage in the cultivation, sale, distribution or dispensing of cannabis or any cannabis products or accessories. In addition, we believe that none of our hydroponic equipment and supplies or any other products we sell would be considered paraphernalia under federal drug paraphernalia laws. Similar to Amazon and eBay, we do not advertise or promote our products on our website for use in growing cannabis, nor do we screen or otherwise track how our customers use our products – whether it is to grow flowers, fruits, vegetables or cannabis.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unaware of any threatened or actual law enforcement activity against manufacturers, distributors or retailers of hydroponic supplies that could potentially be used by participants in the cannabis industry, and do not believe that our operations directly or indirectly violate aid and abet violations of the Controlled Substances Act (including Section 856) or other federal laws (including conspiracy laws, money laundering laws, or RICO. Nevertheless, a theoretical risk exists that our activities could be deemed to be facilitating the selling or distribution of cannabis in violation of the Federal Controlled Substances Act, or to constitute aiding or abetting, or being an accessory to, a violation of that Act. Federal authorities have not focused their resources on such tangential or secondary violations of the Act, nor have they threatened to do so, with respect to the sale of equipment that might be used by cannabis gardeners, or with respect to any supplies marketed to participants in the emerging medical cannabis industry. We are unaware of such a broad application of the Controlled Substances Act by federal authorities.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federal government were to change its practices, or were to expend its resources attacking providers of equipment that could be usable by participants in the medical or recreational cannabis industry, such action could have a materially adverse effect on our operations, our customers, or the sale of our products. In addition, we could be faced with or required to expend substantial resources in an effort to comply with new and changing laws and regulations. Such necessary capital expenditures could negatively affect our earnings and competitive position.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federal intervention in certain segments of the cannabis industry may have a negative impact on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expect minimal impact on the Company from any federal government crackdown on cannabis providers, a disruption to the cannabis industry could cause some potential customers to be more reluctant to invest in growing equipment, including equipment we sell. Moreover, the federal government’s tactics may change or have unforeseen effects, which could be detrimental to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ongoing investment in and development of our new in-house branded product line is inherently risky and could disrupt our ongoing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certain of our products over the internet through our e-commerce platforms, www.Zenhydro.com and www.simpledeluxe.com.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success of our e-commerce business and the satisfaction of our customers depends on their timely receipt of our products and their ability to pick up their desired products from one of our garden centers. The efficient delivery and/or pick up of our products requires that our garden and distribution centers have adequate capacity to support the current level of e-commerce operations and any anticipated increased levels that may occur as a result of the growth of our e-commerce business. If we encounter difficulties with our garden and distribution centers, or if any garden and distribution centers shut down for any reason, including as a result of fire or other natural disaster, or pursuant to expanded stay-at-home orders or other restrictions due to any potential pandemic, we could face shortages of inventory, which would result in our inability to properly our online store. Such a situation could cause us to incur significantly higher costs and lead to longer lead times associated with distributing products to our customers, which could cause us to lose customers. Experiencing any of these issues could have a material adverse effect on our business and harm our reputation.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proportion of our sales occur on Amazon and, as such, should our Company experience any negative actions by Amazon, our sales could be significantly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proportion of our sales occur on the Amazon.com platform. For the years ended June 30, 2025 and 2024, Amazon Vendor and Amazon Seller customers accounted for 82% and 90% of the Company's total revenues, respectively, and as of June 30, 2025 and 2024, accounts receivable from Amazon Vendor and Amazon Seller accounted for 72% and 91% of the Company’s total accounts receivable, respectively. Any disruption in our sales or accessibility to Amazon, or any negative action taken by Amazon related to our sales, could negatively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manufacturers could harm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certain products, such as light ballasts, may result in disruptions to our business and adversely affect our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certain of our products and supplies. For the years ended June 30, 2025 and 2024, one supplier accounted for 14% and 10% of the Company's total purchases, respectively.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including with respect to staffing and shipping of products, we could experience disruptions in our supply chain, which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are unable to source raw materials in sufficient quantities, on a timely basis, and at acceptable costs, our ability to sell our products may be harmed.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sourced by suppliers could adversely affect our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source many of our product components from outside of the United States. The general availability and price of those components can be affected by numerous forces beyond our control, including political instability, the conflict between Russia and Ukraine,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engage in interest-based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hydroponics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All new products are prone to risks of failure inherent in hydroponic technology development.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has not performed an evaluation of our internal control over financial reporting during any period in accordance with the provisions under Section 404(b) of Sarbanes-Oxley Act. Had we performed an evaluation and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could materially and adversely impact our business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products are manufactured and supplied by unaffiliated third parties, most of which are located in China. In addition, two of our subsidiaries are based in China. 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closely monitoring the changes in international trade policy, which may be subject to rapid changes and fluctuation, and are assessing the potential impact of these and other trade policy changes on our business operations and financial performance. In February and March 2025, the U.S. administration imposed an additional 20% duty on Chinese imports. Subsequently, authorities in China announced tariffs over selected U.S. products and regulatory investigation against U.S. companies in response to the tariff imposed by the U.S.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starting on April 10, 2025. Then on April 10, the U.S. announced it would charge 145% tariffs on goods imported from China, while the Chinese government announced that it would impose 125% tariffs on U.S. exports to China. As of the date of this filing, the U.S. and China have agreed to lower the tariffs for a period of 90 days, with the U.S. lowering the base tariff rate on most Chinese goods to 30% from 145% and China lowering the base tariff rate to 10% from 125%, with the goal of negotiating a more permanent trade agreement during the 90 day period. Any unfavorable government policies on international trade, such as capital controls or tariffs, and any uncertainty resulting from the changing nature of such policies,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additional retaliatory trade actions due to the recent U.S.-China trade tension, such changes could have an adverse effect on our business,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extent and duration of any tariffs and the resulting impact on general economic conditions and on our business are uncertain and depend on various factors, such as negotiations between the United States and China and/or other countries, the response of such countries, exemptions or exclusions that may be granted, availability and cost of alternative sources of supply of materials we purchase from companies in China or other countries targeted with tariffs.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announced that we may adopt a digital treasury strategy which, if adopted and effectuated, would expose us to various risks, including risks associated with holding Bitcoin and other cryptocurrency assets.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only announced that we may adopt a Digital Treasury Strategy, and we have not yet effectuated such strategy, such strategy, if adopted and effectuated, would expose us to various risks, including risks associated with holding Bitcoin and other cryptocurrency assets, including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and other digital assets are highly volatile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does not pay interest or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and other digital asset holdings could significantly impact our financial results and the market price of our listed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we purchase Bitcoin or other digital assets, such acquisition would be completed primarily using proceeds from equity and debt financings.</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Treasury Strategy is new to our business, has not been tested and we will be unable to assure its success or successful implementation.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counterparty risks, including in particular risks relating to our custodians.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digital assets industry is subject to counterparty risks, which could adversely impact the adoption rate, price, and use of Bitcoin and other cryptocurrency or digital assets.</w:t>
      </w:r>
    </w:p>
    <w:p>
      <w:pPr>
        <w:ind w:left="660" w:right="2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of our Bitcoin or other digital currency holdings could have significant accounting impacts, including increasing the volatility of our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operations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which dispute has been settled as of the date of this Annual Report, the Company has not been a party to any material litigation. See “Item 3. Legal Proceedings”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products that we may offer for sale;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value of our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insurance coverage adequate to cover all significant risk exposures.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ordinary course of business, we anticipate that we will be exposed to certain liabilities that are unique to the products we provide. We currently maintain only general liability, umbrella liability, business personal property and business income insurance policies and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sell on a seasonal basis, resulting in fluctuations in our cash flow, inventory, and accounts payable.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estimates of the total addressable markets for our current products, products under development and third-party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and the war in the Middle East may have the effect of heightening many of the other risks described in this “Risk Factors” section.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conflict between Russia and Ukraine and the war in the Middle East may adversely affect our business and financial results, it may also have the effect of heightening many of the other risks described in this “Risk Factors” section, as well as other risks which we may not be currently aware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with the Cannabis Industry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While our business includes both the hobbyist gardener, and is not exclusively reliant on the cannabis grower,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b w:val="1"/>
          <w:bCs w:val="1"/>
          <w:i w:val="1"/>
          <w:iCs w:val="1"/>
          <w:color w:val="auto"/>
        </w:rPr>
        <w:t xml:space="preserve"> 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base of growers in the U.S. has grown over the past 20 years since the legalization of cannabis for medical uses in states such as California, Colorado, Michigan, Nevada, New Jersey, Oregon, and Washington, with a large number of those growers depending on products similar to those we distribute. The U.S. cannabis market is still in its infancy and early adopter states such as California, Colorado and Washington represent a large portion of historical industry revenues. If the U.S. cannabis cultivation market does not grow as expected, our business, financial condition and results of operations could be adversely impacted.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remains illegal under U.S. federal law, with it listed as a Schedule I substance under the Controlled Substances Act (CSA). Notwithstanding laws in various states permitting certain cannabis activities, all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sales through our own platforms, www.Zenhydro.com and www.simpledeluxe.com, we sell our products through third-party retailers and resellers. However, it is evident to us that the movement towards the legalization of cannabis in the U.S. and its legalization in Canada has ultimately had a significant and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Individual state laws regarding the cultivation and possession of cannabis for adult and medical uses conflict with federal laws prohibiting the cultivation, possession and use of cannabis for any purpose. A number of states have passed legislation legalizing or decriminalizing cannabis for adult-use, other states have enacted legislation specifically permitting the cultivation and use of cannabis for medicinal purposes, and several states have enacted legislation permitting cannabis cultivation and use for both adult and medicinal purposes. Evolving federal and state laws and regulations pertaining to the use or cultivation of cannabis, as well active enforcement by federal or state authorities of the laws and regulations governing the use and cultivation of cannabis may indirectly and adversely affect our business, our revenues, and our profits.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selling our products through our own online platforms, www.Zenhydro.com and www.simpledeluxe.com, we sell products, including hydroponic gardening products, through third-party retailers and resellers. End users may purchase these products for use in new and emerging industries that may not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 and financial condition.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public’s perception of cannabis may significantly impact the cannabis industry’s success. Both the medical and adult-use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adult-use of cannabis where it is now legal, thereby limiting the Cannabis Industry Participants.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indirect involvement in the cannabis industry could affect the public’s perception of us and be detrimental to our reputation.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those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cannabis companies and their activities, whether true or not and the cannabis industry in general, whether true or not. We do not ultimately have direct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third parties with whom we may do business could perceive that they are exposed to reputational risk as a result of the involvement of some of our customers in the cannabis business. Failure to establish or maintain business relationships due to reputational risk arising in connection with the nature of our business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sell our products through our websites, www.Zenhydro.com and www.simpledeluxe.com, as well as through online third-party retail platforms which do not exclusively sell to customers operating in the cannabis industry. Nonetheless, some of our customers may be using our products for purposes of cultivating cannabis. Investments in the U.S. cannabis industry are subject to a variety of laws and regulations that involve money laundering, financial recordkeeping and proceeds of crime, including the BSA, as amended by the U.S. PATRIOT Act, other anti-money laundering laws, and any related or similar rules, regulations or guidelines, issued, administered or enforced by governmental authorities in the United States. In February 2014, the Financial Crimes Enforcement Network of the Treasury Department (“FinCEN”) issued a memorandum (the “FinCEN Memo”) providing guidance to banks seeking to provide services to cannabis businesses. The FinCEN Memo outlines circumstances under which banks may provide services to cannabis businesses without risking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which most banks have viewed as onerous. On June 29, 2020, FinCEN issued additional guidance for financial 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which must be operating lawfully under applicable state law and regulations, these requirements can still present challenges for certain end users of our products to establish and maintain banking connections, and restrictions on cannabis-related banking activities remain. In September 2019, the United States House of Representatives passed the SAFE Banking Act, which would permit commercial banks to offer services to cannabis companies that are in compliance with state law, but the Senate has not taken up the SAFE Banking Act or other similar legislation.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 2025, the Company received a letter from the Nasdaq Listing Qualifications Staff of The Nasdaq Stock Market LLC (“Nasdaq”) stating that for the 30 consecutive business day period between November 15, 2024 to December 31, 2024,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July 1, 2025 (the “Compliance Period”), to regain compliance with the Minimum Bid Price Requirement. To regain compliance, the closing bid price of the Company’s common stock must meet or exceed $1.00 per share for a minimum of ten consecutive trading days, unless such period is extended by Nasdaq.</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Nasdaq Rules, the Company was provided with an initial period of 180 calendar days, or until July 1, 2025 (the “Initial Grace Period”), to regain compliance with the Bid Price Requirement. Since the Initial Grace Period was coming to an end and the Company had not yet regained compliance, on June 12, 2025, the Company submitted a plan of compliance (the “Plan of Compliance”) to Nasdaq seeking an additional 180-day grace period (the "Additional Grace Period") to regain compliance with the Bid Price Requirement. The Plan of Compliance set forth the steps the Company would take to regain compliance with the Bid Price Requirement within the additional 180-day period, including effectuating a reverse split of its common stock, if deemed necessary.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 2025, the Company received formal approval from Nasdaq granting it an additional 180 days, or until December 29, 2025 (the “Compliance Date”), to regain compliance with the Bid Price Requirement.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before the Compliance Date the closing bid price for the Company’s Common Stock is at least $1.00 for a minimum of 10 consecutive business days, the Staff will provide the Company written confirmation that it has regained compliance with the Bid Price Requirement. If the Company does not regain compliance with the Bid Price Requirement by the Compliance Date, the Staff will provide written notification to the Company that its Common Stock will be subject to delisting. At that time, the Company may appeal the Staff’s delisting determination to a Nasdaq Hearings Panel. There can be no assurance that the Company will regain compliance or otherwise maintain compliance with any of the other listing requirements. Nonetheless, the Company intends to monitor the closing bid price of its Common Stock and will, if necessary, consider available options to regain compliance with the Bid Price Requirement prior to the Compliance 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founders, officers and directors may control, and may continue to control, our company for the foreseeable future, including the outcome of matters requiring stockholder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founders, officers and directors collectively beneficially own approximately 51% of our outstanding shares of common stock. As a result, such individuals may, for the foreseeable future, have the ability, acting together, to control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Certain of these individuals also have significant control over our business, policies and affairs as officers or directors of our company. Therefore, you should not invest in reliance on your ability to have any control over our company. See “Item 12. Security Ownership of Certain Beneficial Owners and Management and Related Stockholder Matters” for further discussion of the stockholding of our founders and principal stockholders.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by the selling stockholder in the Private Placement (as defined below) or the perception that these sales could occur, could adversely affect the price of our common stock.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18, 2024, we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According to the stock purchase agreement entered into by the Company and investor thereof during the Offering, on July 9, 2024, we filed a Form S-1 to register the resale, from time to time, of up to an aggregate of 2,083,334 Warrant Shares, issuable upon the exercise of the Warrants issued in the Private Placement by the selling stockholder named thereto (the “Resale Prospectus”).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 by the selling stockholder of a significant number of shares of common stock could have a material adverse effect on the market price of our common stock. In addition, the perception in the public markets that the selling stockholder may sell all or a portion of its shares as a result of the registration of such shares for resale pursuant to the Resale Prospectus could also in and of itself have a material adverse effect on the market price of our common stock. We cannot predict the effect, if any, that market sales of those shares of common stock or the availability of those shares of common stock for resale will have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be certain when or if our operations will generate sufficient cash to fully fund our ongoing operations or the growth of our business. We intend to continue to make investments to support our business, which may require us to engage in equity or debt financing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Nasdaq-listed public company, we face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or Section 404, to furnish a report by management on the effectiveness of our internal control over financial reporting for the fiscal year ending June 30, 2025. This assessment needs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requires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effectiveness of the Company’s initial registration statement, or until the earliest of (i) the last day of the first fiscal year in which our annual gross revenues exceed $1.235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$1.0 billion in non-convertible debt during the preceding three year period.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We cannot predict or estimate the amount of additional costs we may incur or the timing of such costs.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further dilution if we issue additional equity or equity-linked securities in the future.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common stock, or securities convertible into or exchangeable or exercisable for shares of common stock, our stockholders, including investors who purchase shares of common stock in this offering, will experience additional dilution, and any such issuances may result in downward pressure on the price of our common stock. As a result, investors purchasing shares or other securities in the future could have rights superior to existing stockholders.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common stock, the market price for our common stock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actively traded Nasdaq-listed company, the market price of our common stock may be volatile.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our securities are publicly-traded and even though an active market for our common stock has developed, the market price for our common stock may be volatile and subject to wide fluctuations in response to factors including the following: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operational estimates or projections;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and elsewhere.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liquidation or dissolution of our company, stockholders may not recoup all or any portion of their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enterprise risk management program. The Company manages cybersecurity and data protection through a continuously evolving program. Our cybersecurity risk management program is designed to provide a framework for assessing, identifying and managing cybersecurity threats and incidents, including threats and incidents associated with the use of services provided by third-party service providers, and to facilitate coordination across different departments of our Company. Our processes include steps for assessing the severity of a cybersecurity threat, identifying the source of a cybersecurity threat, including whether the cybersecurity threat is associated with a third-party service provider, and implementing cybersecurity countermeasures and mitigation strategies and informing management and the board of directors of material cybersecurity threats and incidents.</w:t>
      </w:r>
    </w:p>
    <w:p>
      <w:pPr>
        <w:spacing w:after="0" w:line="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board of directors has oversight for the most significant risks facing us and for our processes to identify, prioritize, assess, manage and mitigate those risks. The audit committee of the board of directors (the “Audit Committee”) has been designated by our board of directors to oversee cybersecurity risks. The Audit Committee receives regular updates on cybersecurity and information technology matters and related risk exposures from our management. The board of directors also receives periodic updates from management and the Audit Committee on cybersecurity risks. Management is responsible for identifying, considering and assessing material cybersecurity risks on an ongoing basis, establishing processes designed to ensure that such potential cybersecurity risk exposures are monitored, putting in place mitigation measures and maintaining cybersecurity programs. Our cybersecurity programs are under the direction of our Chief Executive Officer. Management regularly updates the Audit Committee on our cybersecurity programs, which includes cybersecurity risks and mitigation strategies, vulnerability management, and on-going cybersecurity projects.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2025, we did not identify any cybersecurity incidents that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It is possible that we may not implement appropriate controls if we do not detect a particular risk. In addition, security controls, no matter how well designed or implemented, may only mitigate and not fully eliminate the risks. Even when a risk is detected, disruptive events may not always be immediately and thoroughly interpreted and acted upon. For more information about these risks, please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Risks Related to our Business and Products" in Item 1A of this Form10-K.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Our principal offices, which also serve as a fulfillment center, are located at 8798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Rancho Cucamonga, California. There we lease approximately 99,347 square feet of space, which is used for the storage and distribution of hydroponic equipment, lighting and garden accessories, home products, pet products, other consumer products and other ancillary uses. The term of the Rancho Cucamonga lease is for 74 months. The lease commenced on February 10, 2022, with rent payments commencing after the first three months, and the expiration date is May 31, 2028. The base rental fee is $114,249 to $140,079 per month through the expiration date, May 31, 2028.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lease a fulfilment center at 2397 Bateman Avenue, Duarte, CA 91010, which consists of approximately 49,500 square feet of space, with a base rental fee of $56,000 to $59,410 per month. The lease term expired on April 30, 2025, and the Company did not renew the lease.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the Company assumed an operating lease of offices in the PRC.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was for one year from October 1, 2024 to September 30, 2025. The lease was treated as a short-term lease and the base rental fee is approximately $10,000 per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presently a party to any pending or other threatened legal proceedings or claims against us that we believe will have a material adverse effect on our business, financial condition, or operating results. Nonetheless, we may from time to time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“IPW,” where we commenced trading on May 14,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our common stock was not traded on any exchange or quoted on any over the counter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9, 2025, we had 23 holders of record of our common stock and 31,493,686 shares of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Amended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number of underlying shares of the Company’s common stock available for grant to directors, officers, key employees and consultants of the Company or a subsidiary of the Company under the Company’s Amended and Restated 2020 Equity Inventive Plan (the “2020 Amended Equity Incentive Plan”) was 10,000,000 shares. Grants made under the 2020 Amended Equity Incentive Plan must be approved by the Company’s board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as of June 30, 2025 about our equity compensation plans and arrangements.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2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Weighted-</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issued upon</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average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exercise of</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exercise price of</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available for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outstanding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options,</w:t>
            </w:r>
          </w:p>
        </w:tc>
        <w:tc>
          <w:tcPr>
            <w:tcW w:w="12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warrants and</w:t>
            </w: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warrants and</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34"/>
        </w:trPr>
        <w:tc>
          <w:tcPr>
            <w:tcW w:w="55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Plan category</w:t>
            </w:r>
          </w:p>
        </w:tc>
        <w:tc>
          <w:tcPr>
            <w:tcW w:w="220" w:type="dxa"/>
            <w:vAlign w:val="bottom"/>
          </w:tcPr>
          <w:p>
            <w:pPr>
              <w:spacing w:after="0"/>
              <w:rPr>
                <w:sz w:val="20"/>
                <w:szCs w:val="20"/>
                <w:color w:val="auto"/>
              </w:rPr>
            </w:pPr>
          </w:p>
        </w:tc>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rights</w:t>
            </w:r>
          </w:p>
        </w:tc>
        <w:tc>
          <w:tcPr>
            <w:tcW w:w="120" w:type="dxa"/>
            <w:vAlign w:val="bottom"/>
          </w:tcPr>
          <w:p>
            <w:pPr>
              <w:spacing w:after="0"/>
              <w:rPr>
                <w:sz w:val="20"/>
                <w:szCs w:val="20"/>
                <w:color w:val="auto"/>
              </w:rPr>
            </w:pPr>
          </w:p>
        </w:tc>
        <w:tc>
          <w:tcPr>
            <w:tcW w:w="17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rights</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plans</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4,335,629</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5,378,502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4,335,629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5,378,502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financial statements and the related notes thereto included elsewhere herein. The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Annual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Driven by tech and data, iPower Inc. is an online supplier of consumer goods, including hydroponics equipment, general gardening supplies, and consumer home goods. Through the operations of our e-commerce platforms and channel partners, our 99,347 square foot fulfillment centers in Rancho Cucamonga,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i w:val="1"/>
          <w:i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Deluxe </w:t>
      </w:r>
      <w:r>
        <w:rPr>
          <w:rFonts w:ascii="Times New Roman" w:cs="Times New Roman" w:eastAsia="Times New Roman" w:hAnsi="Times New Roman"/>
          <w:sz w:val="18"/>
          <w:szCs w:val="18"/>
          <w:color w:val="auto"/>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Digital Treasury Strategy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17, 2025, the Company adopted a digital asset reserve, allocation and development strategy (the “Digital Treasury Strategy”) with the plan of creating a Digital Treasury Strategy business. To date, we have not effectuated the Digital Treasury Strategy business and do not know if it will be effectuated. As this Digital Treasury Strategy is a new planned addition to our business model, we cannot predict its success or know whether we will continue with this strategy for the long term. The Company will provide additional updates to shareholders when and if we do effectuate such strategy.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fiscal years ended June 30, 2025 and 2024</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66,142,779</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86,071,485</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37,149,085</w:t>
            </w:r>
          </w:p>
        </w:tc>
        <w:tc>
          <w:tcPr>
            <w:tcW w:w="1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47,950,117</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(22.53%)</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28,993,694</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38,121,368</w:t>
            </w: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34,859,456</w:t>
            </w:r>
          </w:p>
        </w:tc>
        <w:tc>
          <w:tcPr>
            <w:tcW w:w="1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39,084,260</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(5,865,762)</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(962,892)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509.18%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(366,273)</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(829,921)</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(55.87%)</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(6,232,035)</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(1,792,813)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247.61%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(1,254,489)</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(251,365)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399.07%</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(4,934,424)</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(1,541,448)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220.12%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(9,258)</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(13,289)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(4,968,288)</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(1,528,159)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222.12%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250,513</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(148,272)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(268.96%)</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(4,717,775)</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(1,676,431)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181.42%</w:t>
            </w:r>
          </w:p>
        </w:tc>
      </w:t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43.84%</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45.61%</w:t>
            </w: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692.73%</w:t>
            </w: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 % of revenues</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323.07%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Revenues for the year ended June 30, 2025 decreased 23.15% to $66,142,779 as compared to $86,071,485 for the year ended June 30, 2024. While pricing remained stable, the decreased revenue mainly resulted from a decrease in sales volume during the year ended June 30, 2025 as the Company offered less promotions due to lower inventory level as compared to the year ended June 30, 2024. In addition, the Company also experienced significant decrease in amazon orders due to uncertainty over tariffs during the second half of the fiscal year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for the year ended June 30, 2025 decreased 22.53% to $37,149,085 as compared to $47,950,117 for the year ended June 30, 2024. The decrease was primarily due to a combination of the costs related to the logistics service income and the decrease in product sales, freight costs, and lowered product costs resulted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$28,993,694 for the year ended June 30, 2025 as compared to $38,121,368 for the year ended June 30, 2024. The gross profit ratio decreased to 43.84% for the year ended June 30, 2025 from 44.29% for the year ended June 30, 2024. The decrease in the gross profit ratio was mainly driven by the combination of the increase in the logistics service costs and decrease in costs of goods sold during the year ended June 30, 2025,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8"/>
          <w:szCs w:val="18"/>
          <w:color w:val="auto"/>
        </w:rPr>
        <w:t>Operating expenses for the year ended June 30, 2025 decreased 10.81% to $34,859,456 as compared to $39,084,260 for the year ended June 30, 2024. The decrease was mainly due to the combination of a decrease in selling and fulfillment expenses of $4.8 million as a result of decreased costs related to advertising, merchant fees, rental expenses and delivery fees, and an increase in general and administrative expenses of $0.5 million, which included payroll expenses, stock-based compensation expense, insurance expenses, allowance for credit losses, travel expenses and other operating expenses. The increase in general and administrative expenses was mainly due to the expansion of our vendor network and development of the SuperSuite platform and an increased allowance for credit losses and inventory reserves of $1.2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right="20" w:firstLine="720"/>
        <w:spacing w:after="0" w:line="282" w:lineRule="auto"/>
        <w:rPr>
          <w:sz w:val="20"/>
          <w:szCs w:val="20"/>
          <w:color w:val="auto"/>
        </w:rPr>
      </w:pPr>
      <w:r>
        <w:rPr>
          <w:rFonts w:ascii="Times New Roman" w:cs="Times New Roman" w:eastAsia="Times New Roman" w:hAnsi="Times New Roman"/>
          <w:sz w:val="18"/>
          <w:szCs w:val="18"/>
          <w:color w:val="auto"/>
        </w:rPr>
        <w:t>Loss from operations was $5,865,762 for the year ended June 30, 2025 as compared to $962,892 for the year ended June 30, 2024. The decrease was due to the decrease in operating expenses and in gross profit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Other expenses consist of interest expense and other non-operating income (expenses). Other expenses for the year ended June 30, 2025 were $366,273 as compared to $829,921 for the year ended June 30, 2024. The decrease in other expenses was mainly due to decrease in other non-operating loss of $120,258, and in interest, including amortization of debt discount, on the revolving loan of $352,224 during the year ended June 30, 2024 as a result of the decreasing balance on the revolving loan.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year ended June 30, 2025 was $4,968,288 as compared to $1,528,159 for the year ended June 30, 2024, representing an increase of net loss of $3,440,129. The increase was primarily due to the decrease in gross profit and operating expenses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year ended June 30, 2025 was $4,717,775 as compared to $1,676,431 for the year ended June 30, 2024, representing an increase of comprehensive loss of $3,041,344. The increase was due to the reasons discussed above, along with other comprehensive income of $250,513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June 30, 2025 we primarily funded our operations with cash and cash equivalents generated from operations, as well as through borrowing under our credit facility from JPMorgan Chase Bank (“JPM”). Additionally, on June 18, 2024, we closed on the Registered Direct offering of 2,083,334 Shares and a concurrent Private Placement of Warrants to purchase 2,083,334 Warrant Shares, which were sold for gross aggregate proceeds of $5,000,002. We had cash and cash equivalents of $2,007,890 as of June 30, 2025, representing a $5,369,947 decrease from $7,377,837 in cash as of June 30, 2024. The cash decrease was primarily due to the result of cash used in operating activities, investing activities and financing activities resulting from our payments to offering cost settlement, pay down the short-term loans - related party and part of the JPM revolving line of credit.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the “Risk Factors” section in this Annual Report.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$1.8 million in unused credit under the revolving line with JPM.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our current working capital position and available funding from our revolving credit line and proceeds from our June Registered Direct offering, we believe we will be able to manage through the current challenges by managing payment terms with customers and vendors.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and 2024, our working capital was $4.9 million and $11.2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(used in) provided by operating activities for the years ended June 30, 2025 and 2024 was $(579,187) and $6,164,076, respectively. The decrease in cash provided by operating activities mainly resulted from a combination of an increase in net loss , a decrease in cash received from customers and an increase in cash paid for cost of revenues and operating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and 2024, net cash used in investing activities was $2,042,250 and $0, respectively. The increase was mainly due to the prepayments made for software developments and investment in joint venture during the year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$2,999,362 and $2,397,801 for the years ended June 30, 2025 and 2024, respectively. The increase in net cash outflows was primarily attributable to lower financing inflows in fiscal 2025 as compared to fiscal 2024. Financing activities during fiscal 2024 included significant sources of cash that did not recur in fiscal 2025, including $4.5 million in net proceeds from the issuance of common stock and $2.4 million in proceeds from related party borrowings. These inflows were partially offset in fiscal 2024 by net repayments of $5.1 million on revolving loans and $3.75 million on short-term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service and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losses is required.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for details on acquisition.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the quarter ended September 30, 2022, during the period ended June 30, 2023, the Company performed a qualitative and quantitative goodwill impairment analysis following the steps laid out in ASC 350-20-35-3C and noted no goodwill impairment. As of June 30, 2025 and 2024, the goodwill balance amounted to $3,034,110 and $3,034,110,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June 30, 2024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09"/>
        </w:trPr>
        <w:tc>
          <w:tcPr>
            <w:tcW w:w="8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years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Asset-based revolving loan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7" w:lineRule="exact"/>
        <w:rPr>
          <w:rFonts w:ascii="Times New Roman" w:cs="Times New Roman" w:eastAsia="Times New Roman" w:hAnsi="Times New Roman"/>
          <w:sz w:val="18"/>
          <w:szCs w:val="18"/>
          <w:color w:val="auto"/>
        </w:rPr>
      </w:pPr>
    </w:p>
    <w:p>
      <w:pPr>
        <w:ind w:left="1820" w:hanging="341"/>
        <w:spacing w:after="0"/>
        <w:tabs>
          <w:tab w:leader="none" w:pos="182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9" w:lineRule="exact"/>
        <w:rPr>
          <w:rFonts w:ascii="Wingdings" w:cs="Wingdings" w:eastAsia="Wingdings" w:hAnsi="Wingdings"/>
          <w:sz w:val="18"/>
          <w:szCs w:val="18"/>
          <w:b w:val="1"/>
          <w:bCs w:val="1"/>
          <w:color w:val="auto"/>
        </w:rPr>
      </w:pPr>
    </w:p>
    <w:p>
      <w:pPr>
        <w:ind w:left="1820" w:hanging="341"/>
        <w:spacing w:after="0"/>
        <w:tabs>
          <w:tab w:leader="none" w:pos="182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820" w:hanging="341"/>
        <w:spacing w:after="0"/>
        <w:tabs>
          <w:tab w:leader="none" w:pos="182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9" w:lineRule="exact"/>
        <w:rPr>
          <w:rFonts w:ascii="Wingdings" w:cs="Wingdings" w:eastAsia="Wingdings" w:hAnsi="Wingdings"/>
          <w:sz w:val="18"/>
          <w:szCs w:val="18"/>
          <w:b w:val="1"/>
          <w:bCs w:val="1"/>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9"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are to be amortized over three years as financing expenses, the term of the ABL.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years ended June 30,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7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244,078</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402,675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57,052</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71,332</w:t>
            </w:r>
          </w:p>
        </w:tc>
      </w:tr>
      <w:tr>
        <w:trPr>
          <w:trHeight w:val="229"/>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7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125,906</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265,219</w:t>
            </w:r>
          </w:p>
        </w:tc>
        <w:tc>
          <w:tcPr>
            <w:tcW w:w="80" w:type="dxa"/>
            <w:vAlign w:val="bottom"/>
            <w:shd w:val="clear" w:color="auto" w:fill="EEEEEE"/>
          </w:tcPr>
          <w:p>
            <w:pPr>
              <w:spacing w:after="0"/>
              <w:rPr>
                <w:sz w:val="19"/>
                <w:szCs w:val="19"/>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427,036</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2024, the outstanding amount of the JPM revolving loan payable, net of debt discount and including interest, was $3,737,602 and $5,500,739, respectively.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 as administrative agent and lender.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11, 2022, the Company and JPM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 accurately reflecting the Excess Availability (together, the “Existing Defaults”). Under the terms of the Waiver Letter, JPM agreed to waive the right to enforce an event of default based on the aforementioned Existing Defaults. As of June 30, 2024, the Company was in compliance with the ABL covenants. However, as of June 30, 2025, the Company was in default as a result of covenant violations under the ABL facility.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payable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the issuance date. In October 2022, the Company paid the first installment of $875,000, and in February 2023, the Company paid the second installment of $875,000. In August 2023, the Company paid the third installment of $875,000. In February 2024, the Company paid the fourth installment of $875,000. For the year ended June 30, 2025, the Company recorded accrued interest of $0 and amortization of note premium of $0. For the year ended June 30, 2024, the Company recorded accrued interest of $39,429 and amortization of note premium of $31,602. In February 2024, the note premium was fully amortized, and the outstanding balance of the principal and accrued interest of $275,679 was fully paid off. As of June 30, 2025 and 2024, the total outstanding balance of the Purchase Note was $0.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 payable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 ended June 30, 2024, the Company recorded interest of $32,911. As of June 30, 2025, the outstanding balance of the On-demand Loan was fully paid off.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 ended June 30, 2024, the Company borrowed $483,599 and recorded interest expense of $7,615. For the year ended June 30, 2025, the Company recorded interest expense of $3,733 . As of June 30, 2024, the outstanding balance of the On-demand Loan 2, including accrued interest of $7,615, was $491,214. As of June 30, 2025, the On-demand Loan 2 had been fully paid off.</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June 30, 2025 and 2024, the outstanding balance of the RP Loan was $0 and $350,000.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2024 Registered Direct Offering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of 2,083,334 Shares and a concurrent Private Placement of Warrants to purchase 2,083,334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the Placement Agent’s fees and expenses and other offering expenses payable by the Company, is approximately $4,543,089.</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Warrants if the holder (together with its affiliates) would beneficially own in excess of 4.99% (or, at the election of the holder, 9.99%), respectively, of the number of shares of common stock outstanding immediately after giving effect to the exercise, as such percentage ownership is determined in accordance with the terms of the Warrants. However, upon notice from the holder to the Company as described in the Purchase Agreement, the holder may increase the beneficial ownership limitation, which may not exceed 9.99% of the number of shares of common stock outstanding immediately after giving effect to the exercise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terms of the Purchase Agreement, on July 9, 2024, we filed a Form S-1 to register the resale, from time to time, of up to an aggregate of 2,083,334 Warrant Shares, issuable upon the exercise of the Warrants issued in the Private Placement by the selling stockholder named therein. The resale registration statement was declared effective by the SEC on July 26, 2024. As of June 30, 2024, no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Accordingly, certain specified reporting and other regulatory requirements for public companies are reduced for businesses that meet the qualifications for emerging growth companies.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5"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controls over financial reporting required by Section 404 of the Sarbanes-Oxley Act of 2002;</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adoption of new or revised financial accounting standards until they would apply to private companies;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our audit and our financial statements; and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tc>
        <w:tc>
          <w:tcPr>
            <w:tcW w:w="640" w:type="dxa"/>
            <w:vAlign w:val="bottom"/>
          </w:tcPr>
          <w:p>
            <w:pPr>
              <w:spacing w:after="0"/>
              <w:rPr>
                <w:sz w:val="20"/>
                <w:szCs w:val="20"/>
                <w:color w:val="auto"/>
              </w:rPr>
            </w:pPr>
          </w:p>
        </w:tc>
      </w:tr>
      <w:tr>
        <w:trPr>
          <w:trHeight w:val="432"/>
        </w:trPr>
        <w:tc>
          <w:tcPr>
            <w:tcW w:w="1060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As a “smaller reporting company,” this item is not required.</w:t>
            </w:r>
          </w:p>
        </w:tc>
        <w:tc>
          <w:tcPr>
            <w:tcW w:w="640" w:type="dxa"/>
            <w:vAlign w:val="bottom"/>
          </w:tcPr>
          <w:p>
            <w:pPr>
              <w:spacing w:after="0"/>
              <w:rPr>
                <w:sz w:val="24"/>
                <w:szCs w:val="24"/>
                <w:color w:val="auto"/>
              </w:rPr>
            </w:pPr>
          </w:p>
        </w:tc>
      </w:tr>
      <w:tr>
        <w:trPr>
          <w:trHeight w:val="432"/>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64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85"/>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PCAOB ID </w:t>
            </w:r>
            <w:r>
              <w:rPr>
                <w:rFonts w:ascii="Times New Roman" w:cs="Times New Roman" w:eastAsia="Times New Roman" w:hAnsi="Times New Roman"/>
                <w:sz w:val="18"/>
                <w:szCs w:val="18"/>
                <w:color w:val="000000"/>
              </w:rPr>
              <w:t>(7000)</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3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PCAOB ID </w:t>
            </w:r>
            <w:r>
              <w:rPr>
                <w:rFonts w:ascii="Times New Roman" w:cs="Times New Roman" w:eastAsia="Times New Roman" w:hAnsi="Times New Roman"/>
                <w:sz w:val="18"/>
                <w:szCs w:val="18"/>
                <w:color w:val="000000"/>
              </w:rPr>
              <w:t>(1195)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51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Consolidated Balance Sheets as of June 30, 2025 and 2024</w:t>
            </w:r>
          </w:p>
        </w:tc>
        <w:tc>
          <w:tcPr>
            <w:tcW w:w="548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June 30, 2025 and 2024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412"/>
        </w:trPr>
        <w:tc>
          <w:tcPr>
            <w:tcW w:w="78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June 30, 2025 and 2024</w:t>
            </w:r>
          </w:p>
        </w:tc>
        <w:tc>
          <w:tcPr>
            <w:tcW w:w="27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60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June 30, 2025 and 2024</w:t>
            </w:r>
          </w:p>
        </w:tc>
        <w:tc>
          <w:tcPr>
            <w:tcW w:w="1520" w:type="dxa"/>
            <w:vAlign w:val="bottom"/>
            <w:tcBorders>
              <w:top w:val="single" w:sz="8" w:color="0000EE"/>
            </w:tcBorders>
          </w:tcPr>
          <w:p>
            <w:pPr>
              <w:spacing w:after="0"/>
              <w:rPr>
                <w:sz w:val="24"/>
                <w:szCs w:val="24"/>
                <w:color w:val="auto"/>
              </w:rPr>
            </w:pPr>
          </w:p>
        </w:tc>
        <w:tc>
          <w:tcPr>
            <w:tcW w:w="302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3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777"/>
        </w:trPr>
        <w:tc>
          <w:tcPr>
            <w:tcW w:w="6060" w:type="dxa"/>
            <w:vAlign w:val="bottom"/>
            <w:tcBorders>
              <w:bottom w:val="single" w:sz="8" w:color="auto"/>
            </w:tcBorders>
            <w:gridSpan w:val="4"/>
          </w:tcPr>
          <w:p>
            <w:pPr>
              <w:ind w:left="554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9" w:name="page60"/>
    <w:bookmarkEnd w:id="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iPower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iPower, Inc. and its subsidiaries (the “Company”) as of June 30, 2025, and the related consolidated statements of operations and comprehensive loss, changes in stockholders’ equity, and cash flows for year ended June 30, 2025 and the related notes (collectively referred to as the consolidated financial statements). In our opinion, the consolidated financial statements present fairly, in all material respects, the financial position of the Company as of June 30, 2025, and the results of their operations and their cash flows for the year ended June 30,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654685</wp:posOffset>
            </wp:positionV>
            <wp:extent cx="6009005" cy="643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0090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iPower,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iPower, Inc. and its subsidiaries (the “Company”) as of June 30, 2024, and the related consolidated statements of operations and comprehensive loss, changes in stockholders’ equity, and cash flows for year ended June 30, 2024 and the related notes (collectively referred to as the consolidated financial statements). In our opinion, the consolidated financial statements present fairly, in all material respects, the financial position of the Company as of June 30, 2024, and the results of their operations and their cash flows for the year ended June 30,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 until June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2025 and June 30,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2,007,890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7,377,837</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6,124,008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14,740,093</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8,131,203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10,546,273</w:t>
            </w:r>
          </w:p>
        </w:tc>
      </w:tr>
      <w:tr>
        <w:trPr>
          <w:trHeight w:val="22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3,111,210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2,346,534</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19,374,311</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35,010,737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 non-current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3,915,539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6,124,163</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390,349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370,887</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3,724,462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2,445,605</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3,034,110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3,034,110</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385,180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27,605</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2,981,328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3,630,700</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1,837,488</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652,050</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16,268,456</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16,285,120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35,642,767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54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7,180,009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11,227,116</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1,893,921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1,361,111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2,039,301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491,214</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3,737,602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5,500,739</w:t>
            </w:r>
          </w:p>
        </w:tc>
      </w:tr>
      <w:tr>
        <w:trPr>
          <w:trHeight w:val="229"/>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280,155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14,452,798</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23,770,015</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2,913,967</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2,913,967</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4,509,809</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17,366,765</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28,279,824</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gridSpan w:val="3"/>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June 30, 2025 and June 30, 2024</w:t>
            </w: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31,359,899 and 31,359,899 shares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2025 and 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31,361</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31,361</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33,450,885</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33,463,883</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(15,198,889)</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(10,230,601)</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(47,462)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(38,204)</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40,107</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(210,406)</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18,276,002</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23,016,033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35,642,767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2025 and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For the year Ended June 30,</w:t>
            </w:r>
          </w:p>
        </w:tc>
      </w:tr>
      <w:tr>
        <w:trPr>
          <w:trHeight w:val="234"/>
        </w:trPr>
        <w:tc>
          <w:tcPr>
            <w:tcW w:w="6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61,518,306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84,752,116</w:t>
            </w:r>
          </w:p>
        </w:tc>
        <w:tc>
          <w:tcPr>
            <w:tcW w:w="80" w:type="dxa"/>
            <w:vAlign w:val="bottom"/>
          </w:tcPr>
          <w:p>
            <w:pPr>
              <w:spacing w:after="0"/>
              <w:rPr>
                <w:sz w:val="18"/>
                <w:szCs w:val="18"/>
                <w:color w:val="auto"/>
              </w:rPr>
            </w:pPr>
          </w:p>
        </w:tc>
      </w:tr>
      <w:tr>
        <w:trPr>
          <w:trHeight w:val="229"/>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Service income</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4,624,473</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1,319,369</w:t>
            </w:r>
          </w:p>
        </w:tc>
        <w:tc>
          <w:tcPr>
            <w:tcW w:w="80" w:type="dxa"/>
            <w:vAlign w:val="bottom"/>
            <w:shd w:val="clear" w:color="auto" w:fill="EEEEEE"/>
          </w:tcPr>
          <w:p>
            <w:pPr>
              <w:spacing w:after="0"/>
              <w:rPr>
                <w:sz w:val="19"/>
                <w:szCs w:val="19"/>
                <w:color w:val="auto"/>
              </w:rPr>
            </w:pPr>
          </w:p>
        </w:tc>
      </w:tr>
      <w:tr>
        <w:trPr>
          <w:trHeight w:val="210"/>
        </w:trPr>
        <w:tc>
          <w:tcPr>
            <w:tcW w:w="666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66,142,779</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86,071,485</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33,191,202</w:t>
            </w:r>
          </w:p>
        </w:tc>
        <w:tc>
          <w:tcPr>
            <w:tcW w:w="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46,818,232</w:t>
            </w:r>
          </w:p>
        </w:tc>
        <w:tc>
          <w:tcPr>
            <w:tcW w:w="80" w:type="dxa"/>
            <w:vAlign w:val="bottom"/>
            <w:shd w:val="clear" w:color="auto" w:fill="EEEEEE"/>
          </w:tcPr>
          <w:p>
            <w:pPr>
              <w:spacing w:after="0"/>
              <w:rPr>
                <w:sz w:val="18"/>
                <w:szCs w:val="18"/>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3,957,883</w:t>
            </w:r>
          </w:p>
        </w:tc>
        <w:tc>
          <w:tcPr>
            <w:tcW w:w="3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1,131,885</w:t>
            </w:r>
          </w:p>
        </w:tc>
        <w:tc>
          <w:tcPr>
            <w:tcW w:w="80" w:type="dxa"/>
            <w:vAlign w:val="bottom"/>
          </w:tcPr>
          <w:p>
            <w:pPr>
              <w:spacing w:after="0"/>
              <w:rPr>
                <w:sz w:val="19"/>
                <w:szCs w:val="19"/>
                <w:color w:val="auto"/>
              </w:rPr>
            </w:pPr>
          </w:p>
        </w:tc>
      </w:tr>
      <w:tr>
        <w:trPr>
          <w:trHeight w:val="209"/>
        </w:trPr>
        <w:tc>
          <w:tcPr>
            <w:tcW w:w="666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37,149,085</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47,950,117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28,993,694</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38,121,368</w:t>
            </w:r>
          </w:p>
        </w:tc>
        <w:tc>
          <w:tcPr>
            <w:tcW w:w="80" w:type="dxa"/>
            <w:vAlign w:val="bottom"/>
            <w:shd w:val="clear" w:color="auto" w:fill="EEEEEE"/>
          </w:tcPr>
          <w:p>
            <w:pPr>
              <w:spacing w:after="0"/>
              <w:rPr>
                <w:sz w:val="19"/>
                <w:szCs w:val="19"/>
                <w:color w:val="auto"/>
              </w:rPr>
            </w:pP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22,201,828</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26,963,291</w:t>
            </w:r>
          </w:p>
        </w:tc>
        <w:tc>
          <w:tcPr>
            <w:tcW w:w="80" w:type="dxa"/>
            <w:vAlign w:val="bottom"/>
          </w:tcPr>
          <w:p>
            <w:pPr>
              <w:spacing w:after="0"/>
              <w:rPr>
                <w:sz w:val="18"/>
                <w:szCs w:val="18"/>
                <w:color w:val="auto"/>
              </w:rPr>
            </w:pPr>
          </w:p>
        </w:tc>
      </w:tr>
      <w:tr>
        <w:trPr>
          <w:trHeight w:val="229"/>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12,657,628</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12,120,969</w:t>
            </w:r>
          </w:p>
        </w:tc>
        <w:tc>
          <w:tcPr>
            <w:tcW w:w="80" w:type="dxa"/>
            <w:vAlign w:val="bottom"/>
            <w:shd w:val="clear" w:color="auto" w:fill="EEEEEE"/>
          </w:tcPr>
          <w:p>
            <w:pPr>
              <w:spacing w:after="0"/>
              <w:rPr>
                <w:sz w:val="19"/>
                <w:szCs w:val="19"/>
                <w:color w:val="auto"/>
              </w:rPr>
            </w:pPr>
          </w:p>
        </w:tc>
      </w:tr>
      <w:tr>
        <w:trPr>
          <w:trHeight w:val="209"/>
        </w:trPr>
        <w:tc>
          <w:tcPr>
            <w:tcW w:w="666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34,859,456</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39,084,260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(5,865,762)</w:t>
            </w:r>
          </w:p>
        </w:tc>
        <w:tc>
          <w:tcPr>
            <w:tcW w:w="3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(962,892)</w:t>
            </w:r>
          </w:p>
        </w:tc>
      </w:tr>
      <w:tr>
        <w:trPr>
          <w:trHeight w:val="210"/>
        </w:trPr>
        <w:tc>
          <w:tcPr>
            <w:tcW w:w="666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(436,201)</w:t>
            </w:r>
          </w:p>
        </w:tc>
        <w:tc>
          <w:tcPr>
            <w:tcW w:w="3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(788,425)</w:t>
            </w: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(14,342)</w:t>
            </w: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(5,508)</w:t>
            </w:r>
          </w:p>
        </w:tc>
      </w:tr>
      <w:tr>
        <w:trPr>
          <w:trHeight w:val="230"/>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(expenses)</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84,270</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(35,988)</w:t>
            </w:r>
          </w:p>
        </w:tc>
      </w:tr>
      <w:tr>
        <w:trPr>
          <w:trHeight w:val="210"/>
        </w:trPr>
        <w:tc>
          <w:tcPr>
            <w:tcW w:w="666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0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(366,273</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(829,921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(6,232,035)</w:t>
            </w: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(1,792,813)</w:t>
            </w:r>
          </w:p>
        </w:tc>
      </w:tr>
      <w:tr>
        <w:trPr>
          <w:trHeight w:val="216"/>
        </w:trPr>
        <w:tc>
          <w:tcPr>
            <w:tcW w:w="6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(1,254,489)</w:t>
            </w:r>
          </w:p>
        </w:tc>
        <w:tc>
          <w:tcPr>
            <w:tcW w:w="3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(251,365)</w:t>
            </w:r>
          </w:p>
        </w:tc>
      </w:tr>
      <w:tr>
        <w:trPr>
          <w:trHeight w:val="210"/>
        </w:trPr>
        <w:tc>
          <w:tcPr>
            <w:tcW w:w="6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(4,977,546)</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(1,541,448)</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(9,258)</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(13,289)</w:t>
            </w: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(4,968,288)</w:t>
            </w:r>
          </w:p>
        </w:tc>
        <w:tc>
          <w:tcPr>
            <w:tcW w:w="3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(1,528,159)</w:t>
            </w:r>
          </w:p>
        </w:tc>
      </w:tr>
      <w:tr>
        <w:trPr>
          <w:trHeight w:val="216"/>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250,513</w:t>
            </w:r>
          </w:p>
        </w:tc>
        <w:tc>
          <w:tcPr>
            <w:tcW w:w="3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(148,272)</w:t>
            </w:r>
          </w:p>
        </w:tc>
      </w:tr>
      <w:tr>
        <w:trPr>
          <w:trHeight w:val="210"/>
        </w:trPr>
        <w:tc>
          <w:tcPr>
            <w:tcW w:w="666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IPOWER INC.</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(4,717,775)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(1,676,431)</w:t>
            </w:r>
          </w:p>
        </w:tc>
      </w:tr>
      <w:tr>
        <w:trPr>
          <w:trHeight w:val="197"/>
        </w:trPr>
        <w:tc>
          <w:tcPr>
            <w:tcW w:w="666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31,445,633</w:t>
            </w:r>
          </w:p>
        </w:tc>
        <w:tc>
          <w:tcPr>
            <w:tcW w:w="36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29,878,196</w:t>
            </w:r>
          </w:p>
        </w:tc>
        <w:tc>
          <w:tcPr>
            <w:tcW w:w="80" w:type="dxa"/>
            <w:vAlign w:val="bottom"/>
            <w:shd w:val="clear" w:color="auto" w:fill="EEEEEE"/>
          </w:tcPr>
          <w:p>
            <w:pPr>
              <w:spacing w:after="0"/>
              <w:rPr>
                <w:sz w:val="21"/>
                <w:szCs w:val="21"/>
                <w:color w:val="auto"/>
              </w:rPr>
            </w:pPr>
          </w:p>
        </w:tc>
      </w:tr>
      <w:tr>
        <w:trPr>
          <w:trHeight w:val="20"/>
        </w:trPr>
        <w:tc>
          <w:tcPr>
            <w:tcW w:w="6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7"/>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31,445,633</w:t>
            </w:r>
          </w:p>
        </w:tc>
        <w:tc>
          <w:tcPr>
            <w:tcW w:w="36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29,878,196</w:t>
            </w:r>
          </w:p>
        </w:tc>
        <w:tc>
          <w:tcPr>
            <w:tcW w:w="80" w:type="dxa"/>
            <w:vAlign w:val="bottom"/>
            <w:shd w:val="clear" w:color="auto" w:fill="EEEEEE"/>
          </w:tcPr>
          <w:p>
            <w:pPr>
              <w:spacing w:after="0"/>
              <w:rPr>
                <w:sz w:val="21"/>
                <w:szCs w:val="21"/>
                <w:color w:val="auto"/>
              </w:rPr>
            </w:pPr>
          </w:p>
        </w:tc>
      </w:tr>
      <w:tr>
        <w:trPr>
          <w:trHeight w:val="20"/>
        </w:trPr>
        <w:tc>
          <w:tcPr>
            <w:tcW w:w="6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6"/>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(LOSSES) PER SHARE</w:t>
            </w:r>
          </w:p>
        </w:tc>
        <w:tc>
          <w:tcPr>
            <w:tcW w:w="10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196"/>
        </w:trPr>
        <w:tc>
          <w:tcPr>
            <w:tcW w:w="666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4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2025 and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24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6"/>
                <w:szCs w:val="16"/>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Non-controlling</w:t>
            </w:r>
          </w:p>
        </w:tc>
        <w:tc>
          <w:tcPr>
            <w:tcW w:w="122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Paid in Capital</w:t>
            </w:r>
          </w:p>
        </w:tc>
        <w:tc>
          <w:tcPr>
            <w:tcW w:w="100" w:type="dxa"/>
            <w:vAlign w:val="bottom"/>
          </w:tcPr>
          <w:p>
            <w:pPr>
              <w:spacing w:after="0"/>
              <w:rPr>
                <w:sz w:val="13"/>
                <w:szCs w:val="13"/>
                <w:color w:val="auto"/>
              </w:rPr>
            </w:pPr>
          </w:p>
        </w:tc>
        <w:tc>
          <w:tcPr>
            <w:tcW w:w="1120" w:type="dxa"/>
            <w:vAlign w:val="bottom"/>
            <w:gridSpan w:val="2"/>
          </w:tcPr>
          <w:p>
            <w:pPr>
              <w:jc w:val="center"/>
              <w:ind w:right="228"/>
              <w:spacing w:after="0" w:line="155" w:lineRule="exact"/>
              <w:rPr>
                <w:sz w:val="20"/>
                <w:szCs w:val="20"/>
                <w:color w:val="auto"/>
              </w:rPr>
            </w:pPr>
            <w:r>
              <w:rPr>
                <w:rFonts w:ascii="Times New Roman" w:cs="Times New Roman" w:eastAsia="Times New Roman" w:hAnsi="Times New Roman"/>
                <w:sz w:val="14"/>
                <w:szCs w:val="14"/>
                <w:color w:val="auto"/>
              </w:rPr>
              <w:t>Deficit)</w:t>
            </w:r>
          </w:p>
        </w:tc>
        <w:tc>
          <w:tcPr>
            <w:tcW w:w="180" w:type="dxa"/>
            <w:vAlign w:val="bottom"/>
          </w:tcPr>
          <w:p>
            <w:pPr>
              <w:spacing w:after="0"/>
              <w:rPr>
                <w:sz w:val="13"/>
                <w:szCs w:val="13"/>
                <w:color w:val="auto"/>
              </w:rPr>
            </w:pPr>
          </w:p>
        </w:tc>
        <w:tc>
          <w:tcPr>
            <w:tcW w:w="1040" w:type="dxa"/>
            <w:vAlign w:val="bottom"/>
            <w:gridSpan w:val="2"/>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3"/>
                <w:szCs w:val="13"/>
                <w:color w:val="auto"/>
              </w:rPr>
            </w:pPr>
          </w:p>
        </w:tc>
        <w:tc>
          <w:tcPr>
            <w:tcW w:w="1140" w:type="dxa"/>
            <w:vAlign w:val="bottom"/>
            <w:gridSpan w:val="2"/>
          </w:tcPr>
          <w:p>
            <w:pPr>
              <w:jc w:val="center"/>
              <w:ind w:right="279"/>
              <w:spacing w:after="0" w:line="155" w:lineRule="exact"/>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Pr>
          <w:p>
            <w:pPr>
              <w:spacing w:after="0"/>
              <w:rPr>
                <w:sz w:val="13"/>
                <w:szCs w:val="13"/>
                <w:color w:val="auto"/>
              </w:rPr>
            </w:pPr>
          </w:p>
        </w:tc>
        <w:tc>
          <w:tcPr>
            <w:tcW w:w="900" w:type="dxa"/>
            <w:vAlign w:val="bottom"/>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72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31,359,899</w:t>
            </w:r>
          </w:p>
        </w:tc>
        <w:tc>
          <w:tcPr>
            <w:tcW w:w="1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31,361</w:t>
            </w:r>
          </w:p>
        </w:tc>
        <w:tc>
          <w:tcPr>
            <w:tcW w:w="1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33,463,883</w:t>
            </w:r>
          </w:p>
        </w:tc>
        <w:tc>
          <w:tcPr>
            <w:tcW w:w="2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(10,230,601)</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(38,204)</w:t>
            </w: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(210,406)</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23,016,033</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(4,968,288)</w:t>
            </w:r>
          </w:p>
        </w:tc>
        <w:tc>
          <w:tcPr>
            <w:tcW w:w="1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(9,258)</w:t>
            </w:r>
          </w:p>
        </w:tc>
        <w:tc>
          <w:tcPr>
            <w:tcW w:w="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(4,977,546)</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(12,998)</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(12,998)</w:t>
            </w:r>
          </w:p>
        </w:tc>
        <w:tc>
          <w:tcPr>
            <w:tcW w:w="0" w:type="dxa"/>
            <w:vAlign w:val="bottom"/>
          </w:tcPr>
          <w:p>
            <w:pPr>
              <w:spacing w:after="0"/>
              <w:rPr>
                <w:sz w:val="1"/>
                <w:szCs w:val="1"/>
                <w:color w:val="auto"/>
              </w:rPr>
            </w:pPr>
          </w:p>
        </w:tc>
      </w:tr>
      <w:tr>
        <w:trPr>
          <w:trHeight w:val="162"/>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250,513</w:t>
            </w:r>
          </w:p>
        </w:tc>
        <w:tc>
          <w:tcPr>
            <w:tcW w:w="20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250,513</w:t>
            </w:r>
          </w:p>
        </w:tc>
        <w:tc>
          <w:tcPr>
            <w:tcW w:w="0" w:type="dxa"/>
            <w:vAlign w:val="bottom"/>
          </w:tcPr>
          <w:p>
            <w:pPr>
              <w:spacing w:after="0"/>
              <w:rPr>
                <w:sz w:val="1"/>
                <w:szCs w:val="1"/>
                <w:color w:val="auto"/>
              </w:rPr>
            </w:pPr>
          </w:p>
        </w:tc>
      </w:tr>
      <w:tr>
        <w:trPr>
          <w:trHeight w:val="156"/>
        </w:trPr>
        <w:tc>
          <w:tcPr>
            <w:tcW w:w="272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2025</w:t>
            </w:r>
          </w:p>
        </w:tc>
        <w:tc>
          <w:tcPr>
            <w:tcW w:w="10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31,359,899</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31,361</w:t>
            </w: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33,450,885</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(15,198,889</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(47,462</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40,107</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18,276,002</w:t>
            </w:r>
          </w:p>
        </w:tc>
        <w:tc>
          <w:tcPr>
            <w:tcW w:w="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2023</w:t>
            </w:r>
          </w:p>
        </w:tc>
        <w:tc>
          <w:tcPr>
            <w:tcW w:w="11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29,710,939</w:t>
            </w:r>
          </w:p>
        </w:tc>
        <w:tc>
          <w:tcPr>
            <w:tcW w:w="260" w:type="dxa"/>
            <w:vAlign w:val="bottom"/>
            <w:gridSpan w:val="2"/>
            <w:shd w:val="clear" w:color="auto" w:fill="EEEEEE"/>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29,712</w:t>
            </w:r>
          </w:p>
        </w:tc>
        <w:tc>
          <w:tcPr>
            <w:tcW w:w="1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29,624,520</w:t>
            </w:r>
          </w:p>
        </w:tc>
        <w:tc>
          <w:tcPr>
            <w:tcW w:w="1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EEEEEE"/>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(8,702,442)</w:t>
            </w:r>
          </w:p>
        </w:tc>
        <w:tc>
          <w:tcPr>
            <w:tcW w:w="180" w:type="dxa"/>
            <w:vAlign w:val="bottom"/>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EEEEEE"/>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(24,915)</w:t>
            </w:r>
          </w:p>
        </w:tc>
        <w:tc>
          <w:tcPr>
            <w:tcW w:w="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EEEEEE"/>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(62,134)</w:t>
            </w:r>
          </w:p>
        </w:tc>
        <w:tc>
          <w:tcPr>
            <w:tcW w:w="200" w:type="dxa"/>
            <w:vAlign w:val="bottom"/>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20,864,741</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(1,528,159)</w:t>
            </w:r>
          </w:p>
        </w:tc>
        <w:tc>
          <w:tcPr>
            <w:tcW w:w="1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(13,289)</w:t>
            </w:r>
          </w:p>
        </w:tc>
        <w:tc>
          <w:tcPr>
            <w:tcW w:w="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(1,541,448)</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512,542</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512,542</w:t>
            </w: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shares issued for vested RSUs</w:t>
            </w: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107,293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20" w:type="dxa"/>
            <w:vAlign w:val="bottom"/>
            <w:shd w:val="clear" w:color="auto" w:fill="EEEEEE"/>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issued for cash, net of</w:t>
            </w:r>
          </w:p>
        </w:tc>
        <w:tc>
          <w:tcPr>
            <w:tcW w:w="11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2,083,334</w:t>
            </w:r>
          </w:p>
        </w:tc>
        <w:tc>
          <w:tcPr>
            <w:tcW w:w="10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14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4,541,005</w:t>
            </w:r>
          </w:p>
        </w:tc>
        <w:tc>
          <w:tcPr>
            <w:tcW w:w="10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0"/>
                <w:szCs w:val="10"/>
                <w:color w:val="auto"/>
              </w:rPr>
            </w:pPr>
          </w:p>
        </w:tc>
        <w:tc>
          <w:tcPr>
            <w:tcW w:w="1040" w:type="dxa"/>
            <w:vAlign w:val="bottom"/>
            <w:gridSpan w:val="2"/>
            <w:vMerge w:val="restart"/>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1140" w:type="dxa"/>
            <w:vAlign w:val="bottom"/>
            <w:gridSpan w:val="2"/>
            <w:vMerge w:val="restart"/>
            <w:shd w:val="clear" w:color="auto" w:fill="EEEEEE"/>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4,543,089</w:t>
            </w: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118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injection to DHS</w:t>
            </w: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85,381</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85,381</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Settled offering cost</w:t>
            </w:r>
          </w:p>
        </w:tc>
        <w:tc>
          <w:tcPr>
            <w:tcW w:w="11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(1,300,000)</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(1,300,000)</w:t>
            </w: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Returned and cancelled shares</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(541,667)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4"/>
                <w:szCs w:val="14"/>
                <w:color w:val="auto"/>
              </w:rPr>
              <w:t>(148,272)</w:t>
            </w:r>
          </w:p>
        </w:tc>
        <w:tc>
          <w:tcPr>
            <w:tcW w:w="200" w:type="dxa"/>
            <w:vAlign w:val="bottom"/>
            <w:shd w:val="clear" w:color="auto" w:fill="EEEEEE"/>
          </w:tcPr>
          <w:p>
            <w:pPr>
              <w:spacing w:after="0"/>
              <w:rPr>
                <w:sz w:val="14"/>
                <w:szCs w:val="14"/>
                <w:color w:val="auto"/>
              </w:rPr>
            </w:pP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(148,272)</w:t>
            </w:r>
          </w:p>
        </w:tc>
        <w:tc>
          <w:tcPr>
            <w:tcW w:w="0" w:type="dxa"/>
            <w:vAlign w:val="bottom"/>
          </w:tcPr>
          <w:p>
            <w:pPr>
              <w:spacing w:after="0"/>
              <w:rPr>
                <w:sz w:val="1"/>
                <w:szCs w:val="1"/>
                <w:color w:val="auto"/>
              </w:rPr>
            </w:pPr>
          </w:p>
        </w:tc>
      </w:tr>
      <w:tr>
        <w:trPr>
          <w:trHeight w:val="155"/>
        </w:trPr>
        <w:tc>
          <w:tcPr>
            <w:tcW w:w="2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2024</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31,359,899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33,463,883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(10,230,601</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(38,204</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(210,406</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23,016,033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2025 and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For the Years Ended June 30</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(4,977,546)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(1,541,448)</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income to cash provided by (used in) operating activities: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779,976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796,225</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(335,358)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88,926</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reserve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1,569,031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285,386</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14,342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5,508</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(12,998)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512,542</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1,774,591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1,713,182</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premium / discount and non-cash financing costs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125,906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233,617</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7,047,054</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(953,936)</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2,750,428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9,958,690</w:t>
            </w:r>
          </w:p>
        </w:tc>
        <w:tc>
          <w:tcPr>
            <w:tcW w:w="0" w:type="dxa"/>
            <w:vAlign w:val="bottom"/>
          </w:tcPr>
          <w:p>
            <w:pPr>
              <w:spacing w:after="0"/>
              <w:rPr>
                <w:sz w:val="1"/>
                <w:szCs w:val="1"/>
                <w:color w:val="auto"/>
              </w:rPr>
            </w:pPr>
          </w:p>
        </w:tc>
      </w:tr>
      <w:tr>
        <w:trPr>
          <w:trHeight w:val="216"/>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(1,278,857)</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(290,355)</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(764,676)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511,663</w:t>
            </w:r>
          </w:p>
        </w:tc>
        <w:tc>
          <w:tcPr>
            <w:tcW w:w="0" w:type="dxa"/>
            <w:vAlign w:val="bottom"/>
          </w:tcPr>
          <w:p>
            <w:pPr>
              <w:spacing w:after="0"/>
              <w:rPr>
                <w:sz w:val="1"/>
                <w:szCs w:val="1"/>
                <w:color w:val="auto"/>
              </w:rPr>
            </w:pPr>
          </w:p>
        </w:tc>
      </w:tr>
      <w:tr>
        <w:trPr>
          <w:trHeight w:val="216"/>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334,490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306,660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(4,084,607)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(2,017,841)</w:t>
            </w:r>
          </w:p>
        </w:tc>
        <w:tc>
          <w:tcPr>
            <w:tcW w:w="0" w:type="dxa"/>
            <w:vAlign w:val="bottom"/>
          </w:tcPr>
          <w:p>
            <w:pPr>
              <w:spacing w:after="0"/>
              <w:rPr>
                <w:sz w:val="1"/>
                <w:szCs w:val="1"/>
                <w:color w:val="auto"/>
              </w:rPr>
            </w:pPr>
          </w:p>
        </w:tc>
      </w:tr>
      <w:tr>
        <w:trPr>
          <w:trHeight w:val="216"/>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(1,684,961)</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(1,728,632)</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(1,839,999)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(1,716,110)</w:t>
            </w:r>
          </w:p>
        </w:tc>
        <w:tc>
          <w:tcPr>
            <w:tcW w:w="0" w:type="dxa"/>
            <w:vAlign w:val="bottom"/>
          </w:tcPr>
          <w:p>
            <w:pPr>
              <w:spacing w:after="0"/>
              <w:rPr>
                <w:sz w:val="1"/>
                <w:szCs w:val="1"/>
                <w:color w:val="auto"/>
              </w:rPr>
            </w:pPr>
          </w:p>
        </w:tc>
      </w:tr>
      <w:tr>
        <w:trPr>
          <w:trHeight w:val="230"/>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(579,187)</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6,164,077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(163,588)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Disposal of equipment</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13,183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(371,917)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Prepayments for software development</w:t>
            </w:r>
          </w:p>
        </w:tc>
        <w:tc>
          <w:tcPr>
            <w:tcW w:w="3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(1,519,928)</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(2,042,250)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injection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85,711</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Advance from shareholders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(85,200)</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offering cost settlement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(325,000)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sale of common stock</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4,543,089</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 - related party</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2,350,000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483,599</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 - related party</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promissory note</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(483,599)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revolving loan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8,359,237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6,950,000</w:t>
            </w:r>
          </w:p>
        </w:tc>
        <w:tc>
          <w:tcPr>
            <w:tcW w:w="0" w:type="dxa"/>
            <w:vAlign w:val="bottom"/>
          </w:tcPr>
          <w:p>
            <w:pPr>
              <w:spacing w:after="0"/>
              <w:rPr>
                <w:sz w:val="1"/>
                <w:szCs w:val="1"/>
                <w:color w:val="auto"/>
              </w:rPr>
            </w:pPr>
          </w:p>
        </w:tc>
      </w:tr>
      <w:tr>
        <w:trPr>
          <w:trHeight w:val="230"/>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revolving loan</w:t>
            </w:r>
          </w:p>
        </w:tc>
        <w:tc>
          <w:tcPr>
            <w:tcW w:w="3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(10,200,000)</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(2,999,362)</w:t>
            </w: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250,852</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(124,080)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CASH AND CASH EQUIVALENT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(5,369,947)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3,642,195</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beginning of period</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7,377,837</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3,735,642</w:t>
            </w:r>
          </w:p>
        </w:tc>
        <w:tc>
          <w:tcPr>
            <w:tcW w:w="0" w:type="dxa"/>
            <w:vAlign w:val="bottom"/>
          </w:tcPr>
          <w:p>
            <w:pPr>
              <w:spacing w:after="0"/>
              <w:rPr>
                <w:sz w:val="1"/>
                <w:szCs w:val="1"/>
                <w:color w:val="auto"/>
              </w:rPr>
            </w:pPr>
          </w:p>
        </w:tc>
      </w:tr>
      <w:tr>
        <w:trPr>
          <w:trHeight w:val="210"/>
        </w:trPr>
        <w:tc>
          <w:tcPr>
            <w:tcW w:w="73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2,007,890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7,377,837</w:t>
            </w:r>
          </w:p>
        </w:tc>
        <w:tc>
          <w:tcPr>
            <w:tcW w:w="0" w:type="dxa"/>
            <w:vAlign w:val="bottom"/>
          </w:tcPr>
          <w:p>
            <w:pPr>
              <w:spacing w:after="0"/>
              <w:rPr>
                <w:sz w:val="1"/>
                <w:szCs w:val="1"/>
                <w:color w:val="auto"/>
              </w:rPr>
            </w:pPr>
          </w:p>
        </w:tc>
      </w:tr>
      <w:tr>
        <w:trPr>
          <w:trHeight w:val="196"/>
        </w:trPr>
        <w:tc>
          <w:tcPr>
            <w:tcW w:w="736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6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top w:val="single" w:sz="8" w:color="EEEEEE"/>
              <w:bottom w:val="single" w:sz="8" w:color="EEEEEE"/>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EEEEEE"/>
            </w:tcBorders>
            <w:vMerge w:val="continue"/>
          </w:tcPr>
          <w:p>
            <w:pPr>
              <w:spacing w:after="0"/>
              <w:rPr>
                <w:sz w:val="20"/>
                <w:szCs w:val="20"/>
                <w:color w:val="auto"/>
              </w:rPr>
            </w:pPr>
          </w:p>
        </w:tc>
        <w:tc>
          <w:tcPr>
            <w:tcW w:w="30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323,078</w:t>
            </w:r>
          </w:p>
        </w:tc>
        <w:tc>
          <w:tcPr>
            <w:tcW w:w="32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308,590</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returned and cancelled</w:t>
            </w:r>
          </w:p>
        </w:tc>
        <w:tc>
          <w:tcPr>
            <w:tcW w:w="6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1,300,000</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operating leases</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434,033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assets acquired under new operating leases</w:t>
            </w:r>
          </w:p>
        </w:tc>
        <w:tc>
          <w:tcPr>
            <w:tcW w:w="6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632,732</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ectPr>
          <w:pgSz w:w="11900" w:h="16838" w:orient="portrait"/>
          <w:cols w:equalWidth="0" w:num="1">
            <w:col w:w="11240"/>
          </w:cols>
          <w:pgMar w:left="320" w:top="823" w:right="339" w:bottom="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2025 and 2024 and for the Years Ended June 30,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shareholders of the Company. As a result, E Marketing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providing a social media platform, content and services to assist businesses, including the Company and other businesses, in marketing their products. The Company owns 60% of the equity interest in GSM and controls its operations. See details at Note 3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44% of the equity interest in United Package, retaining significant influence, but does not own a majority equity interest in or otherwise control United Package. See details at Note 3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 Reclassification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consolidated balance sheets and statements of operations have been reclassified to conform to the current period presentation, including reclassifications made in the presentation of investment in joint ventures, service income and costs. These reclassifications had no impact on the prior year’s financial statements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June 30, 2025, were translated at 7.1636 RMB to $1.00. The equity accounts were stated at their historical rates. The average translation rates applied to statements of operations and comprehensive loss accounts for the year ended June 30, 2025 was 7.2143 RMB to $1.00. Cash flows were also translated at average translation rates for the period and, therefore, amounts reported on the statement of cash flows would not necessarily agree with changes in the corresponding balances on the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Company’s restricted cash balance included approximately $19,151 frozen by governmental authorities in connection with a lawsuit in China. Such funds are not available for the Company’s general use until the restrictions are released. See Note 17 below for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losses is required.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 During the year ended June 30, 2025, the Company determined that the collectability of certain refundable amounts withheld by sales channel partners was remote so we recorded additional allowance for credit losses. For the year ended June 30, 2025 and 2024, the credit losses was $1,569,031 and $285,386,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and United Package NV LLC, a 44%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joint ventures’ statement of operations and a corresponding charge or credit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for details regarding the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This evaluation was completed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June 30, 2025 and 2024, the Company engaged an independent third-party valuation firm to perform a qualitative and quantitative goodwill impairment analysis following the steps laid out in ASC 350-20-35-3C and noted no goodwill impairment. As of June 30, 2025 and 2024, the goodwill balance amounted to $3,034,110 and $3,034,110,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June 30, 2025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0"/>
        </w:trPr>
        <w:tc>
          <w:tcPr>
            <w:tcW w:w="8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the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years ended June 30,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of June 30, 2025 and 2024, the Company had goodwill of $3,034,110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Fair</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30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Level 1</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38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EEEEEE"/>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net of purchase discounts and rebates,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including inventory reserves, are expensed as incurred. Vendor warranty credits resulting from refund of returns on quality issues are recorded to offset selling and fulfillment expenses. During the years ended June 30, 2025 and 2024, the Company recorded vendor credit of $0 million and $2.48 million,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years ended June 30, 2025 and 2024 were $3,351,814 and $4,271,311,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net realizable value. The Company values its inventory using the weighted average costing method. The Company’s policy is to include as a part of inventory and cost of goods sold any freight incurred to ship the product from its vendors to warehouses.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For the years ended June 30, 2025 and 2024, $0 and $1,756,913 were recorded as deferred offering costs and reclassed to additional paid in capital upon closing of the offering. As of June 30, 2025 and June 30, 2024, there were no deferred offering costs included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Topic 280, Segment Reporting. The Company’s Chief Executive Officer, who serves as the Chief Operating Decision Maker (“CODM”), reviews the consolidated results of operations when making decisions about allocating resources and assessing the performance of the Company as a whole and, hence, the Company has only one reportable segment. Significant expense categories regularly provided to and reviewed by the CODMs are those presented in the consolidated statements of comprehensive income. The Company does not distinguish between markets or segments for the purpose of internal reporting. For the years ended June 30, 2025 and 2024, sales through Amazon to Canada and other foreign countries were approximately 7.2% and 9.2% of the Company’s total sales. During the year ended June 30, 2025, sales of hydroponic products, including ventilation and grow light systems, was approximately 19% of the Company’s total sales and the remaining 81% consisted of home goods, general gardening, and other products and accessories. During the year ended June 30, 2024, sales of hydroponic products, including ventilation and grow light systems, was approximately 22% of the Company’s total sales and the remaining 78% consisted of general gardening, home goods, and other products and accessories. As of June 30, 2025 and 2024, the Company had approximately $1.0 and $1.9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did not have a material impact on its consolidated financial statements.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have a material impact on its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adoption of this standard did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adoption of this standard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option right had been expired and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June 30, 2025 and 2024, the carrying value of the investment in Box Harmony was $13,264 and $27,605.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As of the date of this report, the members have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years ended June 30, 2025 and 2024, the impact of GSM’s activities were immaterial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Package NV,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Custom Cup Factory, Inc., a California corporation (“CCF”), and Yi Yang (“Yang”) entered into the Limited Liability Company Operating Agreement (the “Operating Agreement”) of United Package NV, LLC, a Nevada limited liability corporation (“United Package”).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Package will focus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United Package in consideration for the Company’s contribution of equipment and facility, Yang owns 1,140 Class A Voting Units of the Joint Venture in consideration for Yang’s commitment to manage the business of United Package and CCF owns 1,710 Class A Voting Units of United Package in consideration for CCF’s contribution of its marketing expertise, existing sales channel and customer list.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approximately 44% of the equity interest in United Package with significant influence but does not own a majority equity interest or otherwise control of United Package. The Company accounts for its ownership interest in United Package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June 30, 2025, the Company had invested total amount of $371,917 to United Package.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2024, there was no pledge or collateralization of the VIE assets that would be used to settle obligations of the VIE.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years indicated:</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4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311,852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202,904</w:t>
            </w:r>
          </w:p>
        </w:tc>
      </w:tr>
      <w:tr>
        <w:trPr>
          <w:trHeight w:val="216"/>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9,772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72,281</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434,034</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381,013</w:t>
            </w:r>
          </w:p>
        </w:tc>
      </w:tr>
      <w:tr>
        <w:trPr>
          <w:trHeight w:val="216"/>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443,059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16"/>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465,990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514,285</w:t>
            </w:r>
          </w:p>
        </w:tc>
      </w:tr>
      <w:tr>
        <w:trPr>
          <w:trHeight w:val="43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year ended June 30, 2025: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38"/>
        </w:trPr>
        <w:tc>
          <w:tcPr>
            <w:tcW w:w="7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7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year ended June 30, 2024:</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9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38"/>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4,340,968</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June 30, 2025, the VIE contributed approximately $2.8 million of revenue and $0.9 million of net loss before elimination. For the year ended June 30, 2024, the VIE contributed approximately $7.1 million of revenue and $0.5 million of net loss before elimination.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4"/>
                <w:szCs w:val="24"/>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8,048,425</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15,095,479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(1,924,417)</w:t>
            </w: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6,124,008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14,740,093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09"/>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285,386</w:t>
            </w:r>
          </w:p>
        </w:tc>
        <w:tc>
          <w:tcPr>
            <w:tcW w:w="0" w:type="dxa"/>
            <w:vAlign w:val="bottom"/>
          </w:tcPr>
          <w:p>
            <w:pPr>
              <w:spacing w:after="0"/>
              <w:rPr>
                <w:sz w:val="1"/>
                <w:szCs w:val="1"/>
                <w:color w:val="auto"/>
              </w:rPr>
            </w:pPr>
          </w:p>
        </w:tc>
      </w:tr>
      <w:tr>
        <w:trPr>
          <w:trHeight w:val="209"/>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1,569,031</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1,924,417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2024, inventories consisted of finished goods ready for sale, net of allowance for obsolescence, amounted to $8,131,203 and $10,546,273,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and 2024, the Company recorded inventory reserve expense of $(335,358) and $88,926, respectively. As of June 30, 2025 and 2024, allowance for obsolescence was $312,468 and $647,825, respectively.</w:t>
      </w:r>
    </w:p>
    <w:p>
      <w:pPr>
        <w:sectPr>
          <w:pgSz w:w="11900" w:h="16838" w:orient="portrait"/>
          <w:cols w:equalWidth="0" w:num="1">
            <w:col w:w="11240"/>
          </w:cols>
          <w:pgMar w:left="320" w:top="68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2024, prepayments and other current assets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191"/>
        </w:trPr>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1,787,296</w:t>
            </w:r>
          </w:p>
        </w:tc>
        <w:tc>
          <w:tcPr>
            <w:tcW w:w="32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1,567,528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19,072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1,304,842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747,510</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3"/>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3,111,210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2,346,534</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40" w:space="720"/>
            <w:col w:w="3580"/>
          </w:cols>
          <w:pgMar w:left="320" w:top="688"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$18,699 and $3,995 and receivables from unrelated parties for their use of the Company’s courier accounts at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56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Credit</w:t>
            </w:r>
          </w:p>
        </w:tc>
      </w:tr>
      <w:tr>
        <w:trPr>
          <w:trHeight w:val="234"/>
        </w:trPr>
        <w:tc>
          <w:tcPr>
            <w:tcW w:w="9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reversed during the year ended June 30, 2024</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(249,128)</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2025</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2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collected $249,128 of aged other receivables and recorded a reduction of bad debts expense as a reversal of the allowance of credit losses.</w:t>
      </w:r>
    </w:p>
    <w:p>
      <w:pPr>
        <w:sectPr>
          <w:pgSz w:w="11900" w:h="16838" w:orient="portrait"/>
          <w:cols w:equalWidth="0" w:num="1">
            <w:col w:w="11240"/>
          </w:cols>
          <w:pgMar w:left="320" w:top="688"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2024,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31" w:lineRule="exact"/>
        <w:rPr>
          <w:sz w:val="20"/>
          <w:szCs w:val="20"/>
          <w:color w:val="auto"/>
        </w:rPr>
      </w:pPr>
    </w:p>
    <w:p>
      <w:pPr>
        <w:ind w:left="860" w:hanging="858"/>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(2,191,628)</w:t>
      </w:r>
    </w:p>
    <w:p>
      <w:pPr>
        <w:spacing w:after="0" w:line="31" w:lineRule="exact"/>
        <w:rPr>
          <w:sz w:val="20"/>
          <w:szCs w:val="20"/>
          <w:color w:val="auto"/>
        </w:rPr>
      </w:pPr>
    </w:p>
    <w:p>
      <w:pPr>
        <w:ind w:left="860" w:hanging="858"/>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p>
      <w:pPr>
        <w:ind w:left="860" w:hanging="85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(1,542,257)</w:t>
      </w:r>
    </w:p>
    <w:p>
      <w:pPr>
        <w:spacing w:after="0" w:line="31" w:lineRule="exact"/>
        <w:rPr>
          <w:sz w:val="20"/>
          <w:szCs w:val="20"/>
          <w:color w:val="auto"/>
        </w:rPr>
      </w:pPr>
    </w:p>
    <w:p>
      <w:pPr>
        <w:ind w:left="860" w:hanging="85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9944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0"/>
            <w:col w:w="1680"/>
          </w:cols>
          <w:pgMar w:left="320" w:top="688" w:right="339" w:bottom="1440" w:gutter="0" w:footer="0" w:header="0"/>
          <w:type w:val="continuous"/>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June 30, 2025 was approximately 5.2 years. The amortization expense for the years ended June 30, 2025 and 2024 was $649,371 and $649,371, respectively. At June 30, 2025, finite-lived intangible assets are expected to be amortized over their estimated useful lives, which ranges from a period of 5 to 10 years, and the estimated remaining amortization expense for each of the five succeeding years thereafter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28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649,371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r>
      <w:tr>
        <w:trPr>
          <w:trHeight w:val="230"/>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562,106</w:t>
            </w:r>
          </w:p>
        </w:tc>
      </w:tr>
      <w:tr>
        <w:trPr>
          <w:trHeight w:val="223"/>
        </w:trPr>
        <w:tc>
          <w:tcPr>
            <w:tcW w:w="9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2,981,328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June 30, 2025, the Company entered into software development agreements with a third-party developer. In connection with these agreements, the Company made payments of $1.5 million for development fees. As of June 30, 2025, such payments were recorded as a non-current prepayment and are included in Other non-current assets in the accompanying consolidated balance sheet. The related amounts will be reclassified from prepaid assets to intangible assets upon completion and acceptance of the developed software.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and 2024, other payables and accrued liabilities consisted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7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3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262,570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1,405,780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149,276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231,243</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291,995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313,358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76,534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530,456</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552,346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442,889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560,387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585,150</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51,611</w:t>
            </w:r>
          </w:p>
        </w:tc>
        <w:tc>
          <w:tcPr>
            <w:tcW w:w="0" w:type="dxa"/>
            <w:vAlign w:val="bottom"/>
          </w:tcPr>
          <w:p>
            <w:pPr>
              <w:spacing w:after="0"/>
              <w:rPr>
                <w:sz w:val="1"/>
                <w:szCs w:val="1"/>
                <w:color w:val="auto"/>
              </w:rPr>
            </w:pPr>
          </w:p>
        </w:tc>
      </w:tr>
      <w:tr>
        <w:trPr>
          <w:trHeight w:val="210"/>
        </w:trPr>
        <w:tc>
          <w:tcPr>
            <w:tcW w:w="72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1,893,921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360" w:hanging="218"/>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480" w:hanging="187"/>
        <w:spacing w:after="0"/>
        <w:tabs>
          <w:tab w:leader="none" w:pos="1480" w:val="left"/>
        </w:tabs>
        <w:numPr>
          <w:ilvl w:val="1"/>
          <w:numId w:val="2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480" w:hanging="187"/>
        <w:spacing w:after="0"/>
        <w:tabs>
          <w:tab w:leader="none" w:pos="1480" w:val="left"/>
        </w:tabs>
        <w:numPr>
          <w:ilvl w:val="1"/>
          <w:numId w:val="2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480" w:hanging="187"/>
        <w:spacing w:after="0"/>
        <w:tabs>
          <w:tab w:leader="none" w:pos="1480" w:val="left"/>
        </w:tabs>
        <w:numPr>
          <w:ilvl w:val="1"/>
          <w:numId w:val="2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interest expenses, the term of the ABL.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years ended June 30, 2025 and 2024:</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3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7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244,078</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402,675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57,052</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71,332</w:t>
            </w:r>
          </w:p>
        </w:tc>
      </w:tr>
      <w:tr>
        <w:trPr>
          <w:trHeight w:val="229"/>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125,906</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265,219</w:t>
            </w:r>
          </w:p>
        </w:tc>
        <w:tc>
          <w:tcPr>
            <w:tcW w:w="80" w:type="dxa"/>
            <w:vAlign w:val="bottom"/>
            <w:shd w:val="clear" w:color="auto" w:fill="EEEEEE"/>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427,036</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outstanding amount of the ABL, which was classified as current revolving loan payable, including interest payable, was $3,737,602. As of June 30, 2024, the outstanding amount of the revolving loan payable, net of debt discount and including interest payable, was $5,500,739.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2022, in connection with the acquisition of Anivia Limited, the Company and JPM entered into an amendment to the Pledge and Security Agreement, pursuant to which the Company pledged 65% of its ownership interest in Anivia Limited and its subsidiaries.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 As of June 30, 2024, the Company was in compliance with the ABL covenants. However, as of June 30, 2025, the Company was in default as a result of covenant violations under the ABL facility.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year ended June 30, 2024, the Company recorded accrued interest of $39,429 and amortization of note premium of $31,602. In February 2024, the note premium was fully amortized, and the outstanding balance of the principal and accrued interest of $275,679 was fully paid off. As of June 30, 2025 and 2024, the total outstanding balance of the Purchase Note was $0.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t>Short-term loans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 ended June 30, 2025 and 2024, the Company recorded interest of $0 and $32,911, respectively. As of June 30, 2025, the outstanding balance of the On-demand Loan was fully paid off.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 ended June 30, 2024, the Company borrowed $483,599 and recorded interest expense of $7,615. As of June 30, 2024, the outstanding balance of the On-demand Loan 2, including accrued interest of $7,615, was $491,214. As of June 30, 2025, the On-demand Loan 2 had been fully paid off.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June 30, 2025 and 2024, the outstanding balance of the RP Loan was $0 and $350,000.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from an entity owned by Mr. Allan Huang, one of the majority shareholders of the Company. See Note 10 above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started selling products through MII Strategy Inc. (“MII”), a company owned by the Company’s CEO, Mr. Chenlong Tan. As of June 30, 2025 and June 30, 2024, the total amount due from MII was $0 and $56,406.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 demand loan. See Note 10 above for details.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Ms. Yang’s entity, Pacelor Inc. (“Pacelor”), manages a warehouse and provide fulfillment services for the Company and receives a monthly service fee, which fluctuates from month to month, of approximately $200,000. Ms. Yang is the Founder and Chief Executive Officer of Pacelor. For the year ended June 30, 2025, the Company received $202,922 service from Pacelor after it became the related party of Pacelor on June 6, 2025 and the accounts payable to Pacelor as of June 30, 2025 was 78,831. Ms. Yang’s another entity, Pacelor NV Inc. (“Pacelor NV”) also provides marketing services for the Company. As of June 30, 2025, the outstanding accounts payable to Pacelor NV was $315,019.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the People’s Republic of China (“PRC”). Anivia and its subsidiaries were subject to BVI or Hong Kong income taxes but did not have any operations for the year ended June 30, 2025 and 2024.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Tax (“GILTI”). DHS is subject to 5% tax rate in PRC until December 31, 2027. Since DHS had tested losses during the year ended June 30, 2025 and 2024 and no GILTI tax was recorded for as of June 30, 2025 and 2024, the Company is not eligible for the GILTI high-tax exclusion. In addition, as a result of the acquisition, the Company booked a $6,094,144 of goodwill. Since the acquisition was a stock acquisition, the Goodwill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for the years ended June 30, 2025 and 2024 consisted of the following:</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24,367</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40,739</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40,739</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(1,023,623)</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(317,134)</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(255,233)</w:t>
            </w:r>
          </w:p>
        </w:tc>
        <w:tc>
          <w:tcPr>
            <w:tcW w:w="1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(47,305)</w:t>
            </w:r>
          </w:p>
        </w:tc>
      </w:tr>
      <w:tr>
        <w:trPr>
          <w:trHeight w:val="229"/>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72,335</w:t>
            </w:r>
          </w:p>
        </w:tc>
      </w:tr>
      <w:tr>
        <w:trPr>
          <w:trHeight w:val="209"/>
        </w:trPr>
        <w:tc>
          <w:tcPr>
            <w:tcW w:w="73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(1,278,856</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(292,104</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(1,254,489)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(251,365)</w:t>
            </w:r>
          </w:p>
        </w:tc>
      </w:tr>
      <w:tr>
        <w:trPr>
          <w:trHeight w:val="20"/>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 The following is a reconciliation of income tax expenses at the effective rate to income tax at the calculated statutory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9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60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21.00 %</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202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5.63 %</w:t>
            </w:r>
          </w:p>
        </w:tc>
        <w:tc>
          <w:tcPr>
            <w:tcW w:w="190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w:t>
            </w: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Prior year adjustment and permanent differences</w:t>
            </w:r>
          </w:p>
        </w:tc>
        <w:tc>
          <w:tcPr>
            <w:tcW w:w="202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20" w:type="dxa"/>
            <w:vAlign w:val="bottom"/>
            <w:tcBorders>
              <w:top w:val="single" w:sz="8" w:color="EEEEEE"/>
              <w:bottom w:val="single" w:sz="8" w:color="EEEEEE"/>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20" w:type="dxa"/>
            <w:vAlign w:val="bottom"/>
            <w:tcBorders>
              <w:top w:val="single" w:sz="8" w:color="EEEEEE"/>
              <w:bottom w:val="single" w:sz="8" w:color="EEEEEE"/>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prepaid income taxes to US tax authorities and income tax payable to Chinese tax authorities was $19,073 and $280,155,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prepaid income taxes to US tax authorities and income tax payable to Chinese tax authorities was $31,496 and $276,158,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25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2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256,568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291,354</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83,180</w:t>
            </w: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171,942</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4,844</w:t>
            </w: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21,750</w:t>
            </w: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155,860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95,711</w:t>
            </w: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110,391</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Operation loss</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3,081,145</w:t>
            </w: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2,190,589</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311,662</w:t>
            </w:r>
          </w:p>
        </w:tc>
        <w:tc>
          <w:tcPr>
            <w:tcW w:w="38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258,352</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336,394</w:t>
            </w: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341,591</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(118,191)</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(64,897)</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5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512,289</w:t>
            </w: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40,067</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4,585,352</w:t>
            </w:r>
          </w:p>
        </w:tc>
        <w:tc>
          <w:tcPr>
            <w:tcW w:w="3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3,500,089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(56,648)</w:t>
            </w: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(77,287)</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(804,242)</w:t>
            </w:r>
          </w:p>
        </w:tc>
        <w:tc>
          <w:tcPr>
            <w:tcW w:w="3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(977,197)</w:t>
            </w:r>
          </w:p>
        </w:tc>
        <w:tc>
          <w:tcPr>
            <w:tcW w:w="0" w:type="dxa"/>
            <w:vAlign w:val="bottom"/>
          </w:tcPr>
          <w:p>
            <w:pPr>
              <w:spacing w:after="0"/>
              <w:rPr>
                <w:sz w:val="1"/>
                <w:szCs w:val="1"/>
                <w:color w:val="auto"/>
              </w:rPr>
            </w:pP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(860,890</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(1,054,484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9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3,724,462</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2,445,605</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tc>
        <w:tc>
          <w:tcPr>
            <w:tcW w:w="25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(4,968,288)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(1,528,159)</w:t>
            </w:r>
          </w:p>
        </w:tc>
        <w:tc>
          <w:tcPr>
            <w:tcW w:w="0" w:type="dxa"/>
            <w:vAlign w:val="bottom"/>
          </w:tcPr>
          <w:p>
            <w:pPr>
              <w:spacing w:after="0"/>
              <w:rPr>
                <w:sz w:val="1"/>
                <w:szCs w:val="1"/>
                <w:color w:val="auto"/>
              </w:rPr>
            </w:pPr>
          </w:p>
        </w:tc>
      </w:tr>
      <w:tr>
        <w:trPr>
          <w:trHeight w:val="197"/>
        </w:trPr>
        <w:tc>
          <w:tcPr>
            <w:tcW w:w="6780" w:type="dxa"/>
            <w:vAlign w:val="bottom"/>
            <w:tcBorders>
              <w:top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58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earnings per share*</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31,445,633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29,878,196</w:t>
            </w:r>
          </w:p>
        </w:tc>
        <w:tc>
          <w:tcPr>
            <w:tcW w:w="0" w:type="dxa"/>
            <w:vAlign w:val="bottom"/>
          </w:tcPr>
          <w:p>
            <w:pPr>
              <w:spacing w:after="0"/>
              <w:rPr>
                <w:sz w:val="1"/>
                <w:szCs w:val="1"/>
                <w:color w:val="auto"/>
              </w:rPr>
            </w:pPr>
          </w:p>
        </w:tc>
      </w:tr>
      <w:tr>
        <w:trPr>
          <w:trHeight w:val="196"/>
        </w:trPr>
        <w:tc>
          <w:tcPr>
            <w:tcW w:w="678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Earnings per share of ordinary shares - basic and diluted</w:t>
            </w:r>
          </w:p>
        </w:tc>
        <w:tc>
          <w:tcPr>
            <w:tcW w:w="88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EEEEEE"/>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67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86" w:name="page87"/>
    <w:bookmarkEnd w:id="86"/>
    <w:p>
      <w:pPr>
        <w:ind w:left="240" w:hanging="232"/>
        <w:spacing w:after="0" w:line="282" w:lineRule="auto"/>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ani-dilutive effect, the computation of basic and diluted EPS did not include the shares underlying the exercise of warrants and RSUs as the Company had a net loss for the year ended June 30, 2025 and 2024.</w:t>
      </w:r>
    </w:p>
    <w:p>
      <w:pPr>
        <w:spacing w:after="0" w:line="161"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EPS did not include the shares underlying the exercise of options granted as none of the options were vested and the exercise price of the options was higher than the market price as of June 30, 2025 and 2024.</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June 30, 2025, 77,454 vested but unissued shares of restricted stock units under the 2020 Equity Incentive Plan (as discussed in Note</w:t>
      </w:r>
    </w:p>
    <w:p>
      <w:pPr>
        <w:spacing w:after="0" w:line="27" w:lineRule="exact"/>
        <w:rPr>
          <w:rFonts w:ascii="Times New Roman" w:cs="Times New Roman" w:eastAsia="Times New Roman" w:hAnsi="Times New Roman"/>
          <w:sz w:val="18"/>
          <w:szCs w:val="18"/>
          <w:color w:val="auto"/>
        </w:rPr>
      </w:pPr>
    </w:p>
    <w:p>
      <w:pPr>
        <w:ind w:left="520" w:hanging="283"/>
        <w:spacing w:after="0"/>
        <w:tabs>
          <w:tab w:leader="none" w:pos="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considered issued shares and therefore are included in the computation of basic earnings (losses) per share when the shares are fully vested.</w:t>
      </w:r>
    </w:p>
    <w:p>
      <w:pPr>
        <w:spacing w:after="0" w:line="20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June 30, 2024, 44,285 vested but unissued shares of restricted stock units under the 2020 Equity Incentive Plan (as discussed in Note</w:t>
      </w:r>
    </w:p>
    <w:p>
      <w:pPr>
        <w:spacing w:after="0" w:line="27" w:lineRule="exact"/>
        <w:rPr>
          <w:rFonts w:ascii="Times New Roman" w:cs="Times New Roman" w:eastAsia="Times New Roman" w:hAnsi="Times New Roman"/>
          <w:sz w:val="18"/>
          <w:szCs w:val="18"/>
          <w:color w:val="auto"/>
        </w:rPr>
      </w:pPr>
    </w:p>
    <w:p>
      <w:pPr>
        <w:ind w:left="520" w:hanging="283"/>
        <w:spacing w:after="0"/>
        <w:tabs>
          <w:tab w:leader="none" w:pos="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considered issued shares and therefore are included in the computation of basic earnings (loss) per share when the shares are fully vested.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2025 and 2024, the Company issued 0 and 107,293 shares of restricted common stock for RSUs vested, respectively.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The Company calculated the fair value of the Warrants at $3.1 million, with a relative fair value of $1.7 million after allocation of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using the Black-Scholes Model with the following variables:</w:t>
      </w:r>
    </w:p>
    <w:p>
      <w:pPr>
        <w:spacing w:after="0" w:line="20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 As of June 30, 2025, none of the warrants had been exercised.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as disclosed in Note 17 below, in order to recoup the settlement payment made to Boustead Securities, LLC, the Company’s Chief Executive Officer and co-founder, Lawrence Tan, along with co-founder Allan Huang, returned a total of 541,667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2024, there were 31,359,899 shares of Common Stock issued and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June 30, 2025 and 2024,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10,000,000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Form S-8 was subsequently amended on December 6, 2022, September 15, 2023 and November 22,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year ended June 30, 2025 and 2024, the Company granted additional 88,094 and 62,600 shares of RSUs, respectively. For the year ended June 30, 2025 and 2024, the Company recorded $93,455 and $71,014 of stock-based compensation expense. There was no forfeiture of RSUs occurred during the year ended June 30, 2025 and 2024. As of June 30, 2025 and 2024, the unvested number of RSUs was 13,890 and 3,250 and the unamortized expense was $8,333 and $1,788,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Fair Market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of RSUs</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 as</w:t>
            </w:r>
          </w:p>
        </w:tc>
        <w:tc>
          <w:tcPr>
            <w:tcW w:w="0" w:type="dxa"/>
            <w:vAlign w:val="bottom"/>
          </w:tcPr>
          <w:p>
            <w:pPr>
              <w:spacing w:after="0"/>
              <w:rPr>
                <w:sz w:val="1"/>
                <w:szCs w:val="1"/>
                <w:color w:val="auto"/>
              </w:rPr>
            </w:pPr>
          </w:p>
        </w:tc>
      </w:tr>
      <w:tr>
        <w:trPr>
          <w:trHeight w:val="238"/>
        </w:trPr>
        <w:tc>
          <w:tcPr>
            <w:tcW w:w="7660" w:type="dxa"/>
            <w:vAlign w:val="bottom"/>
          </w:tcPr>
          <w:p>
            <w:pPr>
              <w:spacing w:after="0"/>
              <w:rPr>
                <w:sz w:val="20"/>
                <w:szCs w:val="20"/>
                <w:color w:val="auto"/>
              </w:rPr>
            </w:pPr>
          </w:p>
        </w:tc>
        <w:tc>
          <w:tcPr>
            <w:tcW w:w="1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 (1)</w:t>
            </w:r>
          </w:p>
        </w:tc>
        <w:tc>
          <w:tcPr>
            <w:tcW w:w="0" w:type="dxa"/>
            <w:vAlign w:val="bottom"/>
          </w:tcPr>
          <w:p>
            <w:pPr>
              <w:spacing w:after="0"/>
              <w:rPr>
                <w:sz w:val="1"/>
                <w:szCs w:val="1"/>
                <w:color w:val="auto"/>
              </w:rPr>
            </w:pPr>
          </w:p>
        </w:tc>
      </w:tr>
      <w:tr>
        <w:trPr>
          <w:trHeight w:val="209"/>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2023</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62,600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50,302</w:t>
            </w: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(98,143)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88,094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(77,454)</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2025</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w:t>
            </w: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was based on the current stock price on the grant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of the 407,608 vested RSUs, 285,869 shares of Common Stock were issued (no shares were issued during the current year), and 121,739 shares were to be issued in the near future. As of June 30, 2024, of the 330,154 vested RSUs, 285,869 shares, including 107,293 shares issued during the current year, of Common Stock were issued, and 44,285 shares were to be issued.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(i) a $60,000 to be awarded to Kevin Vassily, CFO of the Company, and (ii) grants of stock options (the “Option Grants”) in the amount of (a) 3,000,000 shares to Chenlong Tan, CEO and (b) 330,000 shares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achievement status of the operational milestones as of June 30,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Revenue in Fiscal Year</w:t>
            </w:r>
          </w:p>
        </w:tc>
        <w:tc>
          <w:tcPr>
            <w:tcW w:w="1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Operating Income in Fiscal Year</w:t>
            </w:r>
          </w:p>
        </w:tc>
      </w:tr>
      <w:tr>
        <w:trPr>
          <w:trHeight w:val="191"/>
        </w:trPr>
        <w:tc>
          <w:tcPr>
            <w:tcW w:w="18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Achievement</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40" w:type="dxa"/>
            <w:vAlign w:val="bottom"/>
            <w:gridSpan w:val="2"/>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9"/>
              </w:rPr>
              <w:t>Milestone</w:t>
            </w:r>
          </w:p>
        </w:tc>
        <w:tc>
          <w:tcPr>
            <w:tcW w:w="2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Status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8"/>
              </w:rPr>
              <w:t>(in Millions)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210"/>
        </w:trPr>
        <w:tc>
          <w:tcPr>
            <w:tcW w:w="18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shd w:val="clear" w:color="auto" w:fill="EEEEEE"/>
          </w:tcPr>
          <w:p>
            <w:pPr>
              <w:spacing w:after="0"/>
              <w:rPr>
                <w:sz w:val="18"/>
                <w:szCs w:val="18"/>
                <w:color w:val="auto"/>
              </w:rPr>
            </w:pPr>
          </w:p>
        </w:tc>
        <w:tc>
          <w:tcPr>
            <w:tcW w:w="1920" w:type="dxa"/>
            <w:vAlign w:val="bottom"/>
            <w:shd w:val="clear" w:color="auto" w:fill="EEEEEE"/>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Probable</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5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Pr>
          <w:p>
            <w:pPr>
              <w:spacing w:after="0"/>
              <w:rPr>
                <w:sz w:val="18"/>
                <w:szCs w:val="18"/>
                <w:color w:val="auto"/>
              </w:rPr>
            </w:pPr>
          </w:p>
        </w:tc>
        <w:tc>
          <w:tcPr>
            <w:tcW w:w="1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Probable</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125</w:t>
            </w:r>
          </w:p>
        </w:tc>
        <w:tc>
          <w:tcPr>
            <w:tcW w:w="780" w:type="dxa"/>
            <w:vAlign w:val="bottom"/>
            <w:shd w:val="clear" w:color="auto" w:fill="EEEEEE"/>
          </w:tcPr>
          <w:p>
            <w:pPr>
              <w:spacing w:after="0"/>
              <w:rPr>
                <w:sz w:val="18"/>
                <w:szCs w:val="18"/>
                <w:color w:val="auto"/>
              </w:rPr>
            </w:pPr>
          </w:p>
        </w:tc>
        <w:tc>
          <w:tcPr>
            <w:tcW w:w="1920" w:type="dxa"/>
            <w:vAlign w:val="bottom"/>
            <w:shd w:val="clear" w:color="auto" w:fill="EEEEEE"/>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Probable</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5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tcPr>
          <w:p>
            <w:pPr>
              <w:spacing w:after="0"/>
              <w:rPr>
                <w:sz w:val="18"/>
                <w:szCs w:val="18"/>
                <w:color w:val="auto"/>
              </w:rPr>
            </w:pPr>
          </w:p>
        </w:tc>
        <w:tc>
          <w:tcPr>
            <w:tcW w:w="1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Probable</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shd w:val="clear" w:color="auto" w:fill="EEEEEE"/>
          </w:tcPr>
          <w:p>
            <w:pPr>
              <w:spacing w:after="0"/>
              <w:rPr>
                <w:sz w:val="18"/>
                <w:szCs w:val="18"/>
                <w:color w:val="auto"/>
              </w:rPr>
            </w:pPr>
          </w:p>
        </w:tc>
        <w:tc>
          <w:tcPr>
            <w:tcW w:w="1920" w:type="dxa"/>
            <w:vAlign w:val="bottom"/>
            <w:shd w:val="clear" w:color="auto" w:fill="EEEEEE"/>
          </w:tcPr>
          <w:p>
            <w:pPr>
              <w:jc w:val="center"/>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25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780" w:type="dxa"/>
            <w:vAlign w:val="bottom"/>
          </w:tcPr>
          <w:p>
            <w:pPr>
              <w:spacing w:after="0"/>
              <w:rPr>
                <w:sz w:val="20"/>
                <w:szCs w:val="20"/>
                <w:color w:val="auto"/>
              </w:rPr>
            </w:pPr>
          </w:p>
        </w:tc>
        <w:tc>
          <w:tcPr>
            <w:tcW w:w="19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four awards deemed probable to vest, the recognition period ranges from five to six years. If the performance condition is ultimately not met, compensation cost related to the award should not be recognized (or should be reversed to the extent any expense has been recognized related to such tranche) because the vesting conditions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total fair value of the Option Grants was $3.2 million of which, at June 30, 2025, $1.0 million is deemed probable of vesting.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2025, the Company reassessed the expected timing of meeting the performance conditions. According to ASC 718-10-55-78, since the number of awards expected to vest and the fair value had changed with the new estimate, the adjustment affected the recognition value and years to vest. Therefore, the Company had reversed $701,807 of the expenses recorded for non-vesting tranches and applied the prospective approach to record adjustment on tranches expected to be vested in future periods. As of June 30, 2025 and 2024, none of the options had vested. For the year ended June 30, 2025 and 2024, the Company recorded $(468,778) and $441,528 of stock-based compensation expense related to the Option Grants. As of June 30, 2025, unrecognized compensation cost related to tranches probable of vesting is approximately $1,032,737 and will be recognized over five years to six years, depending on the tranche.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1,200,000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2024 Stock Options, Mr. Tan will have the option to purchase common stock, par value $0.001 per share of the Company, at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a Black-Scholes Model was used to determine the fair value of the 2024 Stock Options with the following inputs: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$1.30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$1.43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–5.71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3.66%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2024 Stock Options was $1.22 million as of the grant date. For the year ended June 30, 2025, 355,000 stock options were vested and the Company recorded $362,325 as stock compensation expense. As of June 30, 2025, the unrecognized compensation cost of the 2024 Stock Options was approximately $0.86 million and will be recognized monthly through August 1, 2027.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15 –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the term of the warrants, none of the private placement investors exercised any of their warrants and the warrants expired in May 2024. As such, there were no warrants outstanding as of June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restricted cash,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2024, $1,774,296 and $7,219,296, respectively, were deposited with various financial institutions and financial services companies in the United States and PRC. Accounts at each institution in the United States are insured by the Federal Deposit Insurance Corporation (FDIC) for up to $250,000. The Company had approximately $1.4 million and $5.8 million, respectively, in excess of the FDIC insurance limit, as of June 30, 2025 and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and 2024, Amazon Vendor and Amazon Seller customers accounted for 82% and 90% of the Company's total revenues, respectively. As of June 30, 2025 and 2024, accounts receivable from Amazon Vendor and Amazon Seller accounted for 72% and 91%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2025, two suppliers accounted for 14% and 11% of the Company's total purchases, respectively. For the year ended June 30, 2024, one supplier accounted for 10% of the Company's total purchases, respectively. As of June 30, 2025 and 2024, accounts payable to one supplier accounted for 10% and 36% of the Company’s total accounts payable,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is $27,921 to $29,910 per month through October 31, 2023. On October 31, 2023, the lease expired without renewal.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of office space in Shenzhen China and incurred termination costs of approximately $143,000, which was recorded as rental expense for the year ended June 30,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was not started under the original agreement as the construction was not completed. On February 23, 2022, the Company entered into an amended agreement to extend the lease term to 74 months. The lease commencement date is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 As of June 30, 2025, the lease had been terminated.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is for one year from October 1, 2024 to September 30, 2025. The lease is treated as a short-term lease and the base rental fee is approximately $10,000 per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right-of-use assets and operating lease liabilities as of June 30, 2025 and 2024 were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Ended June 30, 2025 and 2024:</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6/30/2025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6/30/2024</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5460" w:type="dxa"/>
            <w:vAlign w:val="bottom"/>
            <w:tcBorders>
              <w:bottom w:val="single" w:sz="8" w:color="EEEEEE"/>
            </w:tcBorders>
          </w:tcPr>
          <w:p>
            <w:pPr>
              <w:spacing w:after="0"/>
              <w:rPr>
                <w:sz w:val="2"/>
                <w:szCs w:val="2"/>
                <w:color w:val="auto"/>
              </w:rPr>
            </w:pPr>
          </w:p>
        </w:tc>
        <w:tc>
          <w:tcPr>
            <w:tcW w:w="88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2,083,235</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2,716,705</w:t>
            </w:r>
          </w:p>
        </w:tc>
        <w:tc>
          <w:tcPr>
            <w:tcW w:w="100" w:type="dxa"/>
            <w:vAlign w:val="bottom"/>
            <w:shd w:val="clear" w:color="auto" w:fill="EEEEEE"/>
          </w:tcPr>
          <w:p>
            <w:pPr>
              <w:spacing w:after="0"/>
              <w:rPr>
                <w:sz w:val="18"/>
                <w:szCs w:val="18"/>
                <w:color w:val="auto"/>
              </w:rPr>
            </w:pP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85,954</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54,258</w:t>
            </w:r>
          </w:p>
        </w:tc>
      </w:tr>
      <w:tr>
        <w:trPr>
          <w:trHeight w:val="216"/>
        </w:trPr>
        <w:tc>
          <w:tcPr>
            <w:tcW w:w="7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76"/>
        </w:trPr>
        <w:tc>
          <w:tcPr>
            <w:tcW w:w="6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2,216,896</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2,644,838</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 – 3.92</w:t>
            </w: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6/30/2025</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6/30/2024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3,915,539</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6,124,163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1,361,111</w:t>
            </w: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2,039,301</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2,913,967</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4,509,809</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4,275,078</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6,549,110</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Lease</w:t>
            </w:r>
          </w:p>
        </w:tc>
        <w:tc>
          <w:tcPr>
            <w:tcW w:w="60" w:type="dxa"/>
            <w:vAlign w:val="bottom"/>
            <w:gridSpan w:val="2"/>
          </w:tcPr>
          <w:p>
            <w:pPr>
              <w:spacing w:after="0"/>
              <w:rPr>
                <w:sz w:val="20"/>
                <w:szCs w:val="20"/>
                <w:color w:val="auto"/>
              </w:rPr>
            </w:pPr>
          </w:p>
        </w:tc>
      </w:tr>
      <w:tr>
        <w:trPr>
          <w:trHeight w:val="40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1,533,918</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1,586,572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1,459,409</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(304,821)</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4,275,078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4" w:name="page95"/>
    <w:bookmarkEnd w:id="94"/>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seeking, among other things, monetary damages against the Company and D.A. Davidson &amp; Co. (who acted as underwriter in the Company’s IPO). As part of the IPO closing, the Company agreed to indemnify D.A. Davidson</w:t>
      </w:r>
    </w:p>
    <w:p>
      <w:pPr>
        <w:spacing w:after="0" w:line="3" w:lineRule="exact"/>
        <w:rPr>
          <w:sz w:val="20"/>
          <w:szCs w:val="20"/>
          <w:color w:val="auto"/>
        </w:rPr>
      </w:pPr>
    </w:p>
    <w:p>
      <w:pPr>
        <w:jc w:val="both"/>
        <w:ind w:firstLine="8"/>
        <w:spacing w:after="0" w:line="253" w:lineRule="auto"/>
        <w:tabs>
          <w:tab w:leader="none" w:pos="2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D.A. Davidson &amp; Co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Pursuant to the terms of the Settlement Agreement, the Company is required to pay the Settlement Amount in four equal installments of $325,000 on each of April 3, 2024, May 3, 2024, June 3, 2024 and July 3, 2024. Within five days of its receipt of the final payment, or by July 8, 2024, Boustead will be obligated to dismiss the FINRA Arbitration against the Company, with prejudice, after which time the Company will be required to dismiss, with prejudice, all counterclaims brought by the Company against Boustead. For the year ended June 30, 2024, the Company considered and concluded that the Settlement Amount of $1.3 million was incremental costs directly associated with the IPO under ASC 340-10-S99-1 and so recorded as offering costs against additional paid-in capital. As of June 30, 2024, the outstanding balance of the Settlement Amount was $325,000. As of the date of this report, the Settlement Amount had been paid off and the parties have formally withdrawn all of the complaints that were before FINRA, with prejudice, and the matter is settled in full.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2024, calculating the shares at $2.40, Messrs. Tan and Huang returned a total of 541,667 shares as indemnification payment to the Company for cancellation (the “Share Cancellation”). The Share Cancellation was completed in June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thus resulting in reduced profits. In addition, supply chain disruptions may put upward pressure on our costs and increase the risk that we may be unable to acquire the materials and services we need to continue to make certain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Other than the material subsequent events disclosed above in the notes to financial statements and below, no other material subsequent events that required recognition or additional disclosure in the consolidated financial statements are presented.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2025, the Company, through its wholly-owned subsidiary, Dayourenzai (Shenzhen) Technology Co, Ltd. (“DYRZ”), a company organized under the laws of the People’s Republic of China (“PRC”), entered into an agreement (the “VIE Contract Termination Agreement”) with the Company’s variable interest entity, Daheshou (Shenzhen) Information Technology Co., Ltd. (“DHS”), a company organized under the laws of the PRC, and its registered shareholders. DHS had previously been consolidated into the Company’s financial statements as a variable interest entity pursuant to certain contractual arrangements (the “VIE Agreements”), which allowed DYRZ to exercise effective control over DHS. Following entry into the VIE Contract Termination Agreement, DYRZ no longer owns, operates or controls DHS and Company-related services and activities previously conducted by DHS will now be performed by the Company and other contractors, as needed, as part of an effort to streamline operations and improve structural efficiency.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DHS has been principally engaged in effectuating part of the Company’s PRC sales, supply chain, merchandizing and distribution services. However, in recent years the Company has improved efficiency and gradually transitioned much of the services performed by DHS to the Company and other contractors. As such, the termination of the VIE structure reflects a strategic move toward operational simplification and is not expected to have a material effect on the Company’s business and/or revenue streams being generated out of the PRC.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 of the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principal financial officer, as appropriate, to allow timely decisions regarding required disclosures. Our principal executive officer and principal financial officer evaluated the effectiveness of disclosure controls and procedures as of the end of the period covered by this Annual Report (the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2024.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2025, our internal control over financial reporting was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fairly present in accordance with U.S. GAAP, in all material respects, our financial condition, results of operations and cash flows for the periods presented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fiscal year ended June 30, 2025 that have materially affected, or are reasonably likely to materially affect, our internal controls over financial reporting.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HTL International, LLC, our independent registered public accounting firm, is not required to and has not provided an assessment of the design or effectiveness of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directors hold office for one-year terms until the election and qualification of their successors. Officers are appointed by our board of directors and serve at the discretion of the board of directors, subject to applicable employment agreements. The following table sets forth information relating to our executive officers and members of our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9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EEEEEE"/>
            </w:tcBorders>
            <w:shd w:val="clear" w:color="auto" w:fill="EEEEEE"/>
          </w:tcPr>
          <w:p>
            <w:pPr>
              <w:spacing w:after="0"/>
              <w:rPr>
                <w:sz w:val="18"/>
                <w:szCs w:val="18"/>
                <w:color w:val="auto"/>
              </w:rPr>
            </w:pPr>
          </w:p>
        </w:tc>
        <w:tc>
          <w:tcPr>
            <w:tcW w:w="59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Chairman, Chief Executive Officer, President, and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Guo</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Hanxi Li</w:t>
            </w:r>
          </w:p>
        </w:tc>
        <w:tc>
          <w:tcPr>
            <w:tcW w:w="1580" w:type="dxa"/>
            <w:vAlign w:val="bottom"/>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EEEEE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Yi Yang</w:t>
            </w:r>
          </w:p>
        </w:tc>
        <w:tc>
          <w:tcPr>
            <w:tcW w:w="1580" w:type="dxa"/>
            <w:vAlign w:val="bottom"/>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EEEEE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Chenlong Tan</w:t>
      </w:r>
      <w:r>
        <w:rPr>
          <w:rFonts w:ascii="Times New Roman" w:cs="Times New Roman" w:eastAsia="Times New Roman" w:hAnsi="Times New Roman"/>
          <w:sz w:val="18"/>
          <w:szCs w:val="18"/>
          <w:color w:val="auto"/>
        </w:rPr>
        <w:t>. Mr. Tan cofounded our Company in 2018 and is the Chairman, Chief Executive Officer and President. He has held the position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B.Sc. at the University of Auckland in New Zealand, where he graduated with honors.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Yue Guo. </w:t>
      </w:r>
      <w:r>
        <w:rPr>
          <w:rFonts w:ascii="Times New Roman" w:cs="Times New Roman" w:eastAsia="Times New Roman" w:hAnsi="Times New Roman"/>
          <w:sz w:val="18"/>
          <w:szCs w:val="18"/>
          <w:color w:val="auto"/>
        </w:rPr>
        <w:t>Ms. Guo was appointed to serve as a director on our board of directors on May 8, 2025. Ms. Guo is a seasoned technology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developer marketing expert with 14 years of experience in the IT and internet industry, specializing in community building, product management, and strategic content operations. Currently a Senior Developer Marketing Manager at Amazon Web Services (AWS) China since May 2021, Ms. Guo has successfully led the establishment of the China Developer Center, achieving 1.2 million annual engagements and onboarding 30,000 new developers within the first year. Before AWS, Ms. Guo was the Head of Developer Market at JD Cloud Technology, from October 2018 to May 2021, where they scaled a developer community to 10 million annual users, generated over 1,000 technical content pieces annually, and established key partnerships with universities and tech foundations. At Baidu, Ms. Guo led the Apollo developer community, building the world’s largest autonomous driving community with over 100,000 developers and launching a globally recognized autonomous driving curriculum in partnership with top universities. A recognized leader in the tech community, Ms. Guo has been an advisory member at OpenSourceCommunity and an expert committee member at the China Open Source Promotion Union (COPU). They are also a member of the China Computer Federation (CCF) Programmer Culture Committee and have represented AWS China in the LF AI &amp; Data community. Ms. Guo’s core strengths include product strategy, content operations, community growth, and developer relations, with a proven track record of driving strategic initiatives that foster engagement, brand visibility, and technical partnerships across major tech ecosystems. We believe that Ms. Guo’s extensive experience in computer science and software will benefit the Company’s business and operations and make them a valuable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Hanxi Li. </w:t>
      </w:r>
      <w:r>
        <w:rPr>
          <w:rFonts w:ascii="Times New Roman" w:cs="Times New Roman" w:eastAsia="Times New Roman" w:hAnsi="Times New Roman"/>
          <w:sz w:val="18"/>
          <w:szCs w:val="18"/>
          <w:color w:val="auto"/>
        </w:rPr>
        <w:t>Ms. Li was appointed to serve as a director on our board of directors on December 23, 2021 and serves as chair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the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Bennet Tchaikovsky. </w:t>
      </w:r>
      <w:r>
        <w:rPr>
          <w:rFonts w:ascii="Times New Roman" w:cs="Times New Roman" w:eastAsia="Times New Roman" w:hAnsi="Times New Roman"/>
          <w:sz w:val="18"/>
          <w:szCs w:val="18"/>
          <w:color w:val="auto"/>
        </w:rPr>
        <w:t>Mr. Tchaikovsky serves as a member of our board of directors, a position he has held since May 2021, following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initial public offering, and serves as chair of the audit committee. Since August 2014, Mr. Tchaikovsky has been a full-time professor at Irvine Valley College. From January 2022 to June 2024, Mr. Tchaikovsky served as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served as chief financial officer of VLOV, Inc. From May 2008 to April 2010, Mr. Tchaikovsky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the University of California at Santa Barbara in August 1991. Mr. Tchaikovsky is an actively licensed Certified Public Accountant in California and is an actively licensed member of the California State Bar. We believe that Mr. Tchaikovsky’s extensive experience in accounting and business will benefit the Company’s business and operations and make him a valuable member of the board of directors and its committees.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Yi Yang. </w:t>
      </w:r>
      <w:r>
        <w:rPr>
          <w:rFonts w:ascii="Times New Roman" w:cs="Times New Roman" w:eastAsia="Times New Roman" w:hAnsi="Times New Roman"/>
          <w:sz w:val="18"/>
          <w:szCs w:val="18"/>
          <w:color w:val="auto"/>
        </w:rPr>
        <w:t>Ms. Yang was appointed to serve as a director on our board of directors on June 6, 2025. Ms. Yang has served as the Founder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Custom Cup Factory, Inc. since 2020 and as the Founder and Chief Executive Officer of Pacelor since 2022. From 2017 until 2018, Ms. Yang was founder and operator of Lebonbon, a boutique catering and event service company specializing in desserts, beverages, and party/event execution. From 2010 until 2014, Ms. Yang was a personnel specialist with the United States Navy, where she managed personnel records, advancement testing and military benefits, among other duties. We believe that Ms. Yang’s extensive experience in packaging, wholesale and logistics will benefit the Company’s business and operations and make Ms. Yang a valuable member of the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officers or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our knowledge, during the past ten years, none of our directors, executive officers, promoters, control persons, or nominees has:</w:t>
      </w:r>
    </w:p>
    <w:p>
      <w:pPr>
        <w:spacing w:after="0" w:line="225" w:lineRule="exact"/>
        <w:rPr>
          <w:sz w:val="20"/>
          <w:szCs w:val="20"/>
          <w:color w:val="auto"/>
        </w:rPr>
      </w:pPr>
    </w:p>
    <w:p>
      <w:pPr>
        <w:ind w:left="660" w:right="2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committees operates under a charter that has been approved by our board of directors, as set forth below.</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three independent directors. The members of the Audit Committee are Mr. Tchaikovsky,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Guo and Ms. Li.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responsibilities include:</w:t>
      </w:r>
    </w:p>
    <w:p>
      <w:pPr>
        <w:spacing w:after="0" w:line="225"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compensation and work of and performance by our independent auditor and any other registered public accounting firm performing audit, review or attestation services for us;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retaining and terminating our independent auditor and determining the terms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qualifications, performance and independence of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provision of permitted non-audit services is compatible with maintaining the auditor’s independence;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audit results, including any comments and recommendations of the independent auditor and the responses of management to such recommendations;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annual and quarterly financial statements with management and the independent auditor;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committee report for inclusion in applicable SEC filings;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internal controls and procedures;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transactions with related persons for potential conflict of interest situations.</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three independent directors. The members of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Ms. Li, Mr. Tchaikovsky and Ms. Guo. Ms. Li serves as the chair of the Compensation Committee. The committee has primary responsibility for:</w:t>
      </w:r>
    </w:p>
    <w:p>
      <w:pPr>
        <w:spacing w:after="0" w:line="159" w:lineRule="exact"/>
        <w:rPr>
          <w:sz w:val="20"/>
          <w:szCs w:val="20"/>
          <w:color w:val="auto"/>
        </w:rPr>
      </w:pPr>
    </w:p>
    <w:p>
      <w:pPr>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all elements and amounts of compensation for each executive officer, including any performance goals applicable to those executive officers;</w:t>
      </w:r>
    </w:p>
    <w:p>
      <w:pPr>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the adoption, any amendment and termination of all cash and equity-based incentive compensation plans;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required by applicable law, causing to be prepared a committee report for inclusion in applicable SEC filings;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employment agreements, severance agreements or change of control agreements that are entered into with the Chief Executive Officer and certain executive officers; and</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level and form of non-employee director compensation and benefits.</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r>
        <w:rPr>
          <w:rFonts w:ascii="Times New Roman" w:cs="Times New Roman" w:eastAsia="Times New Roman" w:hAnsi="Times New Roman"/>
          <w:sz w:val="18"/>
          <w:szCs w:val="18"/>
          <w:color w:val="auto"/>
        </w:rPr>
        <w:t>. The Nominating and Governance Committee consists of three independent directors. The members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Governance Committee are Mr. Guo, Ms. Li and Mr. Tchaikovsky. Ms. Guo serves as chair of the Nominating and Corporate Governance Committee. The Nominating and Corporate Governance Committee’s responsibilities include:</w:t>
      </w:r>
    </w:p>
    <w:p>
      <w:pPr>
        <w:spacing w:after="0" w:line="17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persons for election as directors by the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persons for appointment as directors to the extent necessary to fill any vacancies or newly created directorships;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skills and characteristics required of directors and each incumbent director’s continued service on the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stockholder proposals and nominations for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appropriate structure and operations of the board of directors and its committees;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standing board committee assignments;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Corporate Governance Guidelines, a Code of Business Conduct and Ethics and other corporate governance policies and programs and reviewing such guidelines, code and any other policies and programs at least annually;</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as to determinations of director independence; and</w:t>
      </w:r>
    </w:p>
    <w:p>
      <w:pPr>
        <w:spacing w:after="0" w:line="9" w:lineRule="exact"/>
        <w:rPr>
          <w:rFonts w:ascii="Times New Roman" w:cs="Times New Roman" w:eastAsia="Times New Roman" w:hAnsi="Times New Roman"/>
          <w:sz w:val="18"/>
          <w:szCs w:val="18"/>
          <w:color w:val="auto"/>
        </w:rPr>
      </w:pPr>
    </w:p>
    <w:p>
      <w:pPr>
        <w:ind w:left="660" w:right="760" w:hanging="328"/>
        <w:spacing w:after="0" w:line="555"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of directors regarding corporate governance based upon developments, trends, and best practices. The Nominating and Governance Committee will consider stockholder recommendations for candidates for the board of directors.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formal Code of Business Conduct and Ethics (the “Code”) that is applicable to every officer, director, employee and consultant (the “Employees”) of the Company and its affiliates. The Code reaffirms the high standards of business conduct required of all of the Company’s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an insider trading policy to help the Company’s Employees comply with federal and state securities laws, prevent insider trading and govern the terms and conditions at which the Employees can trade in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Incentive-Based Compensation Recovery (Clawback)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an incentive-based compensation recovery (clawback) policy to enable the Company to recover erroneously awarded compensation in the event that the Company is required to prepare an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Directors Liability and Indemnification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Nevada Revised Statutes (“NRS”) authorizes corporations to limit or eliminate, subject to certain conditions, the personal liability of directors to corporations and their stockholders for monetary damages for breach of their fiduciary duties.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no specific indemnification agreements with our directors or executive officers. However, our officers and directors are entitled to indemnification through our bylaws and to the extent allowed pursuant to the NRS, federal securities law and our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2025, except for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Late Reports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Transactions Covered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09"/>
        </w:trPr>
        <w:tc>
          <w:tcPr>
            <w:tcW w:w="2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Hanxi Li</w:t>
            </w:r>
          </w:p>
        </w:tc>
        <w:tc>
          <w:tcPr>
            <w:tcW w:w="140" w:type="dxa"/>
            <w:vAlign w:val="bottom"/>
            <w:tcBorders>
              <w:top w:val="single" w:sz="8" w:color="EEEEEE"/>
            </w:tcBorders>
            <w:shd w:val="clear" w:color="auto" w:fill="EEEEEE"/>
          </w:tcPr>
          <w:p>
            <w:pPr>
              <w:spacing w:after="0"/>
              <w:rPr>
                <w:sz w:val="18"/>
                <w:szCs w:val="18"/>
                <w:color w:val="auto"/>
              </w:rPr>
            </w:pPr>
          </w:p>
        </w:tc>
        <w:tc>
          <w:tcPr>
            <w:tcW w:w="27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10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23,809</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Form 4</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23,809</w:t>
            </w:r>
          </w:p>
        </w:tc>
      </w:tr>
      <w:tr>
        <w:trPr>
          <w:trHeight w:val="216"/>
        </w:trPr>
        <w:tc>
          <w:tcPr>
            <w:tcW w:w="2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Kevin Liles*</w:t>
            </w:r>
          </w:p>
        </w:tc>
        <w:tc>
          <w:tcPr>
            <w:tcW w:w="280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Form 4</w:t>
            </w:r>
          </w:p>
        </w:tc>
        <w:tc>
          <w:tcPr>
            <w:tcW w:w="28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2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23,809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Liles served on the board through May 8, 2025, at which time he was replaced by Ms. Yue Guo.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years ended December 31, 2025 and December 31, 2024 were Chenlong Tan and Kevin Vassily.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earned by our executive officers who were serving as executive officers as of June 30, 2025, for services rendered in all capacities to us for the fiscal years ended June 30, 2025 and 2024.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 Based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9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362,325</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62,647(1)</w:t>
            </w:r>
          </w:p>
        </w:tc>
        <w:tc>
          <w:tcPr>
            <w:tcW w:w="3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688,972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EEEEEE"/>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Chairman, Chief Executive Officer, President and Interim</w:t>
            </w:r>
          </w:p>
        </w:tc>
        <w:tc>
          <w:tcPr>
            <w:tcW w:w="800" w:type="dxa"/>
            <w:vAlign w:val="bottom"/>
            <w:gridSpan w:val="2"/>
            <w:shd w:val="clear" w:color="auto" w:fill="EEEEEE"/>
          </w:tcPr>
          <w:p>
            <w:pPr>
              <w:ind w:left="28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264,000</w:t>
            </w:r>
          </w:p>
        </w:tc>
        <w:tc>
          <w:tcPr>
            <w:tcW w:w="1240" w:type="dxa"/>
            <w:vAlign w:val="bottom"/>
            <w:gridSpan w:val="2"/>
            <w:shd w:val="clear" w:color="auto" w:fill="EEEEEE"/>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62,647(1)</w:t>
            </w:r>
          </w:p>
        </w:tc>
        <w:tc>
          <w:tcPr>
            <w:tcW w:w="1000" w:type="dxa"/>
            <w:vAlign w:val="bottom"/>
            <w:shd w:val="clear" w:color="auto" w:fill="EEEEEE"/>
          </w:tcPr>
          <w:p>
            <w:pPr>
              <w:jc w:val="right"/>
              <w:spacing w:after="0" w:line="195" w:lineRule="exact"/>
              <w:rPr>
                <w:sz w:val="20"/>
                <w:szCs w:val="20"/>
                <w:color w:val="auto"/>
              </w:rPr>
            </w:pPr>
            <w:r>
              <w:rPr>
                <w:rFonts w:ascii="Times New Roman" w:cs="Times New Roman" w:eastAsia="Times New Roman" w:hAnsi="Times New Roman"/>
                <w:sz w:val="18"/>
                <w:szCs w:val="18"/>
                <w:color w:val="auto"/>
              </w:rPr>
              <w:t>326,647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Kevin Vassily</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220,000</w:t>
            </w:r>
          </w:p>
        </w:tc>
        <w:tc>
          <w:tcPr>
            <w:tcW w:w="124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EEEEEE"/>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Former Chief Financial Officer</w:t>
            </w:r>
            <w:r>
              <w:rPr>
                <w:rFonts w:ascii="Times New Roman" w:cs="Times New Roman" w:eastAsia="Times New Roman" w:hAnsi="Times New Roman"/>
                <w:sz w:val="29"/>
                <w:szCs w:val="29"/>
                <w:i w:val="1"/>
                <w:iCs w:val="1"/>
                <w:color w:val="auto"/>
                <w:vertAlign w:val="superscript"/>
              </w:rPr>
              <w:t>(2)</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240,000</w:t>
            </w:r>
          </w:p>
        </w:tc>
        <w:tc>
          <w:tcPr>
            <w:tcW w:w="124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costs of leasing a car.</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Vassily resigned as the Company’s Chief Financial Officer on May 31, 2025, at which time Mr. Tan assumed the position of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Chenlong Tan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the board of directors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Kevin Vassily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29, 2021, we entered into an employment agreement with our Chief Financial Officer, Kevin Vassily. Under Mr. Vassily’s employment agreement, Mr. Vassily receives base compensation of $240,000, is entitled to an annual guaranteed bonus of $60,000 upon achievement of certain milestones and up to an additional $60,000 annually in the sole discretion of the Company’s board of directors. Mr. Vassily is also entitled to 12,000 restricted stock units upon completion of our IPO. Thereafter, stock grants will be adjusted based on the awards from each prior year. Mr. Vassily is not entitled to any severance rights under his employment agreement and may be terminated upon 30 days’ written notice by either party. On May 21, 2025, Mr. Vassily announced that he would be resigning from the Company, effective May 31, 2025. At such time, Mr. Tan assumed the position of interim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June 30,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RSUs (#)</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RSUs(#)</w:t>
            </w: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Unvested</w:t>
            </w:r>
          </w:p>
        </w:tc>
      </w:tr>
      <w:tr>
        <w:trPr>
          <w:trHeight w:val="210"/>
        </w:trPr>
        <w:tc>
          <w:tcPr>
            <w:tcW w:w="15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5/13/2022</w:t>
            </w: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5/12/2032</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ind w:left="11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8/29/2024</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355,000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8/28/2034</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reimburse all members of our board of directors for their direct out of pocket expenses incurred in attending meetings of our board of directors. This table summarizes the compensation paid to each of our independent directors who served in such capacity during the fiscal year ended June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Based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($USD)</w:t>
            </w:r>
          </w:p>
        </w:tc>
      </w:tr>
      <w:tr>
        <w:trPr>
          <w:trHeight w:val="209"/>
        </w:trPr>
        <w:tc>
          <w:tcPr>
            <w:tcW w:w="54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EEEEEE"/>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57"/>
        </w:trPr>
        <w:tc>
          <w:tcPr>
            <w:tcW w:w="5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Kevin Liles </w:t>
            </w:r>
            <w:r>
              <w:rPr>
                <w:rFonts w:ascii="Times New Roman" w:cs="Times New Roman" w:eastAsia="Times New Roman" w:hAnsi="Times New Roman"/>
                <w:sz w:val="29"/>
                <w:szCs w:val="29"/>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Hanxi Li</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020" w:type="dxa"/>
            <w:vAlign w:val="bottom"/>
            <w:shd w:val="clear" w:color="auto" w:fill="EEEEEE"/>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57"/>
        </w:trPr>
        <w:tc>
          <w:tcPr>
            <w:tcW w:w="5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Yue Guo </w:t>
            </w:r>
            <w:r>
              <w:rPr>
                <w:rFonts w:ascii="Times New Roman" w:cs="Times New Roman" w:eastAsia="Times New Roman" w:hAnsi="Times New Roman"/>
                <w:sz w:val="29"/>
                <w:szCs w:val="29"/>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0" w:type="dxa"/>
            <w:vAlign w:val="bottom"/>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Yi Yang </w:t>
            </w:r>
            <w:r>
              <w:rPr>
                <w:rFonts w:ascii="Times New Roman" w:cs="Times New Roman" w:eastAsia="Times New Roman" w:hAnsi="Times New Roman"/>
                <w:sz w:val="29"/>
                <w:szCs w:val="29"/>
                <w:color w:val="auto"/>
                <w:vertAlign w:val="superscript"/>
              </w:rPr>
              <w:t>(2)</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EEEEE"/>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Liles resigned as a director on May 8, 2025 at which time the Board appointed Yue Guo to serve as independent director.</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Yang was appointed to the Board effective June 6, 2025. Ms. Yang does not receive cash or stock compensation for her service on the board as she does not qualify as an independent director.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independent directors each receive (i) $25,000 annual cash compensation, payable in equal quarterly installments, and (ii) $30,000 in restricted stock units (“RSUs”), which were issued pursuant to our 2020 Amended Equity Incentive Plan. The RSUs vest monthly in 12 substantially equal installments.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15, 2020, the Company’s board of directors adopted, and its stockholders approved and ratified, the iPower Inc. 2020 Equity Incentive Plan. Further on May 5, 2021, the Company’s board of directors adopted, and its stockholders approved and ratified, the 2020 Amended Equity Incentive Plan. The 2020 Amended Equity Incentive Plan allows for the issuance of up to 10,000,000 shares of common stock, whether in the form of options, restricted stock, restricted stock units, stock appreciation rights, performance units, performance shares and other stock or cash awards. The general purpose of the 2020 Amended Equity Incentive Plan is to provide an incentive to the Company’s directors, officers, employees, consultants and advisors by enabling them to share in the future growth of the Company’s business. The board of directors believes that granting equity-based compensation serves to promote continuity of management and provide for a shared interest in the welfare, growth and development of the Company. The Company believes that the 2020 Amended Equity Incentive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6" w:name="page107"/>
    <w:bookmarkEnd w:id="1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RSU grants referenced above, on May 13, 2022, the Company granted stock options (the “Option Grants”) in the amount of (i) 3,000,000 shares to Chenlong Tan, our Chief Executive Officer and (ii) 330,000 shares to Kevin Vassily, our Chief Financial Officer. The Option Grants have an exercise price of $1.12 per share (the closing price on the grant date) and have a term of 10 years, will vest in stages upon the Company’s achievement of certain pre-determined market capitalization and revenue or operating income targets set forth in the grant agreements. Upon Mr. Vassily’s resignation, stock options for 330,000 shares granted to him had been forfeited.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29, 2024, the Company granted 1,200,000 shares of stock options (the “2024 Stock Options”) to Chenlong Tan, the Company’s Chief Executive Officer, pursuant to the terms of the Amended and Restated 2020 Equity Incentive Plan (the “Plan”). The options have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fiscal year ended June 30, 2025, the Company granted an additional 88,094 RSUs to our directors and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Granting of Certain Equity Awards Close in Time to the Release of Material Nonpublic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grant equity awards in anticipation of the release of material nonpublic information that is likely to result in changes to the price of our common stock, and do not time the public release of such information based on award grant dates. During the last completed fiscal year, we have not made awards to any named executive officer or director during the period beginning four business days before and ending one business day after the filing of a Quarterly Report on Form 10-Q or our Annual Report on Form 10-K or the filing or furnishing of a Current Report on Form 8-K, and we have not timed the disclosure of material nonpublic information for the purpose of affecting the value of executive compensation.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shares of common stock beneficially owned as of October 9, 2025 by:</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stockholders who is known by us to beneficially own 5% or more of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executives as a group.</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31,493,686 shares of common stock outstanding as of October 9, 2025. In computing the number of shares beneficially owned by a person and the percentage ownership of that person, shares of common stock that are subject to options or warrants held by that person and exercisable as of, or within sixty (60) days of, the date of this prospectus.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Total Percentage of</w:t>
            </w:r>
          </w:p>
        </w:tc>
      </w:tr>
      <w:tr>
        <w:trPr>
          <w:trHeight w:val="216"/>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74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0" w:type="dxa"/>
            <w:vAlign w:val="bottom"/>
            <w:tcBorders>
              <w:bottom w:val="single" w:sz="8" w:color="EEEEEE"/>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40" w:type="dxa"/>
            <w:vAlign w:val="bottom"/>
            <w:tcBorders>
              <w:bottom w:val="single" w:sz="8" w:color="EEEEEE"/>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Borders>
              <w:bottom w:val="single" w:sz="8" w:color="EEEEEE"/>
            </w:tcBorders>
          </w:tcPr>
          <w:p>
            <w:pPr>
              <w:spacing w:after="0"/>
              <w:rPr>
                <w:sz w:val="20"/>
                <w:szCs w:val="20"/>
                <w:color w:val="auto"/>
              </w:rPr>
            </w:pPr>
          </w:p>
        </w:tc>
      </w:tr>
      <w:tr>
        <w:trPr>
          <w:trHeight w:val="250"/>
        </w:trPr>
        <w:tc>
          <w:tcPr>
            <w:tcW w:w="7400" w:type="dxa"/>
            <w:vAlign w:val="bottom"/>
            <w:shd w:val="clear" w:color="auto" w:fill="EEEEEE"/>
          </w:tcPr>
          <w:p>
            <w:pPr>
              <w:spacing w:after="0" w:line="250" w:lineRule="exact"/>
              <w:rPr>
                <w:sz w:val="20"/>
                <w:szCs w:val="20"/>
                <w:color w:val="auto"/>
              </w:rPr>
            </w:pPr>
            <w:r>
              <w:rPr>
                <w:rFonts w:ascii="Times New Roman" w:cs="Times New Roman" w:eastAsia="Times New Roman" w:hAnsi="Times New Roman"/>
                <w:sz w:val="17"/>
                <w:szCs w:val="17"/>
                <w:color w:val="auto"/>
              </w:rPr>
              <w:t xml:space="preserve">Chenlong Tan </w:t>
            </w:r>
            <w:r>
              <w:rPr>
                <w:rFonts w:ascii="Times New Roman" w:cs="Times New Roman" w:eastAsia="Times New Roman" w:hAnsi="Times New Roman"/>
                <w:sz w:val="28"/>
                <w:szCs w:val="28"/>
                <w:color w:val="auto"/>
                <w:vertAlign w:val="superscript"/>
              </w:rPr>
              <w:t>(1)</w:t>
            </w:r>
          </w:p>
        </w:tc>
        <w:tc>
          <w:tcPr>
            <w:tcW w:w="220" w:type="dxa"/>
            <w:vAlign w:val="bottom"/>
            <w:shd w:val="clear" w:color="auto" w:fill="EEEEEE"/>
          </w:tcPr>
          <w:p>
            <w:pPr>
              <w:spacing w:after="0"/>
              <w:rPr>
                <w:sz w:val="21"/>
                <w:szCs w:val="21"/>
                <w:color w:val="auto"/>
              </w:rPr>
            </w:pPr>
          </w:p>
        </w:tc>
        <w:tc>
          <w:tcPr>
            <w:tcW w:w="1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8,558,334</w:t>
            </w:r>
          </w:p>
        </w:tc>
        <w:tc>
          <w:tcPr>
            <w:tcW w:w="17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57"/>
        </w:trPr>
        <w:tc>
          <w:tcPr>
            <w:tcW w:w="7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Yue Guo </w:t>
            </w:r>
            <w:r>
              <w:rPr>
                <w:rFonts w:ascii="Times New Roman" w:cs="Times New Roman" w:eastAsia="Times New Roman" w:hAnsi="Times New Roman"/>
                <w:sz w:val="29"/>
                <w:szCs w:val="29"/>
                <w:color w:val="auto"/>
                <w:vertAlign w:val="superscript"/>
              </w:rPr>
              <w:t>(2)</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2,778</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2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 xml:space="preserve">Hanxi Li </w:t>
            </w:r>
            <w:r>
              <w:rPr>
                <w:rFonts w:ascii="Times New Roman" w:cs="Times New Roman" w:eastAsia="Times New Roman" w:hAnsi="Times New Roman"/>
                <w:sz w:val="29"/>
                <w:szCs w:val="29"/>
                <w:color w:val="auto"/>
                <w:vertAlign w:val="superscript"/>
              </w:rPr>
              <w:t>(3)</w:t>
            </w:r>
          </w:p>
        </w:tc>
        <w:tc>
          <w:tcPr>
            <w:tcW w:w="1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88,749</w:t>
            </w:r>
          </w:p>
        </w:tc>
        <w:tc>
          <w:tcPr>
            <w:tcW w:w="17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Bennet Tchaikovsky </w:t>
            </w:r>
            <w:r>
              <w:rPr>
                <w:rFonts w:ascii="Times New Roman" w:cs="Times New Roman" w:eastAsia="Times New Roman" w:hAnsi="Times New Roman"/>
                <w:sz w:val="29"/>
                <w:szCs w:val="29"/>
                <w:color w:val="auto"/>
                <w:vertAlign w:val="superscript"/>
              </w:rPr>
              <w:t>(4)</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79,409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2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Yi Yang </w:t>
            </w:r>
            <w:r>
              <w:rPr>
                <w:rFonts w:ascii="Times New Roman" w:cs="Times New Roman" w:eastAsia="Times New Roman" w:hAnsi="Times New Roman"/>
                <w:sz w:val="29"/>
                <w:szCs w:val="29"/>
                <w:color w:val="auto"/>
                <w:vertAlign w:val="superscript"/>
              </w:rPr>
              <w:t>(5)</w:t>
            </w:r>
          </w:p>
        </w:tc>
        <w:tc>
          <w:tcPr>
            <w:tcW w:w="1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Officers and Directors (5 Persons)</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8,729,270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7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Owners of more than 5%</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762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Allan Huang </w:t>
            </w:r>
            <w:r>
              <w:rPr>
                <w:rFonts w:ascii="Times New Roman" w:cs="Times New Roman" w:eastAsia="Times New Roman" w:hAnsi="Times New Roman"/>
                <w:sz w:val="29"/>
                <w:szCs w:val="29"/>
                <w:color w:val="auto"/>
                <w:vertAlign w:val="superscript"/>
              </w:rPr>
              <w:t>(6)</w:t>
            </w:r>
          </w:p>
        </w:tc>
        <w:tc>
          <w:tcPr>
            <w:tcW w:w="1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7,752,500</w:t>
            </w:r>
          </w:p>
        </w:tc>
        <w:tc>
          <w:tcPr>
            <w:tcW w:w="17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r>
      <w:tr>
        <w:trPr>
          <w:trHeight w:val="238"/>
        </w:trPr>
        <w:tc>
          <w:tcPr>
            <w:tcW w:w="762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 xml:space="preserve">White Cherry Limited </w:t>
            </w:r>
            <w:r>
              <w:rPr>
                <w:rFonts w:ascii="Times New Roman" w:cs="Times New Roman" w:eastAsia="Times New Roman" w:hAnsi="Times New Roman"/>
                <w:sz w:val="27"/>
                <w:szCs w:val="27"/>
                <w:color w:val="auto"/>
                <w:vertAlign w:val="superscript"/>
              </w:rPr>
              <w:t>(7)</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3,083,700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0.1%</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Chenlong Tan is our co-Founder, Chairman, Chief Executive Officer and President. Mr. Tan’s holding consists of (i) 4,073,334 shares directly held by Mr. Tan; (ii) 4,000,000 shares held by a trust for the benefit of Mr. Tan and certain of his family members, and (iii) 485,000 shares of options vested. The aforementioned holdings do not include options to purchase 3,682,500 shares of common stock which remain subject to certain vesting conditions.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Guo is a member of our board of directors. Her holdings consist of (i) 2,778 shares of common stock and (ii) 13,889 RSUs which remain subject to vesting.</w:t>
      </w:r>
    </w:p>
    <w:p>
      <w:pPr>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 is a member of our board of directors. Her holdings consist of (i) 88,749 shares of common stock and (ii) 12,046 RSUs which remain subject to vesting.</w:t>
      </w:r>
    </w:p>
    <w:p>
      <w:pPr>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Tchaikovsky is a member of our board of directors. His holdings consist of (i) 79,409 shares of common stock and (ii) 24,093 RSUs which remain subject to vesting.</w:t>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Yang is a member of our board of directors.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Allan Huang is our co-Founder and a consultant and was previously our Chief Executive Officer, President and a director.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Cherry Limited was the former owner of our subsidiary in Hong Kong.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described below, during the last two fiscal years, there are no transactions or series of similar transactions to which we were a party or will be a party, in which:</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 or will exceed $120,000;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any of the foregoing had, or will have,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27, 2021, Mr. Chenlong Tan, our Chairman, President, Chief Executive Officer and Interim Chief Financial Officer and a beneficial owner more than 5% of our common stock,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Securities, LLC (“Boustead”) or the underwriters, should Boustead be successful in any action against the Company related to the Company’s initial public offering. On June 18, 2024, Mr. Tan, along with co-founder and stockholder Allan Huang, satisfied this obligation by returning a total of 541,667 shares to the Company’s treasury, to reimburse the Company for a $1.3 million settlement with Boustead.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years ended June 30, 2025 and 2024, the Company recorded interest of $0 and $32,911. As of June 30, 2025, the outstanding balance of the On-demand Loan was fully paid off.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ended June 30, 2024, the Company started selling products through MII Strategy Inc. (“MII”), a company owned by the Company’s CEO, Mr. Chenlong Tan. As of June 30, 2025 and 2024, the total amount due from MII was $0 and $56,406.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stockholders of the Company. The RP Loan bears no interest and is due upon receipt of request of repayment. As of June 30, 2025 and 2024, the outstanding balance of the RP Loan was $0 and $350,000.</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3, 2025, the Company, Custom Cup Factory, Inc. (“CCF”) and Ms. Yi Yang, our director,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the Joint Venture in consideration for the Joint Venture’s use of the Company’s equipment and facility, Ms. Yang owns 1,140 Class A Voting Units of the Joint Venture in consideration for Ms. Yang’s commitment to manage the business of the Joint Venture and CCF owns 1,710 Class A Voting Units of the Joint Venture in consideration for CCF’s contribution of its marketing expertise, existing sales channel and customer list. The Joint Venture will be managed by the Company, CCF and Ms. Yang. Ms. Yang is the Founder and Chief Executive Officer of CCF.</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Ms. Yang’s entity, Pacelor Inc. (“Pacelor”), manages a warehouse and provide fulfillment services for the Company and receives a monthly service fee, which fluctuates from month to month, of approximately $200,000. Ms. Yang is the Founder and Chief Executive Officer of Pacelor. For the year ended June 30, 2025, the Company received $202,922 service from Pacelor after it became the related party of Pacelor on June 6, 2025 and the accounts payable to Pacelor as of June 30, 2025 was 78,831. Ms. Yang’s another entity, Pacelor NV Inc. (“Pacelor NV”) also provides marketing services for the Company. As of June 30, 2025, the outstanding accounts payable to Pacelor NV was $315,019.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The Nasdaq Stock Market, LLC (Nasdaq), a majority of the members of a listed company’s board of directors must qualify as “independent,” as affirmatively determined by the board of directors. The board of directors consults with our outside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undertook a review of the independence of each director. Based on information provided by each director concerning his or her background, employment, and affiliations, the Board has determined that Mr. Bennet Tchaikovsky, Ms. Hanxi Li and Ms. Yang Guo do not have relationships that would interfere with the exercise of independent judgment in carrying out the responsibilities of a director and that each of these directors is “independent” as that term is defined under the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shares by each non-employee director and the transactions described in “Certain Relationships and Related Person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represents fees for professional audit services for the audit of the Company’s annual financial statements for the fiscal years ended June 30, 2025 and 2024, rendered by HTL International, LLC, the Company’s current independent registered public accounting firm, and UHY LLP, the Company’s prior independent registered public accounting firm.</w:t>
      </w:r>
    </w:p>
    <w:p>
      <w:pPr>
        <w:sectPr>
          <w:pgSz w:w="11900" w:h="16838" w:orient="portrait"/>
          <w:cols w:equalWidth="0" w:num="1">
            <w:col w:w="11240"/>
          </w:cols>
          <w:pgMar w:left="320" w:top="796" w:right="339" w:bottom="1440" w:gutter="0" w:footer="0" w:header="0"/>
        </w:sectPr>
      </w:pP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HTL International,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19685</wp:posOffset>
            </wp:positionV>
            <wp:extent cx="2091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14605</wp:posOffset>
            </wp:positionV>
            <wp:extent cx="2091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19685</wp:posOffset>
            </wp:positionV>
            <wp:extent cx="2040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040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1" w:lineRule="exact"/>
        <w:rPr>
          <w:sz w:val="20"/>
          <w:szCs w:val="20"/>
          <w:color w:val="auto"/>
        </w:rPr>
      </w:pPr>
    </w:p>
    <w:p>
      <w:pPr>
        <w:sectPr>
          <w:pgSz w:w="11900" w:h="16838" w:orient="portrait"/>
          <w:cols w:equalWidth="0" w:num="2">
            <w:col w:w="7740" w:space="720"/>
            <w:col w:w="27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71"/>
        </w:trPr>
        <w:tc>
          <w:tcPr>
            <w:tcW w:w="3280" w:type="dxa"/>
            <w:vAlign w:val="bottom"/>
            <w:vMerge w:val="restart"/>
            <w:shd w:val="clear" w:color="auto" w:fill="EEEEEE"/>
          </w:tcPr>
          <w:p>
            <w:pPr>
              <w:spacing w:after="0" w:line="288"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w:t>
            </w:r>
          </w:p>
        </w:tc>
        <w:tc>
          <w:tcPr>
            <w:tcW w:w="1000" w:type="dxa"/>
            <w:vAlign w:val="bottom"/>
            <w:shd w:val="clear" w:color="auto" w:fill="EEEEEE"/>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340" w:type="dxa"/>
            <w:vAlign w:val="bottom"/>
            <w:shd w:val="clear" w:color="auto" w:fill="EEEEEE"/>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340" w:type="dxa"/>
            <w:vAlign w:val="bottom"/>
            <w:shd w:val="clear" w:color="auto" w:fill="EEEEEE"/>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160" w:type="dxa"/>
            <w:vAlign w:val="bottom"/>
            <w:shd w:val="clear" w:color="auto" w:fill="EEEEEE"/>
          </w:tcPr>
          <w:p>
            <w:pPr>
              <w:spacing w:after="0"/>
              <w:rPr>
                <w:sz w:val="6"/>
                <w:szCs w:val="6"/>
                <w:color w:val="auto"/>
              </w:rPr>
            </w:pPr>
          </w:p>
        </w:tc>
        <w:tc>
          <w:tcPr>
            <w:tcW w:w="160" w:type="dxa"/>
            <w:vAlign w:val="bottom"/>
            <w:shd w:val="clear" w:color="auto" w:fill="EEEEEE"/>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100" w:type="dxa"/>
            <w:vAlign w:val="bottom"/>
            <w:shd w:val="clear" w:color="auto" w:fill="EEEEE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80" w:type="dxa"/>
            <w:vAlign w:val="bottom"/>
            <w:vMerge w:val="continue"/>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313,467</w:t>
            </w:r>
          </w:p>
        </w:tc>
        <w:tc>
          <w:tcPr>
            <w:tcW w:w="640" w:type="dxa"/>
            <w:vAlign w:val="bottom"/>
            <w:gridSpan w:val="2"/>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316,066</w:t>
            </w: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fees</w:t>
            </w:r>
          </w:p>
        </w:tc>
        <w:tc>
          <w:tcPr>
            <w:tcW w:w="10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EEEEEE"/>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7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00" w:type="dxa"/>
            <w:vAlign w:val="bottom"/>
            <w:tcBorders>
              <w:top w:val="single" w:sz="8" w:color="EEEEEE"/>
              <w:bottom w:val="single" w:sz="8" w:color="EEEEEE"/>
            </w:tcBorders>
            <w:shd w:val="clear" w:color="auto" w:fill="EEEEEE"/>
          </w:tcPr>
          <w:p>
            <w:pPr>
              <w:spacing w:after="0"/>
              <w:rPr>
                <w:sz w:val="19"/>
                <w:szCs w:val="19"/>
                <w:color w:val="auto"/>
              </w:rPr>
            </w:pPr>
          </w:p>
        </w:tc>
        <w:tc>
          <w:tcPr>
            <w:tcW w:w="7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ind w:left="140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313,467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316,066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by the principal accountant for the audit of the Company’s annual financial statements and review of the financial statements included in the Company’s Form 10-K and Form 10-Q and for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primarily of fees for assurance and related services by the accountant that are reasonably related to the performance of the audit or review of the Company’s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is tasked with pre-approving any non-audit services proposed to be provided to the Company by the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2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112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000" w:type="dxa"/>
            <w:vAlign w:val="bottom"/>
            <w:tcBorders>
              <w:top w:val="single" w:sz="8" w:color="auto"/>
            </w:tcBorders>
            <w:gridSpan w:val="17"/>
          </w:tcPr>
          <w:p>
            <w:pPr>
              <w:ind w:left="20"/>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11"/>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 xml:space="preserve">Third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Current Report on Form 8-K filed</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June 11, 2025).</w:t>
            </w:r>
          </w:p>
        </w:tc>
        <w:tc>
          <w:tcPr>
            <w:tcW w:w="6120" w:type="dxa"/>
            <w:vAlign w:val="bottom"/>
            <w:gridSpan w:val="13"/>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Certificate of Designation of Series A Convertible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Registration Statement</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on Form S-1 filed February 2, 2021).</w:t>
            </w:r>
          </w:p>
        </w:tc>
        <w:tc>
          <w:tcPr>
            <w:tcW w:w="5180" w:type="dxa"/>
            <w:vAlign w:val="bottom"/>
            <w:gridSpan w:val="12"/>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Form of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 filed June 18,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2020 Amended and Restated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Amendment No. 3 to the Registration</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on Form S-1 filed May 5, 2021).</w:t>
            </w:r>
          </w:p>
        </w:tc>
        <w:tc>
          <w:tcPr>
            <w:tcW w:w="6220" w:type="dxa"/>
            <w:vAlign w:val="bottom"/>
            <w:gridSpan w:val="14"/>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Form of Sublease Agreement, dated as of December 1, 2018, between BZRTH, Inc. and BizRight,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auto"/>
              </w:rPr>
              <w:t>Exhibit 10.2 to the Registration Statement on Form S-1 filed February 2, 2021).</w:t>
            </w:r>
          </w:p>
        </w:tc>
        <w:tc>
          <w:tcPr>
            <w:tcW w:w="2220" w:type="dxa"/>
            <w:vAlign w:val="bottom"/>
            <w:gridSpan w:val="3"/>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 xml:space="preserve">Asset Purchase Agreement, dated December 1, 2018, between BZRTH, Inc. and BizRight,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10.3 to the Registration Statement on Form S-1 filed February 2, 2021).</w:t>
            </w:r>
          </w:p>
        </w:tc>
        <w:tc>
          <w:tcPr>
            <w:tcW w:w="2880" w:type="dxa"/>
            <w:vAlign w:val="bottom"/>
            <w:gridSpan w:val="6"/>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 xml:space="preserve">Loan and Security Agreement, dated May 3, 2019, between BZRTH, Inc. and WFC Fund,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10.4</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0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auto"/>
              </w:rPr>
              <w:t>to the Registration Statement on Form S-1 filed February 2, 2021).</w:t>
            </w:r>
          </w:p>
        </w:tc>
        <w:tc>
          <w:tcPr>
            <w:tcW w:w="3100" w:type="dxa"/>
            <w:vAlign w:val="bottom"/>
            <w:gridSpan w:val="7"/>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Consulting Agreement, dated February 1, 2020, between BZRTH, Inc.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Amendment No. 1 to the Registration Statement on Form S-1 filed April 15, 2021).</w:t>
            </w:r>
          </w:p>
        </w:tc>
        <w:tc>
          <w:tcPr>
            <w:tcW w:w="3420" w:type="dxa"/>
            <w:vAlign w:val="bottom"/>
            <w:gridSpan w:val="8"/>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 xml:space="preserve">Note for PPP Loan, dated April 13, 2020, issued to Royal Business Bank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 the Registration</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1, 2021).</w:t>
            </w:r>
          </w:p>
        </w:tc>
        <w:tc>
          <w:tcPr>
            <w:tcW w:w="4580" w:type="dxa"/>
            <w:vAlign w:val="bottom"/>
            <w:gridSpan w:val="10"/>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Loan Authorization and Agreement, dated April 18, 2020, between BZRTH, Inc. and U.S. Small Business Administration </w:t>
              </w:r>
            </w:hyperlink>
            <w:r>
              <w:rPr>
                <w:rFonts w:ascii="Times New Roman" w:cs="Times New Roman" w:eastAsia="Times New Roman" w:hAnsi="Times New Roman"/>
                <w:sz w:val="18"/>
                <w:szCs w:val="18"/>
                <w:color w:val="000000"/>
              </w:rPr>
              <w:t>(incorporated</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auto"/>
              </w:rPr>
              <w:t>by reference to Exhibit 10.6 to the Registration Statement on Form S-1 filed February 1, 2021).</w:t>
            </w:r>
          </w:p>
        </w:tc>
        <w:tc>
          <w:tcPr>
            <w:tcW w:w="102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Employment Agreement, dated July 1, 2020, between iPower Inc. and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10.7 to the</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February 2, 2021).</w:t>
            </w:r>
          </w:p>
        </w:tc>
        <w:tc>
          <w:tcPr>
            <w:tcW w:w="3680" w:type="dxa"/>
            <w:vAlign w:val="bottom"/>
            <w:gridSpan w:val="9"/>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10000" w:type="dxa"/>
            <w:vAlign w:val="bottom"/>
            <w:tcBorders>
              <w:bottom w:val="single" w:sz="8" w:color="0000EE"/>
            </w:tcBorders>
            <w:gridSpan w:val="17"/>
          </w:tcPr>
          <w:p>
            <w:pPr>
              <w:ind w:left="20"/>
              <w:spacing w:after="0" w:line="194"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Exclusive Business Cooperation Agreement, dated September 4, 2020, between iPower Inc. and Global Product Marketing Inc.</w:t>
              </w:r>
            </w:hyperlink>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10.9 to the Registration Statement on Form S-1 filed February 2, 2021).</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 xml:space="preserve">Restricted Stock Purchase Agreement, dated October 20, 2020, between iPower Inc.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Exhibit 10.10 to the Registration Statement on Form S-1 filed February 2, 2021).</w:t>
            </w:r>
          </w:p>
        </w:tc>
        <w:tc>
          <w:tcPr>
            <w:tcW w:w="2260" w:type="dxa"/>
            <w:vAlign w:val="bottom"/>
            <w:gridSpan w:val="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6"/>
                <w:szCs w:val="16"/>
                <w:color w:val="auto"/>
              </w:rPr>
            </w:pP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 xml:space="preserve">Restricted Stock Purchase Agreement, dated October 20, 2020, between iPower Inc. and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Exhibit 10.11 to the Registration Statement on Form S-1 filed February 2, 2021).</w:t>
            </w:r>
          </w:p>
        </w:tc>
        <w:tc>
          <w:tcPr>
            <w:tcW w:w="2240" w:type="dxa"/>
            <w:vAlign w:val="bottom"/>
            <w:gridSpan w:val="4"/>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10000" w:type="dxa"/>
            <w:vAlign w:val="bottom"/>
            <w:tcBorders>
              <w:bottom w:val="single" w:sz="8" w:color="0000EE"/>
            </w:tcBorders>
            <w:gridSpan w:val="17"/>
          </w:tcPr>
          <w:p>
            <w:pPr>
              <w:ind w:left="20"/>
              <w:spacing w:after="0" w:line="194"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Amended and Restated Exclusive Business Cooperation Agreement, dated October 26, 2020, between iPower Inc. and E Marketing</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 xml:space="preserve">Solution Inc. </w:t>
              </w:r>
              <w:r>
                <w:rPr>
                  <w:rFonts w:ascii="Times New Roman" w:cs="Times New Roman" w:eastAsia="Times New Roman" w:hAnsi="Times New Roman"/>
                  <w:sz w:val="18"/>
                  <w:szCs w:val="18"/>
                  <w:color w:val="000000"/>
                </w:rPr>
                <w:t>(incorporated by reference to Exhibit 10.12 to the Registration Statement on Form S-1 filed February 2,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 xml:space="preserve">Receivables Purchase Agreement, dated November 16, 2020, between BZRTH, Inc. and WFC Fund,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37"/>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tcBorders>
              <w:top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auto"/>
              </w:rPr>
              <w:t>Exhibit 10.13 to the Registration Statement on Form S-1 filed February 2, 2021).</w:t>
            </w:r>
          </w:p>
        </w:tc>
        <w:tc>
          <w:tcPr>
            <w:tcW w:w="2200" w:type="dxa"/>
            <w:vAlign w:val="bottom"/>
            <w:gridSpan w:val="2"/>
          </w:tcPr>
          <w:p>
            <w:pPr>
              <w:spacing w:after="0"/>
              <w:rPr>
                <w:sz w:val="20"/>
                <w:szCs w:val="20"/>
                <w:color w:val="auto"/>
              </w:rPr>
            </w:pPr>
          </w:p>
        </w:tc>
      </w:tr>
      <w:tr>
        <w:trPr>
          <w:trHeight w:val="756"/>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5"/>
          </w:tcPr>
          <w:p>
            <w:pPr>
              <w:ind w:left="430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10.14</w:t>
            </w:r>
          </w:p>
        </w:tc>
        <w:tc>
          <w:tcPr>
            <w:tcW w:w="10000" w:type="dxa"/>
            <w:vAlign w:val="bottom"/>
            <w:gridSpan w:val="21"/>
          </w:tcPr>
          <w:p>
            <w:pPr>
              <w:ind w:left="20"/>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 xml:space="preserve">Form of Subscription Agreement for Series A Preferred Stock Offering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10.14 to the Registration</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530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2, 2021).</w:t>
            </w:r>
          </w:p>
        </w:tc>
        <w:tc>
          <w:tcPr>
            <w:tcW w:w="47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10.15</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 xml:space="preserve">Board Letter Agreement, dated January 26, 2021, between iPower Inc. and Bennet Tchaikovsky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716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auto"/>
              </w:rPr>
              <w:t>10.16 to the Registration Statement on Form S-1 filed February 2, 2021).</w:t>
            </w:r>
          </w:p>
        </w:tc>
        <w:tc>
          <w:tcPr>
            <w:tcW w:w="28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10.16</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 xml:space="preserve">Form of Subscription Agreement for 6% Convertible Note and Warrants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10.17 to the Registration</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536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2, 2021).</w:t>
            </w:r>
          </w:p>
        </w:tc>
        <w:tc>
          <w:tcPr>
            <w:tcW w:w="46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10.17</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Convertible Note, dated January 27, 2021, issued to Wiseman Capital Management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10.18 to</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540" w:type="dxa"/>
            <w:vAlign w:val="bottom"/>
            <w:tcBorders>
              <w:top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February 2, 2021).</w:t>
            </w:r>
          </w:p>
        </w:tc>
        <w:tc>
          <w:tcPr>
            <w:tcW w:w="34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10.18</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 xml:space="preserve">Convertible Note, dated January 27, 2021, issued to Bright Century Investment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10.19 to the</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26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February 2, 2021).</w:t>
            </w:r>
          </w:p>
        </w:tc>
        <w:tc>
          <w:tcPr>
            <w:tcW w:w="37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10.19</w:t>
            </w:r>
          </w:p>
        </w:tc>
        <w:tc>
          <w:tcPr>
            <w:tcW w:w="10000" w:type="dxa"/>
            <w:vAlign w:val="bottom"/>
            <w:tcBorders>
              <w:bottom w:val="single" w:sz="8" w:color="0000EE"/>
            </w:tcBorders>
            <w:gridSpan w:val="21"/>
          </w:tcPr>
          <w:p>
            <w:pPr>
              <w:ind w:left="20"/>
              <w:spacing w:after="0" w:line="194"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Indemnification Agreement, dated as of April 27, 2021, by and among iPower Inc. and D.A. Davidson &amp; Co., Roth Capital Partners, LLC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 xml:space="preserve">and US Tiger Securities, Inc. </w:t>
              </w:r>
              <w:r>
                <w:rPr>
                  <w:rFonts w:ascii="Times New Roman" w:cs="Times New Roman" w:eastAsia="Times New Roman" w:hAnsi="Times New Roman"/>
                  <w:sz w:val="18"/>
                  <w:szCs w:val="18"/>
                  <w:color w:val="000000"/>
                </w:rPr>
                <w:t>(incorporated by reference to Exhibit 10.23 to Amendment No. 3 to the Registration Statement on Form S-1</w:t>
              </w:r>
            </w:hyperlink>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210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filed May 5, 2021).</w:t>
            </w:r>
          </w:p>
        </w:tc>
        <w:tc>
          <w:tcPr>
            <w:tcW w:w="790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10.20</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 xml:space="preserve">Indemnification and Lock-Up Agreement, dated as of April 27, 2021, entered into by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7260" w:type="dxa"/>
            <w:vAlign w:val="bottom"/>
            <w:tcBorders>
              <w:top w:val="single" w:sz="8" w:color="0000EE"/>
            </w:tcBorders>
            <w:gridSpan w:val="17"/>
          </w:tcPr>
          <w:p>
            <w:pPr>
              <w:ind w:left="20"/>
              <w:spacing w:after="0"/>
              <w:rPr>
                <w:sz w:val="20"/>
                <w:szCs w:val="20"/>
                <w:color w:val="auto"/>
              </w:rPr>
            </w:pPr>
            <w:r>
              <w:rPr>
                <w:rFonts w:ascii="Times New Roman" w:cs="Times New Roman" w:eastAsia="Times New Roman" w:hAnsi="Times New Roman"/>
                <w:sz w:val="18"/>
                <w:szCs w:val="18"/>
                <w:color w:val="auto"/>
              </w:rPr>
              <w:t>10.24 to Amendment No. 3 to the Registration Statement on Form S-1 filed May 5, 2021).</w:t>
            </w:r>
          </w:p>
        </w:tc>
        <w:tc>
          <w:tcPr>
            <w:tcW w:w="27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10.21</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 xml:space="preserve">E Marketing Solutions Inc. Equity Purchase Agreement, dated May 18, 2021, between iPower Inc. and Shanshan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740" w:type="dxa"/>
            <w:vAlign w:val="bottom"/>
            <w:tcBorders>
              <w:top w:val="single" w:sz="8" w:color="0000EE"/>
            </w:tcBorders>
            <w:gridSpan w:val="18"/>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May 21, 2021).</w:t>
            </w: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10.22</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 xml:space="preserve">Global Products Marketing Inc. Equity Purchase Agreement, dated May 18, 2021, between iPower Inc. and Chenlong Tan </w:t>
              </w:r>
            </w:hyperlink>
            <w:r>
              <w:rPr>
                <w:rFonts w:ascii="Times New Roman" w:cs="Times New Roman" w:eastAsia="Times New Roman" w:hAnsi="Times New Roman"/>
                <w:sz w:val="18"/>
                <w:szCs w:val="18"/>
                <w:color w:val="000000"/>
              </w:rPr>
              <w:t>(incorporated</w:t>
            </w:r>
          </w:p>
        </w:tc>
        <w:tc>
          <w:tcPr>
            <w:tcW w:w="0" w:type="dxa"/>
            <w:vAlign w:val="bottom"/>
          </w:tcPr>
          <w:p>
            <w:pPr>
              <w:spacing w:after="0"/>
              <w:rPr>
                <w:sz w:val="1"/>
                <w:szCs w:val="1"/>
                <w:color w:val="auto"/>
              </w:rPr>
            </w:pPr>
          </w:p>
        </w:tc>
      </w:tr>
      <w:tr>
        <w:trPr>
          <w:trHeight w:val="222"/>
        </w:trPr>
        <w:tc>
          <w:tcPr>
            <w:tcW w:w="12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8960" w:type="dxa"/>
            <w:vAlign w:val="bottom"/>
            <w:tcBorders>
              <w:top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auto"/>
              </w:rPr>
              <w:t>by reference to Exhibit 10.2 to the Current Report on Form 8-K filed May 21, 2021).</w:t>
            </w: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240" w:type="dxa"/>
            <w:vAlign w:val="bottom"/>
            <w:vMerge w:val="continue"/>
          </w:tcPr>
          <w:p>
            <w:pPr>
              <w:spacing w:after="0"/>
              <w:rPr>
                <w:sz w:val="14"/>
                <w:szCs w:val="14"/>
                <w:color w:val="auto"/>
              </w:rPr>
            </w:pPr>
          </w:p>
        </w:tc>
        <w:tc>
          <w:tcPr>
            <w:tcW w:w="4880" w:type="dxa"/>
            <w:vAlign w:val="bottom"/>
            <w:gridSpan w:val="9"/>
            <w:vMerge w:val="restart"/>
          </w:tcPr>
          <w:p>
            <w:pPr>
              <w:ind w:left="20"/>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Lease Agreement, dated July 28, 2021, between iPower Inc. and 9</w:t>
              </w:r>
            </w:hyperlink>
          </w:p>
        </w:tc>
        <w:tc>
          <w:tcPr>
            <w:tcW w:w="140" w:type="dxa"/>
            <w:vAlign w:val="bottom"/>
            <w:tcBorders>
              <w:bottom w:val="single" w:sz="8" w:color="0000EE"/>
            </w:tcBorders>
          </w:tcPr>
          <w:p>
            <w:pPr>
              <w:spacing w:after="0" w:line="144"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th</w:t>
              </w:r>
            </w:hyperlink>
          </w:p>
        </w:tc>
        <w:tc>
          <w:tcPr>
            <w:tcW w:w="4980" w:type="dxa"/>
            <w:vAlign w:val="bottom"/>
            <w:gridSpan w:val="11"/>
            <w:vMerge w:val="restart"/>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 xml:space="preserve">and Vineyard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w:t>
            </w:r>
          </w:p>
        </w:tc>
        <w:tc>
          <w:tcPr>
            <w:tcW w:w="0" w:type="dxa"/>
            <w:vAlign w:val="bottom"/>
          </w:tcPr>
          <w:p>
            <w:pPr>
              <w:spacing w:after="0"/>
              <w:rPr>
                <w:sz w:val="1"/>
                <w:szCs w:val="1"/>
                <w:color w:val="auto"/>
              </w:rPr>
            </w:pPr>
          </w:p>
        </w:tc>
      </w:tr>
      <w:tr>
        <w:trPr>
          <w:trHeight w:val="48"/>
        </w:trPr>
        <w:tc>
          <w:tcPr>
            <w:tcW w:w="1240" w:type="dxa"/>
            <w:vAlign w:val="bottom"/>
            <w:vMerge w:val="continue"/>
          </w:tcPr>
          <w:p>
            <w:pPr>
              <w:spacing w:after="0"/>
              <w:rPr>
                <w:sz w:val="4"/>
                <w:szCs w:val="4"/>
                <w:color w:val="auto"/>
              </w:rPr>
            </w:pPr>
          </w:p>
        </w:tc>
        <w:tc>
          <w:tcPr>
            <w:tcW w:w="488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498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488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Current Report filed August 2, 2021).</w:t>
            </w:r>
          </w:p>
        </w:tc>
        <w:tc>
          <w:tcPr>
            <w:tcW w:w="140" w:type="dxa"/>
            <w:vAlign w:val="bottom"/>
          </w:tcPr>
          <w:p>
            <w:pPr>
              <w:spacing w:after="0"/>
              <w:rPr>
                <w:sz w:val="18"/>
                <w:szCs w:val="18"/>
                <w:color w:val="auto"/>
              </w:rPr>
            </w:pPr>
          </w:p>
        </w:tc>
        <w:tc>
          <w:tcPr>
            <w:tcW w:w="1360" w:type="dxa"/>
            <w:vAlign w:val="bottom"/>
            <w:tcBorders>
              <w:top w:val="single" w:sz="8" w:color="0000EE"/>
            </w:tcBorders>
            <w:gridSpan w:val="4"/>
          </w:tcPr>
          <w:p>
            <w:pPr>
              <w:spacing w:after="0"/>
              <w:rPr>
                <w:sz w:val="18"/>
                <w:szCs w:val="18"/>
                <w:color w:val="auto"/>
              </w:rPr>
            </w:pPr>
          </w:p>
        </w:tc>
        <w:tc>
          <w:tcPr>
            <w:tcW w:w="36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10.24</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Credit Agreement, dated as of November 12, 2021, between iPower Inc., its subsidiaries and JPMorgan Chase Bank, N.A.</w:t>
              </w:r>
            </w:hyperlink>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9980" w:type="dxa"/>
            <w:vAlign w:val="bottom"/>
            <w:tcBorders>
              <w:top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Quarterly Report on Form 10-Q filed November 15,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10.25</w:t>
            </w:r>
          </w:p>
        </w:tc>
        <w:tc>
          <w:tcPr>
            <w:tcW w:w="10000" w:type="dxa"/>
            <w:vAlign w:val="bottom"/>
            <w:tcBorders>
              <w:bottom w:val="single" w:sz="8" w:color="0000EE"/>
            </w:tcBorders>
            <w:gridSpan w:val="21"/>
          </w:tcPr>
          <w:p>
            <w:pPr>
              <w:ind w:left="20"/>
              <w:spacing w:after="0" w:line="194"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Trademark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10.2 to the Quarterly Report on Form 10-Q filed November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100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Pledge and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10.3 to the Quarterly Report on Form 10-Q filed November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 xml:space="preserve">Joint Venture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 xml:space="preserve">Box Harmony LLC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 xml:space="preserve">Facility and Use Access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10.3 to the Current Report on Form 8-K filed January 20,</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2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10.30</w:t>
            </w:r>
          </w:p>
        </w:tc>
        <w:tc>
          <w:tcPr>
            <w:tcW w:w="1000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 xml:space="preserve">Consulting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10.4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3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 xml:space="preserve">License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 xml:space="preserve">Director Offer Letter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10.6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10.33</w:t>
            </w:r>
          </w:p>
        </w:tc>
        <w:tc>
          <w:tcPr>
            <w:tcW w:w="10000" w:type="dxa"/>
            <w:vAlign w:val="bottom"/>
            <w:gridSpan w:val="15"/>
          </w:tcPr>
          <w:p>
            <w:pPr>
              <w:ind w:left="20"/>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 xml:space="preserve">Joint Venture Agreement, dated February 10, 2022, between iPower Inc., Bro Angel LLC, Jie Shan and Bing </w:t>
              </w:r>
            </w:hyperlink>
            <w:r>
              <w:rPr>
                <w:rFonts w:ascii="Times New Roman" w:cs="Times New Roman" w:eastAsia="Times New Roman" w:hAnsi="Times New Roman"/>
                <w:sz w:val="18"/>
                <w:szCs w:val="18"/>
                <w:color w:val="000000"/>
              </w:rPr>
              <w:t>Luo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w:t>
            </w:r>
          </w:p>
        </w:tc>
      </w:tr>
      <w:tr>
        <w:trPr>
          <w:trHeight w:val="218"/>
        </w:trPr>
        <w:tc>
          <w:tcPr>
            <w:tcW w:w="1240" w:type="dxa"/>
            <w:vAlign w:val="bottom"/>
          </w:tcPr>
          <w:p>
            <w:pPr>
              <w:spacing w:after="0"/>
              <w:rPr>
                <w:sz w:val="18"/>
                <w:szCs w:val="18"/>
                <w:color w:val="auto"/>
              </w:rPr>
            </w:pPr>
          </w:p>
        </w:tc>
        <w:tc>
          <w:tcPr>
            <w:tcW w:w="834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February 14, 2022).</w:t>
            </w:r>
          </w:p>
        </w:tc>
        <w:tc>
          <w:tcPr>
            <w:tcW w:w="1660" w:type="dxa"/>
            <w:vAlign w:val="bottom"/>
            <w:gridSpan w:val="4"/>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10.34</w:t>
            </w:r>
          </w:p>
        </w:tc>
        <w:tc>
          <w:tcPr>
            <w:tcW w:w="10000" w:type="dxa"/>
            <w:vAlign w:val="bottom"/>
            <w:tcBorders>
              <w:bottom w:val="single" w:sz="8" w:color="0000EE"/>
            </w:tcBorders>
            <w:gridSpan w:val="15"/>
          </w:tcPr>
          <w:p>
            <w:pPr>
              <w:ind w:left="20"/>
              <w:spacing w:after="0" w:line="194"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Amended &amp; Restated Limited Liability Company Operating Agreement of Global Social Media LLC, dated February 10, 2022, between</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 xml:space="preserve">Global Social Media LLC, iPower Inc., and Bro Angel LLC </w:t>
              </w:r>
              <w:r>
                <w:rPr>
                  <w:rFonts w:ascii="Times New Roman" w:cs="Times New Roman" w:eastAsia="Times New Roman" w:hAnsi="Times New Roman"/>
                  <w:sz w:val="18"/>
                  <w:szCs w:val="18"/>
                  <w:color w:val="000000"/>
                </w:rPr>
                <w:t>(incorporated by Reference to Exhibit 10.2 to the Current Report on Form 8-</w:t>
              </w:r>
            </w:hyperlink>
          </w:p>
        </w:tc>
      </w:tr>
      <w:tr>
        <w:trPr>
          <w:trHeight w:val="218"/>
        </w:trPr>
        <w:tc>
          <w:tcPr>
            <w:tcW w:w="1240" w:type="dxa"/>
            <w:vAlign w:val="bottom"/>
          </w:tcPr>
          <w:p>
            <w:pPr>
              <w:spacing w:after="0"/>
              <w:rPr>
                <w:sz w:val="18"/>
                <w:szCs w:val="18"/>
                <w:color w:val="auto"/>
              </w:rPr>
            </w:pPr>
          </w:p>
        </w:tc>
        <w:tc>
          <w:tcPr>
            <w:tcW w:w="436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K filed February 14, 2022).</w:t>
            </w:r>
          </w:p>
        </w:tc>
        <w:tc>
          <w:tcPr>
            <w:tcW w:w="5640" w:type="dxa"/>
            <w:vAlign w:val="bottom"/>
            <w:gridSpan w:val="9"/>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10.35</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 xml:space="preserve">Intellectual Property License Agreement, dated February 10, 2022, between Bro Angel LLC and Global Social Media LLC </w:t>
              </w:r>
            </w:hyperlink>
            <w:r>
              <w:rPr>
                <w:rFonts w:ascii="Times New Roman" w:cs="Times New Roman" w:eastAsia="Times New Roman" w:hAnsi="Times New Roman"/>
                <w:sz w:val="18"/>
                <w:szCs w:val="18"/>
                <w:color w:val="000000"/>
              </w:rPr>
              <w:t>(incorporated</w:t>
            </w:r>
          </w:p>
        </w:tc>
      </w:tr>
      <w:tr>
        <w:trPr>
          <w:trHeight w:val="218"/>
        </w:trPr>
        <w:tc>
          <w:tcPr>
            <w:tcW w:w="1240" w:type="dxa"/>
            <w:vAlign w:val="bottom"/>
          </w:tcPr>
          <w:p>
            <w:pPr>
              <w:spacing w:after="0"/>
              <w:rPr>
                <w:sz w:val="18"/>
                <w:szCs w:val="18"/>
                <w:color w:val="auto"/>
              </w:rPr>
            </w:pPr>
          </w:p>
        </w:tc>
        <w:tc>
          <w:tcPr>
            <w:tcW w:w="898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by Reference to Exhibit 10.3 to the Current Report on Form 8-K filed February 14, 2022).</w:t>
            </w:r>
          </w:p>
        </w:tc>
        <w:tc>
          <w:tcPr>
            <w:tcW w:w="1020" w:type="dxa"/>
            <w:vAlign w:val="bottom"/>
            <w:gridSpan w:val="2"/>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10.36</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Share Transfer Agreement, dated February 15, 2022, between iPower Inc., White Cherry Limited, Li Zanyu, Xie Jing, Anivia Limited, Fly</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Elephant Limited, Dayou Renzai (Shenzhen) Technology Co., Ltd. and Daheshou (Shenzhen) Information Technology Co., Ltd.</w:t>
              </w:r>
            </w:hyperlink>
          </w:p>
        </w:tc>
      </w:tr>
      <w:tr>
        <w:trPr>
          <w:trHeight w:val="218"/>
        </w:trPr>
        <w:tc>
          <w:tcPr>
            <w:tcW w:w="1240" w:type="dxa"/>
            <w:vAlign w:val="bottom"/>
          </w:tcPr>
          <w:p>
            <w:pPr>
              <w:spacing w:after="0"/>
              <w:rPr>
                <w:sz w:val="18"/>
                <w:szCs w:val="18"/>
                <w:color w:val="auto"/>
              </w:rPr>
            </w:pPr>
          </w:p>
        </w:tc>
        <w:tc>
          <w:tcPr>
            <w:tcW w:w="100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February 22, 2022).</w:t>
            </w: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10.37</w:t>
            </w:r>
          </w:p>
        </w:tc>
        <w:tc>
          <w:tcPr>
            <w:tcW w:w="10000" w:type="dxa"/>
            <w:vAlign w:val="bottom"/>
            <w:tcBorders>
              <w:bottom w:val="single" w:sz="8" w:color="0000EE"/>
            </w:tcBorders>
            <w:gridSpan w:val="15"/>
          </w:tcPr>
          <w:p>
            <w:pPr>
              <w:ind w:left="20"/>
              <w:spacing w:after="0" w:line="194"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Exclusive Business Cooperation Agreement, dated December 15, 2021, between Dayaorenzai (Shenzhen) Technology Co., Ltd. and</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 xml:space="preserve">Daheshou (Shenzhen) Information Technology Co., Ltd. </w:t>
              </w:r>
              <w:r>
                <w:rPr>
                  <w:rFonts w:ascii="Times New Roman" w:cs="Times New Roman" w:eastAsia="Times New Roman" w:hAnsi="Times New Roman"/>
                  <w:sz w:val="18"/>
                  <w:szCs w:val="18"/>
                  <w:color w:val="000000"/>
                </w:rPr>
                <w:t>(incorporated by Reference to Exhibit 10.3 to the Current Report on Form 8-K</w:t>
              </w:r>
            </w:hyperlink>
          </w:p>
        </w:tc>
      </w:tr>
      <w:tr>
        <w:trPr>
          <w:trHeight w:val="218"/>
        </w:trPr>
        <w:tc>
          <w:tcPr>
            <w:tcW w:w="1240" w:type="dxa"/>
            <w:vAlign w:val="bottom"/>
          </w:tcPr>
          <w:p>
            <w:pPr>
              <w:spacing w:after="0"/>
              <w:rPr>
                <w:sz w:val="18"/>
                <w:szCs w:val="18"/>
                <w:color w:val="auto"/>
              </w:rPr>
            </w:pPr>
          </w:p>
        </w:tc>
        <w:tc>
          <w:tcPr>
            <w:tcW w:w="414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860" w:type="dxa"/>
            <w:vAlign w:val="bottom"/>
            <w:gridSpan w:val="11"/>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10.38</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Exclusive Equity Interest Pledge Agreement, dated December 15, 2021, between Dayao Renzai (Shenzhen) Technology Co., Ltd.,</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 xml:space="preserve">Daheshou (Shenzhen) Information Technology Co., Ltd. and its equity holders </w:t>
              </w:r>
              <w:r>
                <w:rPr>
                  <w:rFonts w:ascii="Times New Roman" w:cs="Times New Roman" w:eastAsia="Times New Roman" w:hAnsi="Times New Roman"/>
                  <w:sz w:val="18"/>
                  <w:szCs w:val="18"/>
                  <w:color w:val="000000"/>
                </w:rPr>
                <w:t>(incorporated by Reference to Exhibit 10.4 to the Current</w:t>
              </w:r>
            </w:hyperlink>
          </w:p>
        </w:tc>
      </w:tr>
      <w:tr>
        <w:trPr>
          <w:trHeight w:val="218"/>
        </w:trPr>
        <w:tc>
          <w:tcPr>
            <w:tcW w:w="1240" w:type="dxa"/>
            <w:vAlign w:val="bottom"/>
          </w:tcPr>
          <w:p>
            <w:pPr>
              <w:spacing w:after="0"/>
              <w:rPr>
                <w:sz w:val="18"/>
                <w:szCs w:val="18"/>
                <w:color w:val="auto"/>
              </w:rPr>
            </w:pPr>
          </w:p>
        </w:tc>
        <w:tc>
          <w:tcPr>
            <w:tcW w:w="574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Report on Form 8-K filed February 22, 2022).</w:t>
            </w:r>
          </w:p>
        </w:tc>
        <w:tc>
          <w:tcPr>
            <w:tcW w:w="4260" w:type="dxa"/>
            <w:vAlign w:val="bottom"/>
            <w:gridSpan w:val="6"/>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10.39</w:t>
            </w:r>
          </w:p>
        </w:tc>
        <w:tc>
          <w:tcPr>
            <w:tcW w:w="10000" w:type="dxa"/>
            <w:vAlign w:val="bottom"/>
            <w:tcBorders>
              <w:bottom w:val="single" w:sz="8" w:color="0000EE"/>
            </w:tcBorders>
            <w:gridSpan w:val="15"/>
          </w:tcPr>
          <w:p>
            <w:pPr>
              <w:ind w:left="20"/>
              <w:spacing w:after="0" w:line="194"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Exclusive Option Agreement, dated December 15, 2021, between Dayao Renzai (Shenzhen) Technology Co., Ltd., Daheshou (Shenzhen)</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 xml:space="preserve">Information Technology Co., Ltd. and its equity holders </w:t>
              </w:r>
              <w:r>
                <w:rPr>
                  <w:rFonts w:ascii="Times New Roman" w:cs="Times New Roman" w:eastAsia="Times New Roman" w:hAnsi="Times New Roman"/>
                  <w:sz w:val="18"/>
                  <w:szCs w:val="18"/>
                  <w:color w:val="000000"/>
                </w:rPr>
                <w:t>(incorporated by Reference to Exhibit 10.5 to the Current Report on Form 8-K</w:t>
              </w:r>
            </w:hyperlink>
          </w:p>
        </w:tc>
      </w:tr>
      <w:tr>
        <w:trPr>
          <w:trHeight w:val="218"/>
        </w:trPr>
        <w:tc>
          <w:tcPr>
            <w:tcW w:w="1240" w:type="dxa"/>
            <w:vAlign w:val="bottom"/>
          </w:tcPr>
          <w:p>
            <w:pPr>
              <w:spacing w:after="0"/>
              <w:rPr>
                <w:sz w:val="18"/>
                <w:szCs w:val="18"/>
                <w:color w:val="auto"/>
              </w:rPr>
            </w:pPr>
          </w:p>
        </w:tc>
        <w:tc>
          <w:tcPr>
            <w:tcW w:w="412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880" w:type="dxa"/>
            <w:vAlign w:val="bottom"/>
            <w:gridSpan w:val="12"/>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10.40</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 xml:space="preserve">Power of Attorney of Li Zanyu, dated December 15, 2021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10.6 to the Current Report on Form 8-K</w:t>
            </w:r>
          </w:p>
        </w:tc>
      </w:tr>
      <w:tr>
        <w:trPr>
          <w:trHeight w:val="218"/>
        </w:trPr>
        <w:tc>
          <w:tcPr>
            <w:tcW w:w="1240" w:type="dxa"/>
            <w:vAlign w:val="bottom"/>
          </w:tcPr>
          <w:p>
            <w:pPr>
              <w:spacing w:after="0"/>
              <w:rPr>
                <w:sz w:val="18"/>
                <w:szCs w:val="18"/>
                <w:color w:val="auto"/>
              </w:rPr>
            </w:pPr>
          </w:p>
        </w:tc>
        <w:tc>
          <w:tcPr>
            <w:tcW w:w="424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760" w:type="dxa"/>
            <w:vAlign w:val="bottom"/>
            <w:gridSpan w:val="10"/>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10.41</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 xml:space="preserve">JP Morgan Chase Consent Agreement, dated February 16,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10.7 to the Current Report on Form</w:t>
            </w:r>
          </w:p>
        </w:tc>
      </w:tr>
      <w:tr>
        <w:trPr>
          <w:trHeight w:val="218"/>
        </w:trPr>
        <w:tc>
          <w:tcPr>
            <w:tcW w:w="1240" w:type="dxa"/>
            <w:vAlign w:val="bottom"/>
          </w:tcPr>
          <w:p>
            <w:pPr>
              <w:spacing w:after="0"/>
              <w:rPr>
                <w:sz w:val="18"/>
                <w:szCs w:val="18"/>
                <w:color w:val="auto"/>
              </w:rPr>
            </w:pPr>
          </w:p>
        </w:tc>
        <w:tc>
          <w:tcPr>
            <w:tcW w:w="460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auto"/>
              </w:rPr>
              <w:t>8-K filed February 22, 2022).</w:t>
            </w:r>
          </w:p>
        </w:tc>
        <w:tc>
          <w:tcPr>
            <w:tcW w:w="5400" w:type="dxa"/>
            <w:vAlign w:val="bottom"/>
            <w:gridSpan w:val="8"/>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10.42</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 xml:space="preserve">Amendment to Pledge and Security Agreement, dated February 16,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10.8 to the Current Report</w:t>
            </w:r>
          </w:p>
        </w:tc>
      </w:tr>
      <w:tr>
        <w:trPr>
          <w:trHeight w:val="218"/>
        </w:trPr>
        <w:tc>
          <w:tcPr>
            <w:tcW w:w="1240" w:type="dxa"/>
            <w:vAlign w:val="bottom"/>
          </w:tcPr>
          <w:p>
            <w:pPr>
              <w:spacing w:after="0"/>
              <w:rPr>
                <w:sz w:val="18"/>
                <w:szCs w:val="18"/>
                <w:color w:val="auto"/>
              </w:rPr>
            </w:pPr>
          </w:p>
        </w:tc>
        <w:tc>
          <w:tcPr>
            <w:tcW w:w="526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auto"/>
              </w:rPr>
              <w:t>on Form 8-K filed February 22, 2022).</w:t>
            </w:r>
          </w:p>
        </w:tc>
        <w:tc>
          <w:tcPr>
            <w:tcW w:w="4740" w:type="dxa"/>
            <w:vAlign w:val="bottom"/>
            <w:gridSpan w:val="7"/>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10.43</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 xml:space="preserve">Employment Contract, dated February 15, 2022, between Dayao Renzai (Shenzhen) Technology Co., Ltd. and Li Zanyu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240" w:type="dxa"/>
            <w:vAlign w:val="bottom"/>
          </w:tcPr>
          <w:p>
            <w:pPr>
              <w:spacing w:after="0"/>
              <w:rPr>
                <w:sz w:val="18"/>
                <w:szCs w:val="18"/>
                <w:color w:val="auto"/>
              </w:rPr>
            </w:pPr>
          </w:p>
        </w:tc>
        <w:tc>
          <w:tcPr>
            <w:tcW w:w="874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Reference to Exhibit 10.9 to the Current Report on Form 8-K filed February 22, 2022).</w:t>
            </w:r>
          </w:p>
        </w:tc>
        <w:tc>
          <w:tcPr>
            <w:tcW w:w="1260" w:type="dxa"/>
            <w:vAlign w:val="bottom"/>
            <w:gridSpan w:val="3"/>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10.44</w:t>
            </w:r>
          </w:p>
        </w:tc>
        <w:tc>
          <w:tcPr>
            <w:tcW w:w="10000" w:type="dxa"/>
            <w:vAlign w:val="bottom"/>
            <w:tcBorders>
              <w:bottom w:val="single" w:sz="8" w:color="0000EE"/>
            </w:tcBorders>
            <w:gridSpan w:val="15"/>
          </w:tcPr>
          <w:p>
            <w:pPr>
              <w:ind w:left="20"/>
              <w:spacing w:after="0" w:line="194"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Second Amendment to the Credit Agreement, dated October 7, 2022, between iPower Inc., its subsidiaries and JPMorgan Chase Bank,</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 xml:space="preserve">N.A. </w:t>
              </w:r>
              <w:r>
                <w:rPr>
                  <w:rFonts w:ascii="Times New Roman" w:cs="Times New Roman" w:eastAsia="Times New Roman" w:hAnsi="Times New Roman"/>
                  <w:sz w:val="18"/>
                  <w:szCs w:val="18"/>
                  <w:color w:val="000000"/>
                </w:rPr>
                <w:t>(incorporated by Reference to Exhibit 10.1 to the Current Report on Form 8-K filed October 13, 2022).</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10.45</w:t>
            </w:r>
          </w:p>
        </w:tc>
        <w:tc>
          <w:tcPr>
            <w:tcW w:w="1000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Amendment to Subordination Agreement, dated October 7, 2022, between White Cherry Limited and JPMorgan Chase Bank, N.A.</w:t>
              </w:r>
            </w:hyperlink>
          </w:p>
        </w:tc>
      </w:tr>
      <w:tr>
        <w:trPr>
          <w:trHeight w:val="218"/>
        </w:trPr>
        <w:tc>
          <w:tcPr>
            <w:tcW w:w="1240" w:type="dxa"/>
            <w:vAlign w:val="bottom"/>
          </w:tcPr>
          <w:p>
            <w:pPr>
              <w:spacing w:after="0"/>
              <w:rPr>
                <w:sz w:val="18"/>
                <w:szCs w:val="18"/>
                <w:color w:val="auto"/>
              </w:rPr>
            </w:pPr>
          </w:p>
        </w:tc>
        <w:tc>
          <w:tcPr>
            <w:tcW w:w="100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October 13, 2022).</w:t>
            </w: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10.46</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 xml:space="preserve">Form of Pledge Agreement between iPower Inc., Chenlong Tan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w:t>
            </w:r>
          </w:p>
        </w:tc>
      </w:tr>
      <w:tr>
        <w:trPr>
          <w:trHeight w:val="218"/>
        </w:trPr>
        <w:tc>
          <w:tcPr>
            <w:tcW w:w="1240" w:type="dxa"/>
            <w:vAlign w:val="bottom"/>
          </w:tcPr>
          <w:p>
            <w:pPr>
              <w:spacing w:after="0"/>
              <w:rPr>
                <w:sz w:val="18"/>
                <w:szCs w:val="18"/>
                <w:color w:val="auto"/>
              </w:rPr>
            </w:pPr>
          </w:p>
        </w:tc>
        <w:tc>
          <w:tcPr>
            <w:tcW w:w="618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April 9, 2024).</w:t>
            </w:r>
          </w:p>
        </w:tc>
        <w:tc>
          <w:tcPr>
            <w:tcW w:w="3820" w:type="dxa"/>
            <w:vAlign w:val="bottom"/>
            <w:gridSpan w:val="5"/>
          </w:tcPr>
          <w:p>
            <w:pPr>
              <w:spacing w:after="0"/>
              <w:rPr>
                <w:sz w:val="18"/>
                <w:szCs w:val="18"/>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10.47</w:t>
            </w:r>
          </w:p>
        </w:tc>
        <w:tc>
          <w:tcPr>
            <w:tcW w:w="10000" w:type="dxa"/>
            <w:vAlign w:val="bottom"/>
            <w:gridSpan w:val="15"/>
          </w:tcPr>
          <w:p>
            <w:pPr>
              <w:ind w:left="20"/>
              <w:spacing w:after="0" w:line="194"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Placement Agency Agreemen</w:t>
              </w:r>
            </w:hyperlink>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10.1 to the Current Report on Form 8-K filed June 18,</w:t>
            </w:r>
          </w:p>
        </w:tc>
      </w:tr>
      <w:tr>
        <w:trPr>
          <w:trHeight w:val="237"/>
        </w:trPr>
        <w:tc>
          <w:tcPr>
            <w:tcW w:w="1240" w:type="dxa"/>
            <w:vAlign w:val="bottom"/>
          </w:tcPr>
          <w:p>
            <w:pPr>
              <w:spacing w:after="0"/>
              <w:rPr>
                <w:sz w:val="20"/>
                <w:szCs w:val="20"/>
                <w:color w:val="auto"/>
              </w:rPr>
            </w:pPr>
          </w:p>
        </w:tc>
        <w:tc>
          <w:tcPr>
            <w:tcW w:w="286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000" w:type="dxa"/>
            <w:vAlign w:val="bottom"/>
            <w:gridSpan w:val="17"/>
          </w:tcPr>
          <w:p>
            <w:pPr>
              <w:ind w:left="20"/>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 xml:space="preserve">Form of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 to the Current Report on Form 8-K filed June 18, 2024).</w:t>
            </w: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1000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Third Amendment to the Credit Agreement, dated November 8, 2024, by and between iPower Inc., its subsidiaries and JPMorgan Chase</w:t>
              </w:r>
            </w:hyperlink>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10.1 to the Current Report on Form 8-K filed on November 13, 2024).</w:t>
              </w:r>
            </w:hyperlink>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 xml:space="preserve">Director Offer Letter, dated May 7, 2025, between iPower Inc. and Yue Guo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w:t>
            </w:r>
          </w:p>
        </w:tc>
      </w:tr>
      <w:tr>
        <w:trPr>
          <w:trHeight w:val="218"/>
        </w:trPr>
        <w:tc>
          <w:tcPr>
            <w:tcW w:w="1240" w:type="dxa"/>
            <w:vAlign w:val="bottom"/>
          </w:tcPr>
          <w:p>
            <w:pPr>
              <w:spacing w:after="0"/>
              <w:rPr>
                <w:sz w:val="18"/>
                <w:szCs w:val="18"/>
                <w:color w:val="auto"/>
              </w:rPr>
            </w:pPr>
          </w:p>
        </w:tc>
        <w:tc>
          <w:tcPr>
            <w:tcW w:w="572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Report on Form 8-K filed on May 12, 2025).</w:t>
            </w:r>
          </w:p>
        </w:tc>
        <w:tc>
          <w:tcPr>
            <w:tcW w:w="4280" w:type="dxa"/>
            <w:vAlign w:val="bottom"/>
            <w:gridSpan w:val="5"/>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10.51</w:t>
            </w:r>
          </w:p>
        </w:tc>
        <w:tc>
          <w:tcPr>
            <w:tcW w:w="10000" w:type="dxa"/>
            <w:vAlign w:val="bottom"/>
            <w:tcBorders>
              <w:bottom w:val="single" w:sz="8" w:color="0000EE"/>
            </w:tcBorders>
            <w:gridSpan w:val="17"/>
          </w:tcPr>
          <w:p>
            <w:pPr>
              <w:ind w:left="20"/>
              <w:spacing w:after="0" w:line="194"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Limited Liability Company Operating Agreement, dated June 3, 2025, among United Package NV, LLC and the Members named therein</w:t>
              </w:r>
            </w:hyperlink>
          </w:p>
        </w:tc>
      </w:tr>
      <w:tr>
        <w:trPr>
          <w:trHeight w:val="218"/>
        </w:trPr>
        <w:tc>
          <w:tcPr>
            <w:tcW w:w="124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June 6, 2025).</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 xml:space="preserve">Director Offer Letter, dated June 5, 2025, between iPower Inc. and Yi Yang.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w:t>
            </w:r>
          </w:p>
        </w:tc>
      </w:tr>
      <w:tr>
        <w:trPr>
          <w:trHeight w:val="218"/>
        </w:trPr>
        <w:tc>
          <w:tcPr>
            <w:tcW w:w="1240" w:type="dxa"/>
            <w:vAlign w:val="bottom"/>
          </w:tcPr>
          <w:p>
            <w:pPr>
              <w:spacing w:after="0"/>
              <w:rPr>
                <w:sz w:val="18"/>
                <w:szCs w:val="18"/>
                <w:color w:val="auto"/>
              </w:rPr>
            </w:pPr>
          </w:p>
        </w:tc>
        <w:tc>
          <w:tcPr>
            <w:tcW w:w="570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Report on Form 8-K filed on June 9, 2025).</w:t>
            </w:r>
          </w:p>
        </w:tc>
        <w:tc>
          <w:tcPr>
            <w:tcW w:w="4300" w:type="dxa"/>
            <w:vAlign w:val="bottom"/>
            <w:gridSpan w:val="6"/>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10.53</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VIE Contract Termination Agreement, dated August 4, 2025, by and between Dayourenzai (Shenzhen) Technology Co. Ltd., Daheshou</w:t>
              </w:r>
            </w:hyperlink>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 xml:space="preserve">(Shenzhen) Information Technology Co. Ltd., Xiaoyun Liu and Jing Xie </w:t>
              </w:r>
              <w:r>
                <w:rPr>
                  <w:rFonts w:ascii="Times New Roman" w:cs="Times New Roman" w:eastAsia="Times New Roman" w:hAnsi="Times New Roman"/>
                  <w:sz w:val="18"/>
                  <w:szCs w:val="18"/>
                  <w:color w:val="000000"/>
                </w:rPr>
                <w:t>(incorporated by reference to Exhibit 10.1 to the Current Report</w:t>
              </w:r>
            </w:hyperlink>
          </w:p>
        </w:tc>
      </w:tr>
      <w:tr>
        <w:trPr>
          <w:trHeight w:val="218"/>
        </w:trPr>
        <w:tc>
          <w:tcPr>
            <w:tcW w:w="1240" w:type="dxa"/>
            <w:vAlign w:val="bottom"/>
          </w:tcPr>
          <w:p>
            <w:pPr>
              <w:spacing w:after="0"/>
              <w:rPr>
                <w:sz w:val="18"/>
                <w:szCs w:val="18"/>
                <w:color w:val="auto"/>
              </w:rPr>
            </w:pPr>
          </w:p>
        </w:tc>
        <w:tc>
          <w:tcPr>
            <w:tcW w:w="528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auto"/>
              </w:rPr>
              <w:t>on Form 8-K filed August 12, 2025).</w:t>
            </w:r>
          </w:p>
        </w:tc>
        <w:tc>
          <w:tcPr>
            <w:tcW w:w="4720" w:type="dxa"/>
            <w:vAlign w:val="bottom"/>
            <w:gridSpan w:val="7"/>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10.54</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 xml:space="preserve">Form of Amendment No. 1 to United Package NV LLC Limited Liability Company Operating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240" w:type="dxa"/>
            <w:vAlign w:val="bottom"/>
          </w:tcPr>
          <w:p>
            <w:pPr>
              <w:spacing w:after="0"/>
              <w:rPr>
                <w:sz w:val="18"/>
                <w:szCs w:val="18"/>
                <w:color w:val="auto"/>
              </w:rPr>
            </w:pPr>
          </w:p>
        </w:tc>
        <w:tc>
          <w:tcPr>
            <w:tcW w:w="7800" w:type="dxa"/>
            <w:vAlign w:val="bottom"/>
            <w:tcBorders>
              <w:top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auto"/>
              </w:rPr>
              <w:t>Exhibit 10.1 to the Current Report on Form 8-K filed on September 9, 2025).</w:t>
            </w:r>
          </w:p>
        </w:tc>
        <w:tc>
          <w:tcPr>
            <w:tcW w:w="2200" w:type="dxa"/>
            <w:vAlign w:val="bottom"/>
            <w:gridSpan w:val="2"/>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14.1</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 xml:space="preserve">Code of Business Conduct and Ethics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14.1 to Amendment No. 1 to the Registration Statement on</w:t>
            </w:r>
          </w:p>
        </w:tc>
      </w:tr>
      <w:tr>
        <w:trPr>
          <w:trHeight w:val="218"/>
        </w:trPr>
        <w:tc>
          <w:tcPr>
            <w:tcW w:w="1240" w:type="dxa"/>
            <w:vAlign w:val="bottom"/>
          </w:tcPr>
          <w:p>
            <w:pPr>
              <w:spacing w:after="0"/>
              <w:rPr>
                <w:sz w:val="18"/>
                <w:szCs w:val="18"/>
                <w:color w:val="auto"/>
              </w:rPr>
            </w:pPr>
          </w:p>
        </w:tc>
        <w:tc>
          <w:tcPr>
            <w:tcW w:w="280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Form S-1 filed April 15, 2021).</w:t>
            </w:r>
          </w:p>
        </w:tc>
        <w:tc>
          <w:tcPr>
            <w:tcW w:w="7200" w:type="dxa"/>
            <w:vAlign w:val="bottom"/>
            <w:gridSpan w:val="13"/>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19.1</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 xml:space="preserve">Amended and Restated Insider Trading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19.1 to the Current Report filed on September 9,</w:t>
            </w:r>
          </w:p>
        </w:tc>
      </w:tr>
      <w:tr>
        <w:trPr>
          <w:trHeight w:val="218"/>
        </w:trPr>
        <w:tc>
          <w:tcPr>
            <w:tcW w:w="1240" w:type="dxa"/>
            <w:vAlign w:val="bottom"/>
          </w:tcPr>
          <w:p>
            <w:pPr>
              <w:spacing w:after="0"/>
              <w:rPr>
                <w:sz w:val="18"/>
                <w:szCs w:val="18"/>
                <w:color w:val="auto"/>
              </w:rPr>
            </w:pPr>
          </w:p>
        </w:tc>
        <w:tc>
          <w:tcPr>
            <w:tcW w:w="82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10000" w:type="dxa"/>
            <w:vAlign w:val="bottom"/>
            <w:gridSpan w:val="17"/>
          </w:tcPr>
          <w:p>
            <w:pPr>
              <w:ind w:left="20"/>
              <w:spacing w:after="0" w:line="194"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 xml:space="preserve">Subsidiaries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21.1 to the Quarterly Report on Form 10-Q filed on May 15, 2025)</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40" w:type="dxa"/>
            <w:vAlign w:val="bottom"/>
            <w:tcBorders>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660" w:type="dxa"/>
            <w:vAlign w:val="bottom"/>
            <w:gridSpan w:val="9"/>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800" w:type="dxa"/>
            <w:vAlign w:val="bottom"/>
            <w:gridSpan w:val="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00" w:type="dxa"/>
            <w:vAlign w:val="bottom"/>
            <w:gridSpan w:val="17"/>
          </w:tcPr>
          <w:p>
            <w:pPr>
              <w:ind w:left="20"/>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 xml:space="preserve">Incentive-Based Compensation Recovery (Clawback)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w:t>
            </w:r>
          </w:p>
        </w:tc>
      </w:tr>
      <w:tr>
        <w:trPr>
          <w:trHeight w:val="218"/>
        </w:trPr>
        <w:tc>
          <w:tcPr>
            <w:tcW w:w="1240" w:type="dxa"/>
            <w:vAlign w:val="bottom"/>
          </w:tcPr>
          <w:p>
            <w:pPr>
              <w:spacing w:after="0"/>
              <w:rPr>
                <w:sz w:val="18"/>
                <w:szCs w:val="18"/>
                <w:color w:val="auto"/>
              </w:rPr>
            </w:pPr>
          </w:p>
        </w:tc>
        <w:tc>
          <w:tcPr>
            <w:tcW w:w="440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K filed December 1, 2023)</w:t>
            </w:r>
          </w:p>
        </w:tc>
        <w:tc>
          <w:tcPr>
            <w:tcW w:w="5600" w:type="dxa"/>
            <w:vAlign w:val="bottom"/>
            <w:gridSpan w:val="8"/>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17"/>
          </w:tcPr>
          <w:p>
            <w:pPr>
              <w:ind w:left="20"/>
              <w:spacing w:after="0" w:line="194" w:lineRule="exact"/>
              <w:rPr>
                <w:sz w:val="20"/>
                <w:szCs w:val="20"/>
                <w:color w:val="auto"/>
              </w:rPr>
            </w:pPr>
            <w:r>
              <w:rPr>
                <w:rFonts w:ascii="Times New Roman" w:cs="Times New Roman" w:eastAsia="Times New Roman" w:hAnsi="Times New Roman"/>
                <w:sz w:val="18"/>
                <w:szCs w:val="18"/>
                <w:color w:val="0000EE"/>
              </w:rPr>
              <w:t>Earnings Press Release dated October 9, 2025</w:t>
            </w:r>
          </w:p>
        </w:tc>
      </w:tr>
      <w:tr>
        <w:trPr>
          <w:trHeight w:val="20"/>
        </w:trPr>
        <w:tc>
          <w:tcPr>
            <w:tcW w:w="1240" w:type="dxa"/>
            <w:vAlign w:val="bottom"/>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24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iPOWER INC.</w:t>
      </w:r>
    </w:p>
    <w:p>
      <w:pPr>
        <w:spacing w:after="0" w:line="200" w:lineRule="exact"/>
        <w:rPr>
          <w:sz w:val="20"/>
          <w:szCs w:val="20"/>
          <w:color w:val="auto"/>
        </w:rPr>
      </w:pP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18415</wp:posOffset>
            </wp:positionV>
            <wp:extent cx="30600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Executive Officer, President and Interim Chief Financial</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6420" w:right="820" w:hanging="6411"/>
        <w:spacing w:after="0" w:line="260" w:lineRule="auto"/>
        <w:tabs>
          <w:tab w:leader="none" w:pos="6400" w:val="left"/>
        </w:tabs>
        <w:rPr>
          <w:sz w:val="20"/>
          <w:szCs w:val="20"/>
          <w:color w:val="auto"/>
        </w:rPr>
      </w:pPr>
      <w:r>
        <w:rPr>
          <w:rFonts w:ascii="Times New Roman" w:cs="Times New Roman" w:eastAsia="Times New Roman" w:hAnsi="Times New Roman"/>
          <w:sz w:val="18"/>
          <w:szCs w:val="18"/>
          <w:color w:val="auto"/>
        </w:rPr>
        <w:t>Date: October 9, 2025</w:t>
      </w:r>
      <w:r>
        <w:rPr>
          <w:sz w:val="20"/>
          <w:szCs w:val="20"/>
          <w:color w:val="auto"/>
        </w:rPr>
        <w:tab/>
      </w:r>
      <w:r>
        <w:rPr>
          <w:rFonts w:ascii="Times New Roman" w:cs="Times New Roman" w:eastAsia="Times New Roman" w:hAnsi="Times New Roman"/>
          <w:sz w:val="18"/>
          <w:szCs w:val="18"/>
          <w:color w:val="auto"/>
        </w:rPr>
        <w:t>Principal Executive Officer and Principal Financial and Accounting Officer</w:t>
      </w:r>
    </w:p>
    <w:p>
      <w:pPr>
        <w:spacing w:after="0" w:line="39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President and</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October 9, 2025</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auto"/>
            </w:tcBorders>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 officer)</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Bennet Tchaikovsky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October 9, 2025</w:t>
            </w: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Yue Guo</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October 9, 2025</w:t>
            </w: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Guo</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Hanxi Li</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October 9, 2025</w:t>
            </w: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Hanxi Li</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Yi Yang</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October 9, 2025</w:t>
            </w: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 Yang</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333-261100), the Registration Statement on Form S-3 (File No. 333-274665), and the Registration Statement on Form S-1 (File No. 333-280734) of iPower Inc. (the “Company”) of our report dated October 9, 2025, relating to the Company’s consolidated financial statements as of and for the year ended June 30, 2025, appearing in the Annual Report on Form 10-K of the Company for the year ended June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ectPr>
          <w:pgSz w:w="11900" w:h="16838" w:orient="portrait"/>
          <w:cols w:equalWidth="0" w:num="1">
            <w:col w:w="11240"/>
          </w:cols>
          <w:pgMar w:left="320" w:top="10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333-261100), the Registration Statement on Form S-3 (File No. 333-274665), and the Registration Statement on Form S-1 (File No. 333-280734) of iPower Inc. (the “Company”) of our report dated September 20, 2024, relating to the Company’s consolidated financial statements as of and for the year ended June 30, 2024, appearing in the Annual Report on Form 10-K of the Company for the year ended June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2025 of iPower Inc. (the “registrant”);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2025 of iPower Inc. (the “registrant”);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iPower (the “Company”) on Form 10-K pursuant for the year ended June 30, 2025,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9, 2025</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iPower Inc. (the “Company”) on Form 10-K for the year ended June 30, 2025, as filed with the Securities and Exchange Commission on the date hereof (the “Report”), I, Chenlong Tan, Interim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9, 2025</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1474470" cy="3346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14744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iPower Reports Fiscal Fourth Quarter and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Full Fiscal Year 2025 Results</w:t>
      </w:r>
    </w:p>
    <w:p>
      <w:pPr>
        <w:spacing w:after="0" w:line="2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RANCHO CUCAMONGA, CA, October 9, 2025 -- </w:t>
      </w:r>
      <w:r>
        <w:rPr>
          <w:rFonts w:ascii="Times New Roman" w:cs="Times New Roman" w:eastAsia="Times New Roman" w:hAnsi="Times New Roman"/>
          <w:sz w:val="18"/>
          <w:szCs w:val="18"/>
          <w:color w:val="auto"/>
        </w:rPr>
        <w:t>iPower Inc. (Nasdaq: IPW) (“iPower” or the “Company”), a data and technology driven e-commerce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retailer and infrastructure company, today announced its financial results for the fiscal fourth quarter and full fiscal year ended June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Q4 2025 Results vs. Year-Ago Quarter</w:t>
      </w:r>
    </w:p>
    <w:p>
      <w:pPr>
        <w:spacing w:after="0" w:line="22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$11.5 million compared to $19.5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$4.9 million compared to $8.7 million, with gross margin of 43.0% compared to 44.6%.</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iPower was $2.8 million or $(0.09) per share, compared to net income attributable to iPower of $0.7 million or $0.02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Summary vs Fiscal 2024</w:t>
      </w:r>
    </w:p>
    <w:p>
      <w:pPr>
        <w:spacing w:after="0" w:line="22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debt as of June 30, 2025 by 41% to $3.7 million, strengthening liquidity and balance-sheet flexibility.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gross margin of 43.8% despite revenue pressure, demonstrating resilient unit economics.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targeted inventory optimization, leading to improved working-capital efficiency and supporting future margin expansion opportunities.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completed transition from China-import-based supply chain to primarily U.S.-based inventory, materially reducing exposure to tariff and freight policy changes — two of the most significant historical risk factors in iPower’s operations.</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domestic joint-venture manufacturing line through United Package NV LLC to further localize production and enhance cost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SuperSuite supply-chain platform and added new brand partnerships, including TCL, to diversify product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“Fiscal 2025 was a pivotal year for iPower as we realigned our operations to support long-term growth and profitability,” said Lawrence Tan, CEO of iPower. “Amid challenging tariff-related disruptions in 2025, we maintained stable gross margins, significantly reduced debt, and took decisive actions to streamline operations and optimize inventory. A key achievement was our near-complete shift from a China import–based supply chain to a predominantly U.S.-based inventory model, which enhances logistical control and mitigates future exposure to tariff and freight policy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parallel, we launched a domestic joint-venture manufacturing line to anchor our U.S. supply chain strategy and support future margin stability. While this transition required difficult decisions—including exiting certain partnerships that no longer met our profitability thresholds—our disciplined execution preserved the balance sheet and positioned us to build a more resilient operational foundation.”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have a leaner inventory position, reduced debt, and positive operational momentum, including new partnerships with leading brands like TCL. We intend to further expand our SuperSuite partner network and continue building out our domestic manufacturing infrastructure to enhance supply chain agility and support long-term scalability. These efforts reflect our ongoing focus on operational optimization, diversification, and creating long-term value for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Fiscal Fourth Quarter 2025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 the fiscal fourth quarter of 2025 was $11.5 million compared to $19.5 million for the same period in fiscal 2024. The decrease was driven primarily by lower product sales to the Company’s largest channel partner, partially offset by growth in iPower’s SuperSuite supply chain offerings.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 the fiscal fourth quarter of 2025 was $4.9 million compared to $8.7 million in the same quarter in fiscal 2024. As a percentage of revenue, gross margin was 43.0% compared to 44.6% in the year-ago period. The decrease in gross margin was primarily driven by an increase in services income in the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in the fiscal fourth quarter of 2025 were $8.5 million compared to $7.4 million for the same period in fiscal 2024. The increase in operating expenses was driven primarily by higher marketing and promotional costs associated with the reduction of obsolete and slow-moving inventory.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iPower in the fiscal fourth quarter of 2025 was $2.8 million or $(0.09) per share, compared to net income attributable to iPower of $0.7 million or $0.02 per share for the same period in fiscal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were $2.0 million at June 30, 2025, compared to $7.4 million at June 30, 2024. As a result of the Company’s debt paydown, total debt was reduced by 41% to $3.7 million compared to $6.3 million as of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online retailer and a provider of value-added e-commerce services for third-party products and brands. iPower operates a nationwide fulfillment network and is expanding infrastructure across software, logistics, and manufacturing, with an aim to also pursue initiatives in digital assets and blockchain integration. For more information, please visit www.meetipower.com.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These forward-looking statements involve known and unknown risks and uncertainties and are based on current expectations and projections about future events and financial trends that iPower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iPower undertakes no obligation to update forward-looking statements to reflect subsequent events or circumstances, or changes in its expectations, except as may be required by law. Although iPower believes that the expectations expressed in these forward-looking statements are reasonable, it cannot assure you that such expectations will turn out to be correct, and iPower cautions investors that actual results may differ materially from the anticipated results and encourages investors to review other factors that may affect its future results and performance in iPower's Annual Report on Form 10-K and in its other SEC filings, including its Quarterly Reports on Form 10-Q and Current Reports on Form 8-K.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3" w:name="page124"/>
    <w:bookmarkEnd w:id="123"/>
    <w:p>
      <w:pPr>
        <w:ind w:left="4600"/>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As of June 30, 2025 and June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34"/>
        </w:trPr>
        <w:tc>
          <w:tcPr>
            <w:tcW w:w="660" w:type="dxa"/>
            <w:vAlign w:val="bottom"/>
            <w:tcBorders>
              <w:bottom w:val="single" w:sz="8" w:color="EEEEEE"/>
            </w:tcBorders>
          </w:tcPr>
          <w:p>
            <w:pPr>
              <w:spacing w:after="0"/>
              <w:rPr>
                <w:sz w:val="20"/>
                <w:szCs w:val="20"/>
                <w:color w:val="auto"/>
              </w:rPr>
            </w:pPr>
          </w:p>
        </w:tc>
        <w:tc>
          <w:tcPr>
            <w:tcW w:w="1520" w:type="dxa"/>
            <w:vAlign w:val="bottom"/>
            <w:tcBorders>
              <w:bottom w:val="single" w:sz="8" w:color="EEEEEE"/>
            </w:tcBorders>
          </w:tcPr>
          <w:p>
            <w:pPr>
              <w:spacing w:after="0"/>
              <w:rPr>
                <w:sz w:val="20"/>
                <w:szCs w:val="20"/>
                <w:color w:val="auto"/>
              </w:rPr>
            </w:pPr>
          </w:p>
        </w:tc>
        <w:tc>
          <w:tcPr>
            <w:tcW w:w="536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60" w:type="dxa"/>
            <w:vAlign w:val="bottom"/>
            <w:tcBorders>
              <w:bottom w:val="single" w:sz="8" w:color="auto"/>
            </w:tcBorders>
            <w:shd w:val="clear" w:color="auto" w:fill="EEEEEE"/>
          </w:tcPr>
          <w:p>
            <w:pPr>
              <w:spacing w:after="0" w:line="169" w:lineRule="exact"/>
              <w:rPr>
                <w:sz w:val="20"/>
                <w:szCs w:val="20"/>
                <w:color w:val="auto"/>
              </w:rPr>
            </w:pPr>
            <w:r>
              <w:rPr>
                <w:rFonts w:ascii="Times New Roman" w:cs="Times New Roman" w:eastAsia="Times New Roman" w:hAnsi="Times New Roman"/>
                <w:sz w:val="18"/>
                <w:szCs w:val="18"/>
                <w:color w:val="auto"/>
                <w:w w:val="98"/>
              </w:rPr>
              <w:t>ASSETS</w:t>
            </w:r>
          </w:p>
        </w:tc>
        <w:tc>
          <w:tcPr>
            <w:tcW w:w="6880" w:type="dxa"/>
            <w:vAlign w:val="bottom"/>
            <w:tcBorders>
              <w:bottom w:val="single" w:sz="8" w:color="EEEEEE"/>
            </w:tcBorders>
            <w:gridSpan w:val="2"/>
            <w:shd w:val="clear" w:color="auto" w:fill="EEEEEE"/>
          </w:tcPr>
          <w:p>
            <w:pPr>
              <w:spacing w:after="0"/>
              <w:rPr>
                <w:sz w:val="16"/>
                <w:szCs w:val="16"/>
                <w:color w:val="auto"/>
              </w:rPr>
            </w:pPr>
          </w:p>
        </w:tc>
        <w:tc>
          <w:tcPr>
            <w:tcW w:w="120" w:type="dxa"/>
            <w:vAlign w:val="bottom"/>
            <w:tcBorders>
              <w:bottom w:val="single" w:sz="8" w:color="EEEEEE"/>
            </w:tcBorders>
            <w:shd w:val="clear" w:color="auto" w:fill="EEEEEE"/>
          </w:tcPr>
          <w:p>
            <w:pPr>
              <w:spacing w:after="0"/>
              <w:rPr>
                <w:sz w:val="16"/>
                <w:szCs w:val="16"/>
                <w:color w:val="auto"/>
              </w:rPr>
            </w:pPr>
          </w:p>
        </w:tc>
        <w:tc>
          <w:tcPr>
            <w:tcW w:w="300" w:type="dxa"/>
            <w:vAlign w:val="bottom"/>
            <w:tcBorders>
              <w:bottom w:val="single" w:sz="8" w:color="EEEEEE"/>
            </w:tcBorders>
            <w:shd w:val="clear" w:color="auto" w:fill="EEEEEE"/>
          </w:tcPr>
          <w:p>
            <w:pPr>
              <w:spacing w:after="0"/>
              <w:rPr>
                <w:sz w:val="16"/>
                <w:szCs w:val="16"/>
                <w:color w:val="auto"/>
              </w:rPr>
            </w:pPr>
          </w:p>
        </w:tc>
        <w:tc>
          <w:tcPr>
            <w:tcW w:w="1280" w:type="dxa"/>
            <w:vAlign w:val="bottom"/>
            <w:tcBorders>
              <w:bottom w:val="single" w:sz="8" w:color="EEEEEE"/>
            </w:tcBorders>
            <w:shd w:val="clear" w:color="auto" w:fill="EEEEEE"/>
          </w:tcPr>
          <w:p>
            <w:pPr>
              <w:spacing w:after="0"/>
              <w:rPr>
                <w:sz w:val="16"/>
                <w:szCs w:val="16"/>
                <w:color w:val="auto"/>
              </w:rPr>
            </w:pPr>
          </w:p>
        </w:tc>
        <w:tc>
          <w:tcPr>
            <w:tcW w:w="320" w:type="dxa"/>
            <w:vAlign w:val="bottom"/>
            <w:tcBorders>
              <w:bottom w:val="single" w:sz="8" w:color="EEEEEE"/>
            </w:tcBorders>
            <w:shd w:val="clear" w:color="auto" w:fill="EEEEEE"/>
          </w:tcPr>
          <w:p>
            <w:pPr>
              <w:spacing w:after="0"/>
              <w:rPr>
                <w:sz w:val="16"/>
                <w:szCs w:val="16"/>
                <w:color w:val="auto"/>
              </w:rPr>
            </w:pPr>
          </w:p>
        </w:tc>
        <w:tc>
          <w:tcPr>
            <w:tcW w:w="300" w:type="dxa"/>
            <w:vAlign w:val="bottom"/>
            <w:tcBorders>
              <w:bottom w:val="single" w:sz="8" w:color="EEEEEE"/>
            </w:tcBorders>
            <w:shd w:val="clear" w:color="auto" w:fill="EEEEEE"/>
          </w:tcPr>
          <w:p>
            <w:pPr>
              <w:spacing w:after="0"/>
              <w:rPr>
                <w:sz w:val="16"/>
                <w:szCs w:val="16"/>
                <w:color w:val="auto"/>
              </w:rPr>
            </w:pPr>
          </w:p>
        </w:tc>
        <w:tc>
          <w:tcPr>
            <w:tcW w:w="1280" w:type="dxa"/>
            <w:vAlign w:val="bottom"/>
            <w:tcBorders>
              <w:bottom w:val="single" w:sz="8" w:color="EEEEEE"/>
            </w:tcBorders>
            <w:shd w:val="clear" w:color="auto" w:fill="EEEEEE"/>
          </w:tcPr>
          <w:p>
            <w:pPr>
              <w:spacing w:after="0"/>
              <w:rPr>
                <w:sz w:val="16"/>
                <w:szCs w:val="16"/>
                <w:color w:val="auto"/>
              </w:rPr>
            </w:pPr>
          </w:p>
        </w:tc>
        <w:tc>
          <w:tcPr>
            <w:tcW w:w="100" w:type="dxa"/>
            <w:vAlign w:val="bottom"/>
            <w:tcBorders>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2,007,890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7,377,837</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6,124,008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14,740,093</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8,131,203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10,546,273</w:t>
            </w:r>
          </w:p>
        </w:tc>
        <w:tc>
          <w:tcPr>
            <w:tcW w:w="0" w:type="dxa"/>
            <w:vAlign w:val="bottom"/>
          </w:tcPr>
          <w:p>
            <w:pPr>
              <w:spacing w:after="0"/>
              <w:rPr>
                <w:sz w:val="1"/>
                <w:szCs w:val="1"/>
                <w:color w:val="auto"/>
              </w:rPr>
            </w:pP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3,111,210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2,346,534</w:t>
            </w:r>
          </w:p>
        </w:tc>
        <w:tc>
          <w:tcPr>
            <w:tcW w:w="0" w:type="dxa"/>
            <w:vAlign w:val="bottom"/>
          </w:tcPr>
          <w:p>
            <w:pPr>
              <w:spacing w:after="0"/>
              <w:rPr>
                <w:sz w:val="1"/>
                <w:szCs w:val="1"/>
                <w:color w:val="auto"/>
              </w:rPr>
            </w:pP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19,374,311</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35,010,737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 non-current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3,915,539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6,124,163</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390,349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370,887</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3,724,462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2,445,605</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3,034,110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3,034,110</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385,180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27,605</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2,981,328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3,630,700</w:t>
            </w:r>
          </w:p>
        </w:tc>
        <w:tc>
          <w:tcPr>
            <w:tcW w:w="0" w:type="dxa"/>
            <w:vAlign w:val="bottom"/>
          </w:tcPr>
          <w:p>
            <w:pPr>
              <w:spacing w:after="0"/>
              <w:rPr>
                <w:sz w:val="1"/>
                <w:szCs w:val="1"/>
                <w:color w:val="auto"/>
              </w:rPr>
            </w:pPr>
          </w:p>
        </w:tc>
      </w:tr>
      <w:tr>
        <w:trPr>
          <w:trHeight w:val="22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1,837,488</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652,050</w:t>
            </w:r>
          </w:p>
        </w:tc>
        <w:tc>
          <w:tcPr>
            <w:tcW w:w="0" w:type="dxa"/>
            <w:vAlign w:val="bottom"/>
          </w:tcPr>
          <w:p>
            <w:pPr>
              <w:spacing w:after="0"/>
              <w:rPr>
                <w:sz w:val="1"/>
                <w:szCs w:val="1"/>
                <w:color w:val="auto"/>
              </w:rPr>
            </w:pP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16,268,456</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16,285,120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35,642,767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c>
          <w:tcPr>
            <w:tcW w:w="0" w:type="dxa"/>
            <w:vAlign w:val="bottom"/>
          </w:tcPr>
          <w:p>
            <w:pPr>
              <w:spacing w:after="0"/>
              <w:rPr>
                <w:sz w:val="1"/>
                <w:szCs w:val="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7,180,009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11,227,116</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1,893,921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1,361,111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2,039,301</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491,214</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3,737,602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5,500,739</w:t>
            </w:r>
          </w:p>
        </w:tc>
        <w:tc>
          <w:tcPr>
            <w:tcW w:w="0" w:type="dxa"/>
            <w:vAlign w:val="bottom"/>
          </w:tcPr>
          <w:p>
            <w:pPr>
              <w:spacing w:after="0"/>
              <w:rPr>
                <w:sz w:val="1"/>
                <w:szCs w:val="1"/>
                <w:color w:val="auto"/>
              </w:rPr>
            </w:pPr>
          </w:p>
        </w:tc>
      </w:tr>
      <w:tr>
        <w:trPr>
          <w:trHeight w:val="230"/>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280,155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14,452,798</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23,770,015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2,913,967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c>
          <w:tcPr>
            <w:tcW w:w="0" w:type="dxa"/>
            <w:vAlign w:val="bottom"/>
          </w:tcPr>
          <w:p>
            <w:pPr>
              <w:spacing w:after="0"/>
              <w:rPr>
                <w:sz w:val="1"/>
                <w:szCs w:val="1"/>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2,913,967</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c>
          <w:tcPr>
            <w:tcW w:w="0" w:type="dxa"/>
            <w:vAlign w:val="bottom"/>
          </w:tcPr>
          <w:p>
            <w:pPr>
              <w:spacing w:after="0"/>
              <w:rPr>
                <w:sz w:val="1"/>
                <w:szCs w:val="1"/>
                <w:color w:val="auto"/>
              </w:rPr>
            </w:pP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17,366,765</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28,279,824</w:t>
            </w:r>
          </w:p>
        </w:tc>
        <w:tc>
          <w:tcPr>
            <w:tcW w:w="0" w:type="dxa"/>
            <w:vAlign w:val="bottom"/>
          </w:tcPr>
          <w:p>
            <w:pPr>
              <w:spacing w:after="0"/>
              <w:rPr>
                <w:sz w:val="1"/>
                <w:szCs w:val="1"/>
                <w:color w:val="auto"/>
              </w:rPr>
            </w:pP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gridSpan w:val="3"/>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June 30, 2025 and June 30, 2024</w:t>
            </w: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31,359,899 and 31,359,899 shares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2025 and June 30, 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31,361</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33,450,885</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33,463,883</w:t>
            </w:r>
          </w:p>
        </w:tc>
        <w:tc>
          <w:tcPr>
            <w:tcW w:w="0" w:type="dxa"/>
            <w:vAlign w:val="bottom"/>
          </w:tcPr>
          <w:p>
            <w:pPr>
              <w:spacing w:after="0"/>
              <w:rPr>
                <w:sz w:val="1"/>
                <w:szCs w:val="1"/>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(15,198,889)</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(10,230,601)</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(47,462)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(38,204)</w:t>
            </w:r>
          </w:p>
        </w:tc>
        <w:tc>
          <w:tcPr>
            <w:tcW w:w="0" w:type="dxa"/>
            <w:vAlign w:val="bottom"/>
          </w:tcPr>
          <w:p>
            <w:pPr>
              <w:spacing w:after="0"/>
              <w:rPr>
                <w:sz w:val="1"/>
                <w:szCs w:val="1"/>
                <w:color w:val="auto"/>
              </w:rPr>
            </w:pPr>
          </w:p>
        </w:tc>
      </w:tr>
      <w:tr>
        <w:trPr>
          <w:trHeight w:val="22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40,107</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(210,406)</w:t>
            </w:r>
          </w:p>
        </w:tc>
        <w:tc>
          <w:tcPr>
            <w:tcW w:w="0" w:type="dxa"/>
            <w:vAlign w:val="bottom"/>
          </w:tcPr>
          <w:p>
            <w:pPr>
              <w:spacing w:after="0"/>
              <w:rPr>
                <w:sz w:val="1"/>
                <w:szCs w:val="1"/>
                <w:color w:val="auto"/>
              </w:rPr>
            </w:pP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18,276,002</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23,016,033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35,642,767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c>
          <w:tcPr>
            <w:tcW w:w="0" w:type="dxa"/>
            <w:vAlign w:val="bottom"/>
          </w:tcPr>
          <w:p>
            <w:pPr>
              <w:spacing w:after="0"/>
              <w:rPr>
                <w:sz w:val="1"/>
                <w:szCs w:val="1"/>
                <w:color w:val="auto"/>
              </w:rPr>
            </w:pPr>
          </w:p>
        </w:tc>
      </w:tr>
      <w:tr>
        <w:trPr>
          <w:trHeight w:val="20"/>
        </w:trPr>
        <w:tc>
          <w:tcPr>
            <w:tcW w:w="7540" w:type="dxa"/>
            <w:vAlign w:val="bottom"/>
            <w:tcBorders>
              <w:top w:val="single" w:sz="8" w:color="EEEEEE"/>
              <w:bottom w:val="single" w:sz="8" w:color="EEEEEE"/>
            </w:tcBorders>
            <w:gridSpan w:val="3"/>
            <w:vMerge w:val="restart"/>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754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24" w:name="page125"/>
    <w:bookmarkEnd w:id="124"/>
    <w:p>
      <w:pPr>
        <w:ind w:left="4600"/>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For the Three Months and Years Ended June 30,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color w:val="auto"/>
              </w:rPr>
              <w:t>For the Three Months Ended June 30,</w:t>
            </w:r>
          </w:p>
        </w:tc>
        <w:tc>
          <w:tcPr>
            <w:tcW w:w="260" w:type="dxa"/>
            <w:vAlign w:val="bottom"/>
          </w:tcPr>
          <w:p>
            <w:pPr>
              <w:spacing w:after="0"/>
              <w:rPr>
                <w:sz w:val="19"/>
                <w:szCs w:val="19"/>
                <w:color w:val="auto"/>
              </w:rPr>
            </w:pPr>
          </w:p>
        </w:tc>
        <w:tc>
          <w:tcPr>
            <w:tcW w:w="284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color w:val="auto"/>
              </w:rPr>
              <w:t>For the Years Ended June 30,</w:t>
            </w:r>
          </w:p>
        </w:tc>
      </w:tr>
      <w:tr>
        <w:trPr>
          <w:trHeight w:val="234"/>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(Unaudited)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10,089,772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18,850,539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61,518,306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84,752,116</w:t>
            </w: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Service income</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1,402,237</w:t>
            </w: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603,942</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4,624,473</w:t>
            </w:r>
          </w:p>
        </w:tc>
        <w:tc>
          <w:tcPr>
            <w:tcW w:w="1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1,319,369</w:t>
            </w:r>
          </w:p>
        </w:tc>
      </w:tr>
      <w:tr>
        <w:trPr>
          <w:trHeight w:val="210"/>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11,492,009</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19,454,481</w:t>
            </w:r>
          </w:p>
        </w:tc>
        <w:tc>
          <w:tcPr>
            <w:tcW w:w="32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66,142,779</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86,071,485</w:t>
            </w:r>
          </w:p>
        </w:tc>
        <w:tc>
          <w:tcPr>
            <w:tcW w:w="100" w:type="dxa"/>
            <w:vAlign w:val="bottom"/>
            <w:tcBorders>
              <w:bottom w:val="single" w:sz="8" w:color="EEEEEE"/>
            </w:tcBorders>
          </w:tcPr>
          <w:p>
            <w:pPr>
              <w:spacing w:after="0"/>
              <w:rPr>
                <w:sz w:val="18"/>
                <w:szCs w:val="18"/>
                <w:color w:val="auto"/>
              </w:rPr>
            </w:pPr>
          </w:p>
        </w:tc>
      </w:tr>
      <w:tr>
        <w:trPr>
          <w:trHeight w:val="209"/>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5,299,926</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10,226,651</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33,191,202</w:t>
            </w: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46,818,232</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costs</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1,253,146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550,656</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3,957,883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1,131,885</w:t>
            </w:r>
          </w:p>
        </w:tc>
      </w:tr>
      <w:tr>
        <w:trPr>
          <w:trHeight w:val="20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6,553,072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10,777,307</w:t>
            </w:r>
          </w:p>
        </w:tc>
        <w:tc>
          <w:tcPr>
            <w:tcW w:w="3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37,149,085</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47,950,117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4,938,937</w:t>
            </w: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8,677,174</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28,993,694</w:t>
            </w:r>
          </w:p>
        </w:tc>
        <w:tc>
          <w:tcPr>
            <w:tcW w:w="1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38,121,368</w:t>
            </w: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6,126,355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4,518,191</w:t>
            </w:r>
          </w:p>
        </w:tc>
        <w:tc>
          <w:tcPr>
            <w:tcW w:w="26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22,201,828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26,963,291</w:t>
            </w: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2,346,514</w:t>
            </w: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2,902,127</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12,657,628</w:t>
            </w:r>
          </w:p>
        </w:tc>
        <w:tc>
          <w:tcPr>
            <w:tcW w:w="1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12,120,969</w:t>
            </w:r>
          </w:p>
        </w:tc>
      </w:tr>
      <w:tr>
        <w:trPr>
          <w:trHeight w:val="210"/>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8,472,869</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7,420,318</w:t>
            </w:r>
          </w:p>
        </w:tc>
        <w:tc>
          <w:tcPr>
            <w:tcW w:w="32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34,859,456</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39,084,260</w:t>
            </w:r>
          </w:p>
        </w:tc>
        <w:tc>
          <w:tcPr>
            <w:tcW w:w="100" w:type="dxa"/>
            <w:vAlign w:val="bottom"/>
            <w:tcBorders>
              <w:bottom w:val="single" w:sz="8" w:color="EEEEEE"/>
            </w:tcBorders>
          </w:tcPr>
          <w:p>
            <w:pPr>
              <w:spacing w:after="0"/>
              <w:rPr>
                <w:sz w:val="18"/>
                <w:szCs w:val="18"/>
                <w:color w:val="auto"/>
              </w:rPr>
            </w:pPr>
          </w:p>
        </w:tc>
      </w:tr>
      <w:tr>
        <w:trPr>
          <w:trHeight w:val="209"/>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(3,533,932)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1,256,856</w:t>
            </w:r>
          </w:p>
        </w:tc>
        <w:tc>
          <w:tcPr>
            <w:tcW w:w="26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(5,865,762)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(962,892)</w:t>
            </w:r>
          </w:p>
        </w:tc>
      </w:tr>
      <w:tr>
        <w:trPr>
          <w:trHeight w:val="210"/>
        </w:trPr>
        <w:tc>
          <w:tcPr>
            <w:tcW w:w="47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(73,599)</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(196,249)</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(436,201)</w:t>
            </w: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(788,425)</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(2,890)</w:t>
            </w:r>
          </w:p>
        </w:tc>
        <w:tc>
          <w:tcPr>
            <w:tcW w:w="2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(14,342)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3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35,941</w:t>
            </w: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(67,991)</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84,270</w:t>
            </w:r>
          </w:p>
        </w:tc>
        <w:tc>
          <w:tcPr>
            <w:tcW w:w="1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(35,988)</w:t>
            </w:r>
          </w:p>
        </w:tc>
      </w:tr>
      <w:tr>
        <w:trPr>
          <w:trHeight w:val="210"/>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(267,130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(366,273</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(829,921</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(3,583,225)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989,726</w:t>
            </w:r>
          </w:p>
        </w:tc>
        <w:tc>
          <w:tcPr>
            <w:tcW w:w="2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(6,232,035)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(1,792,813)</w:t>
            </w:r>
          </w:p>
        </w:tc>
      </w:tr>
      <w:tr>
        <w:trPr>
          <w:trHeight w:val="216"/>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(BENEFIT) EXPENSE</w:t>
            </w:r>
          </w:p>
        </w:tc>
        <w:tc>
          <w:tcPr>
            <w:tcW w:w="12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(764,505)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336,309</w:t>
            </w:r>
          </w:p>
        </w:tc>
        <w:tc>
          <w:tcPr>
            <w:tcW w:w="26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(1,254,489)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(251,365)</w:t>
            </w:r>
          </w:p>
        </w:tc>
      </w:tr>
      <w:tr>
        <w:trPr>
          <w:trHeight w:val="210"/>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(2,818,720)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653,417</w:t>
            </w:r>
          </w:p>
        </w:tc>
        <w:tc>
          <w:tcPr>
            <w:tcW w:w="3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(4,977,546)</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(1,541,448)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(3,685)</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(9,258)</w:t>
            </w:r>
          </w:p>
        </w:tc>
        <w:tc>
          <w:tcPr>
            <w:tcW w:w="1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(13,289)</w:t>
            </w: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(2,818,227)</w:t>
            </w:r>
          </w:p>
        </w:tc>
        <w:tc>
          <w:tcPr>
            <w:tcW w:w="5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657,102</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(4,968,288)</w:t>
            </w:r>
          </w:p>
        </w:tc>
        <w:tc>
          <w:tcPr>
            <w:tcW w:w="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(1,528,159)</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246,993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(56,432)</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250,513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(148,272)</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1"/>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IPOWER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(2,571,234)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600,670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(4,717,775)</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(1,676,431)</w:t>
            </w:r>
          </w:p>
        </w:tc>
      </w:tr>
      <w:tr>
        <w:trPr>
          <w:trHeight w:val="196"/>
        </w:trPr>
        <w:tc>
          <w:tcPr>
            <w:tcW w:w="47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40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EEEEEE"/>
          </w:tcPr>
          <w:p>
            <w:pPr>
              <w:spacing w:after="0"/>
              <w:rPr>
                <w:sz w:val="21"/>
                <w:szCs w:val="21"/>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31,473,134</w:t>
            </w:r>
          </w:p>
        </w:tc>
        <w:tc>
          <w:tcPr>
            <w:tcW w:w="140" w:type="dxa"/>
            <w:vAlign w:val="bottom"/>
            <w:shd w:val="clear" w:color="auto" w:fill="EEEEEE"/>
          </w:tcPr>
          <w:p>
            <w:pPr>
              <w:spacing w:after="0"/>
              <w:rPr>
                <w:sz w:val="21"/>
                <w:szCs w:val="21"/>
                <w:color w:val="auto"/>
              </w:rPr>
            </w:pPr>
          </w:p>
        </w:tc>
        <w:tc>
          <w:tcPr>
            <w:tcW w:w="38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29,943,439</w:t>
            </w:r>
          </w:p>
        </w:tc>
        <w:tc>
          <w:tcPr>
            <w:tcW w:w="26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31,445,633</w:t>
            </w:r>
          </w:p>
        </w:tc>
        <w:tc>
          <w:tcPr>
            <w:tcW w:w="14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29,878,196</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EEEEEE"/>
          </w:tcPr>
          <w:p>
            <w:pPr>
              <w:spacing w:after="0"/>
              <w:rPr>
                <w:sz w:val="21"/>
                <w:szCs w:val="21"/>
                <w:color w:val="auto"/>
              </w:rPr>
            </w:pPr>
          </w:p>
        </w:tc>
        <w:tc>
          <w:tcPr>
            <w:tcW w:w="144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31,473,134</w:t>
            </w:r>
          </w:p>
        </w:tc>
        <w:tc>
          <w:tcPr>
            <w:tcW w:w="140" w:type="dxa"/>
            <w:vAlign w:val="bottom"/>
            <w:shd w:val="clear" w:color="auto" w:fill="EEEEEE"/>
          </w:tcPr>
          <w:p>
            <w:pPr>
              <w:spacing w:after="0"/>
              <w:rPr>
                <w:sz w:val="21"/>
                <w:szCs w:val="21"/>
                <w:color w:val="auto"/>
              </w:rPr>
            </w:pPr>
          </w:p>
        </w:tc>
        <w:tc>
          <w:tcPr>
            <w:tcW w:w="38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29,943,439</w:t>
            </w:r>
          </w:p>
        </w:tc>
        <w:tc>
          <w:tcPr>
            <w:tcW w:w="26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31,445,633</w:t>
            </w:r>
          </w:p>
        </w:tc>
        <w:tc>
          <w:tcPr>
            <w:tcW w:w="14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29,878,196</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(LOSSES) PER SHARE</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197"/>
        </w:trPr>
        <w:tc>
          <w:tcPr>
            <w:tcW w:w="47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40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0"/>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o"/>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Ø"/>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lvl w:ilvl="1">
      <w:lvlJc w:val="left"/>
      <w:lvlText w:val="Ø"/>
      <w:numFmt w:val="bullet"/>
      <w:start w:val="1"/>
    </w:lvl>
  </w:abstractNum>
  <w:abstractNum w:abstractNumId="28">
    <w:nsid w:val="2D517796"/>
    <w:multiLevelType w:val="hybridMultilevel"/>
    <w:lvl w:ilvl="0">
      <w:lvlJc w:val="left"/>
      <w:lvlText w:val="*"/>
      <w:numFmt w:val="bullet"/>
      <w:start w:val="1"/>
    </w:lvl>
    <w:lvl w:ilvl="1">
      <w:lvlJc w:val="left"/>
      <w:lvlText w:val="%2)"/>
      <w:numFmt w:val="decimal"/>
      <w:start w:val="14"/>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amp;"/>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68" Type="http://schemas.openxmlformats.org/officeDocument/2006/relationships/image" Target="media/image125.png"/><Relationship Id="rId184"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jpeg"/><Relationship Id="rId202" Type="http://schemas.openxmlformats.org/officeDocument/2006/relationships/image" Target="media/image133.png"/><Relationship Id="rId203" Type="http://schemas.openxmlformats.org/officeDocument/2006/relationships/image" Target="media/image134.png"/><Relationship Id="rId132" Type="http://schemas.openxmlformats.org/officeDocument/2006/relationships/hyperlink" Target="http://www.sec.gov/Archives/edgar/data/1830072/000168316821001774/ipower_ex0303.htm" TargetMode="External"/><Relationship Id="rId133" Type="http://schemas.openxmlformats.org/officeDocument/2006/relationships/hyperlink" Target="http://www.sec.gov/Archives/edgar/data/1830072/000168316825004403/ipower_ex0301.htm" TargetMode="External"/><Relationship Id="rId134" Type="http://schemas.openxmlformats.org/officeDocument/2006/relationships/hyperlink" Target="http://www.sec.gov/Archives/edgar/data/1830072/000168316821000335/ipower_ex0401.htm" TargetMode="External"/><Relationship Id="rId135" Type="http://schemas.openxmlformats.org/officeDocument/2006/relationships/hyperlink" Target="https://www.sec.gov/Archives/edgar/data/1830072/000168316824004323/ipower_ex0401.htm" TargetMode="External"/><Relationship Id="rId136" Type="http://schemas.openxmlformats.org/officeDocument/2006/relationships/hyperlink" Target="http://www.sec.gov/Archives/edgar/data/1830072/000168316821001774/ipower_ex1001.htm" TargetMode="External"/><Relationship Id="rId137" Type="http://schemas.openxmlformats.org/officeDocument/2006/relationships/hyperlink" Target="http://www.sec.gov/Archives/edgar/data/1830072/000168316821000335/ipower_ex1002.htm" TargetMode="External"/><Relationship Id="rId138" Type="http://schemas.openxmlformats.org/officeDocument/2006/relationships/hyperlink" Target="http://www.sec.gov/Archives/edgar/data/1830072/000168316821000335/ipower_ex1003.htm" TargetMode="External"/><Relationship Id="rId139" Type="http://schemas.openxmlformats.org/officeDocument/2006/relationships/hyperlink" Target="http://www.sec.gov/Archives/edgar/data/1830072/000168316821000335/ipower_ex1004.htm" TargetMode="External"/><Relationship Id="rId140" Type="http://schemas.openxmlformats.org/officeDocument/2006/relationships/hyperlink" Target="http://www.sec.gov/Archives/edgar/data/1830072/000168316821001406/ipower_ex1005.htm" TargetMode="External"/><Relationship Id="rId141" Type="http://schemas.openxmlformats.org/officeDocument/2006/relationships/hyperlink" Target="http://www.sec.gov/Archives/edgar/data/1830072/000168316821000335/ipower_ex1005.htm" TargetMode="External"/><Relationship Id="rId142" Type="http://schemas.openxmlformats.org/officeDocument/2006/relationships/hyperlink" Target="http://www.sec.gov/Archives/edgar/data/1830072/000168316821000335/ipower_ex1006.htm" TargetMode="External"/><Relationship Id="rId143" Type="http://schemas.openxmlformats.org/officeDocument/2006/relationships/hyperlink" Target="http://www.sec.gov/Archives/edgar/data/1830072/000168316821000335/ipower_ex1007.htm" TargetMode="External"/><Relationship Id="rId144" Type="http://schemas.openxmlformats.org/officeDocument/2006/relationships/hyperlink" Target="http://www.sec.gov/Archives/edgar/data/1830072/000168316821000335/ipower_ex1009.htm" TargetMode="External"/><Relationship Id="rId145" Type="http://schemas.openxmlformats.org/officeDocument/2006/relationships/hyperlink" Target="http://www.sec.gov/Archives/edgar/data/1830072/000168316821000335/ipower_ex1010.htm" TargetMode="External"/><Relationship Id="rId146" Type="http://schemas.openxmlformats.org/officeDocument/2006/relationships/hyperlink" Target="http://www.sec.gov/Archives/edgar/data/1830072/000168316821000335/ipower_ex1011.htm" TargetMode="External"/><Relationship Id="rId147" Type="http://schemas.openxmlformats.org/officeDocument/2006/relationships/hyperlink" Target="http://www.sec.gov/Archives/edgar/data/1830072/000168316821000335/ipower_ex1012.htm" TargetMode="External"/><Relationship Id="rId148" Type="http://schemas.openxmlformats.org/officeDocument/2006/relationships/hyperlink" Target="http://www.sec.gov/Archives/edgar/data/1830072/000168316821000335/ipower_ex1013.htm" TargetMode="External"/><Relationship Id="rId149" Type="http://schemas.openxmlformats.org/officeDocument/2006/relationships/hyperlink" Target="http://www.sec.gov/Archives/edgar/data/1830072/000168316821000335/ipower_ex1014.htm" TargetMode="External"/><Relationship Id="rId150" Type="http://schemas.openxmlformats.org/officeDocument/2006/relationships/hyperlink" Target="http://www.sec.gov/Archives/edgar/data/1830072/000168316821000335/ipower_ex1016.htm" TargetMode="External"/><Relationship Id="rId151" Type="http://schemas.openxmlformats.org/officeDocument/2006/relationships/hyperlink" Target="http://www.sec.gov/Archives/edgar/data/1830072/000168316821000335/ipower_ex1017.htm" TargetMode="External"/><Relationship Id="rId152" Type="http://schemas.openxmlformats.org/officeDocument/2006/relationships/hyperlink" Target="http://www.sec.gov/Archives/edgar/data/1830072/000168316821000335/ipower_ex1018.htm" TargetMode="External"/><Relationship Id="rId153" Type="http://schemas.openxmlformats.org/officeDocument/2006/relationships/hyperlink" Target="http://www.sec.gov/Archives/edgar/data/1830072/000168316821000335/ipower_ex1019.htm" TargetMode="External"/><Relationship Id="rId154" Type="http://schemas.openxmlformats.org/officeDocument/2006/relationships/hyperlink" Target="http://www.sec.gov/Archives/edgar/data/1830072/000168316821001774/ipower_ex1023.htm" TargetMode="External"/><Relationship Id="rId155" Type="http://schemas.openxmlformats.org/officeDocument/2006/relationships/hyperlink" Target="http://www.sec.gov/Archives/edgar/data/1830072/000168316821001774/ipower_ex1024.htm" TargetMode="External"/><Relationship Id="rId156" Type="http://schemas.openxmlformats.org/officeDocument/2006/relationships/hyperlink" Target="http://www.sec.gov/Archives/edgar/data/1830072/000168316821002157/ipower_ex1001.htm" TargetMode="External"/><Relationship Id="rId157" Type="http://schemas.openxmlformats.org/officeDocument/2006/relationships/hyperlink" Target="http://www.sec.gov/Archives/edgar/data/1830072/000168316821002157/ipower_ex1002.htm" TargetMode="External"/><Relationship Id="rId158" Type="http://schemas.openxmlformats.org/officeDocument/2006/relationships/hyperlink" Target="http://www.sec.gov/Archives/edgar/data/1830072/000168316821003207/ipower_ex1001.htm" TargetMode="External"/><Relationship Id="rId159" Type="http://schemas.openxmlformats.org/officeDocument/2006/relationships/hyperlink" Target="http://www.sec.gov/Archives/edgar/data/1830072/000168316821005700/ipower_ex1001.htm" TargetMode="External"/><Relationship Id="rId160" Type="http://schemas.openxmlformats.org/officeDocument/2006/relationships/hyperlink" Target="http://www.sec.gov/Archives/edgar/data/1830072/000168316821005700/ipower_ex1002.htm" TargetMode="External"/><Relationship Id="rId161" Type="http://schemas.openxmlformats.org/officeDocument/2006/relationships/hyperlink" Target="http://www.sec.gov/Archives/edgar/data/1830072/000168316821005700/ipower_ex1003.htm" TargetMode="External"/><Relationship Id="rId162" Type="http://schemas.openxmlformats.org/officeDocument/2006/relationships/hyperlink" Target="https://www.sec.gov/Archives/edgar/data/0001830072/000168316822000328/ipower_ex1001.htm" TargetMode="External"/><Relationship Id="rId163" Type="http://schemas.openxmlformats.org/officeDocument/2006/relationships/hyperlink" Target="https://www.sec.gov/Archives/edgar/data/0001830072/000168316822000328/ipower_ex1002.htm" TargetMode="External"/><Relationship Id="rId164" Type="http://schemas.openxmlformats.org/officeDocument/2006/relationships/hyperlink" Target="https://www.sec.gov/Archives/edgar/data/0001830072/000168316822000328/ipower_ex1003.htm" TargetMode="External"/><Relationship Id="rId165" Type="http://schemas.openxmlformats.org/officeDocument/2006/relationships/hyperlink" Target="https://www.sec.gov/Archives/edgar/data/0001830072/000168316822000328/ipower_ex1004.htm" TargetMode="External"/><Relationship Id="rId166" Type="http://schemas.openxmlformats.org/officeDocument/2006/relationships/hyperlink" Target="https://www.sec.gov/Archives/edgar/data/0001830072/000168316822000328/ipower_ex1005.htm" TargetMode="External"/><Relationship Id="rId167" Type="http://schemas.openxmlformats.org/officeDocument/2006/relationships/hyperlink" Target="https://www.sec.gov/Archives/edgar/data/0001830072/000168316822000328/ipower_ex1006.htm" TargetMode="External"/><Relationship Id="rId169" Type="http://schemas.openxmlformats.org/officeDocument/2006/relationships/hyperlink" Target="https://www.sec.gov/Archives/edgar/data/0001830072/000168316822000931/ipower_ex1001.htm" TargetMode="External"/><Relationship Id="rId170" Type="http://schemas.openxmlformats.org/officeDocument/2006/relationships/hyperlink" Target="https://www.sec.gov/Archives/edgar/data/0001830072/000168316822000931/ipower_ex1002.htm" TargetMode="External"/><Relationship Id="rId171" Type="http://schemas.openxmlformats.org/officeDocument/2006/relationships/hyperlink" Target="https://www.sec.gov/Archives/edgar/data/0001830072/000168316822000931/ipower_ex1003.htm" TargetMode="External"/><Relationship Id="rId172" Type="http://schemas.openxmlformats.org/officeDocument/2006/relationships/hyperlink" Target="https://www.sec.gov/Archives/edgar/data/0001830072/000168316822001178/ipower_ex1001.htm" TargetMode="External"/><Relationship Id="rId173" Type="http://schemas.openxmlformats.org/officeDocument/2006/relationships/hyperlink" Target="https://www.sec.gov/Archives/edgar/data/0001830072/000168316822001178/ipower_ex1003.htm" TargetMode="External"/><Relationship Id="rId174" Type="http://schemas.openxmlformats.org/officeDocument/2006/relationships/hyperlink" Target="https://www.sec.gov/Archives/edgar/data/0001830072/000168316822001178/ipower_ex1004.htm" TargetMode="External"/><Relationship Id="rId175" Type="http://schemas.openxmlformats.org/officeDocument/2006/relationships/hyperlink" Target="https://www.sec.gov/Archives/edgar/data/0001830072/000168316822001178/ipower_ex1005.htm" TargetMode="External"/><Relationship Id="rId176" Type="http://schemas.openxmlformats.org/officeDocument/2006/relationships/hyperlink" Target="https://www.sec.gov/Archives/edgar/data/0001830072/000168316822001178/ipower_ex1006.htm" TargetMode="External"/><Relationship Id="rId177" Type="http://schemas.openxmlformats.org/officeDocument/2006/relationships/hyperlink" Target="https://www.sec.gov/Archives/edgar/data/0001830072/000168316822001178/ipower_ex1007.htm" TargetMode="External"/><Relationship Id="rId178" Type="http://schemas.openxmlformats.org/officeDocument/2006/relationships/hyperlink" Target="https://www.sec.gov/Archives/edgar/data/0001830072/000168316822001178/ipower_ex1008.htm" TargetMode="External"/><Relationship Id="rId179" Type="http://schemas.openxmlformats.org/officeDocument/2006/relationships/hyperlink" Target="https://www.sec.gov/Archives/edgar/data/0001830072/000168316822001178/ipower_ex1009.htm" TargetMode="External"/><Relationship Id="rId180" Type="http://schemas.openxmlformats.org/officeDocument/2006/relationships/hyperlink" Target="http://www.sec.gov/Archives/edgar/data/1830072/000168316822006893/ipower_ex1001.htm" TargetMode="External"/><Relationship Id="rId181" Type="http://schemas.openxmlformats.org/officeDocument/2006/relationships/hyperlink" Target="https://www.sec.gov/Archives/edgar/data/1830072/000168316822006893/ipower_ex1002.htm" TargetMode="External"/><Relationship Id="rId182" Type="http://schemas.openxmlformats.org/officeDocument/2006/relationships/hyperlink" Target="https://www.sec.gov/Archives/edgar/data/1830072/000168316824002242/ipower_ex1001.htm" TargetMode="External"/><Relationship Id="rId183" Type="http://schemas.openxmlformats.org/officeDocument/2006/relationships/hyperlink" Target="https://www.sec.gov/Archives/edgar/data/1830072/000168316824004323/ipower_ex1001.htm" TargetMode="External"/><Relationship Id="rId185" Type="http://schemas.openxmlformats.org/officeDocument/2006/relationships/hyperlink" Target="https://www.sec.gov/Archives/edgar/data/1830072/000168316824004323/ipower_ex1002.htm" TargetMode="External"/><Relationship Id="rId186" Type="http://schemas.openxmlformats.org/officeDocument/2006/relationships/hyperlink" Target="http://www.sec.gov/Archives/edgar/data/1830072/000168316824007934/ipower_ex1001.htm" TargetMode="External"/><Relationship Id="rId187" Type="http://schemas.openxmlformats.org/officeDocument/2006/relationships/hyperlink" Target="http://www.sec.gov/Archives/edgar/data/1830072/000168316825003370/ipower_ex1001.htm" TargetMode="External"/><Relationship Id="rId188" Type="http://schemas.openxmlformats.org/officeDocument/2006/relationships/hyperlink" Target="http://www.sec.gov/Archives/edgar/data/1830072/000168316825004273/ipower_ex1001.htm" TargetMode="External"/><Relationship Id="rId189" Type="http://schemas.openxmlformats.org/officeDocument/2006/relationships/hyperlink" Target="http://www.sec.gov/Archives/edgar/data/1830072/000168316825004321/ipower_ex1001.htm" TargetMode="External"/><Relationship Id="rId190" Type="http://schemas.openxmlformats.org/officeDocument/2006/relationships/hyperlink" Target="http://www.sec.gov/Archives/edgar/data/1830072/000168316825005914/ipower_ex1001.htm" TargetMode="External"/><Relationship Id="rId191" Type="http://schemas.openxmlformats.org/officeDocument/2006/relationships/hyperlink" Target="http://www.sec.gov/Archives/edgar/data/1830072/000168316825006762/ipower_ex1001.htm" TargetMode="External"/><Relationship Id="rId192" Type="http://schemas.openxmlformats.org/officeDocument/2006/relationships/hyperlink" Target="http://www.sec.gov/Archives/edgar/data/1830072/000168316821001406/ipower_ex1401.htm" TargetMode="External"/><Relationship Id="rId193" Type="http://schemas.openxmlformats.org/officeDocument/2006/relationships/hyperlink" Target="http://www.sec.gov/Archives/edgar/data/1830072/000168316825006762/ipower_ex1901.htm" TargetMode="External"/><Relationship Id="rId194" Type="http://schemas.openxmlformats.org/officeDocument/2006/relationships/hyperlink" Target="http://www.sec.gov/Archives/edgar/data/1830072/000168316825003710/ipower_ex2101.htm" TargetMode="External"/><Relationship Id="rId195" Type="http://schemas.openxmlformats.org/officeDocument/2006/relationships/hyperlink" Target="https://www.sec.gov/Archives/edgar/data/1830072/000168316823008598/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2025-10-09T16:09:08Z</dcterms:created>
  <dcterms:modified xsi:type="dcterms:W3CDTF">2025-10-09T16:09:08Z</dcterms:modified>
</cp:coreProperties>
</file>