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3940" w:right="2280" w:hanging="3865"/>
        <w:spacing w:after="0" w:line="500" w:lineRule="auto"/>
        <w:tabs>
          <w:tab w:leader="none" w:pos="28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160" w:right="2260" w:hanging="3085"/>
        <w:spacing w:after="0" w:line="500" w:lineRule="auto"/>
        <w:tabs>
          <w:tab w:leader="none" w:pos="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rPr>
      </w:pP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001-40391</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8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82-5144171</w:t>
            </w:r>
          </w:p>
        </w:tc>
      </w:tr>
      <w:tr>
        <w:trPr>
          <w:trHeight w:val="191"/>
        </w:trPr>
        <w:tc>
          <w:tcPr>
            <w:tcW w:w="5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185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5"/>
              </w:rPr>
              <w:t>8798 9</w:t>
            </w:r>
            <w:r>
              <w:rPr>
                <w:rFonts w:ascii="Times New Roman" w:cs="Times New Roman" w:eastAsia="Times New Roman" w:hAnsi="Times New Roman"/>
                <w:sz w:val="29"/>
                <w:szCs w:val="29"/>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Street</w:t>
            </w:r>
          </w:p>
        </w:tc>
        <w:tc>
          <w:tcPr>
            <w:tcW w:w="3560" w:type="dxa"/>
            <w:vAlign w:val="bottom"/>
          </w:tcPr>
          <w:p>
            <w:pPr>
              <w:spacing w:after="0"/>
              <w:rPr>
                <w:sz w:val="24"/>
                <w:szCs w:val="24"/>
                <w:color w:val="auto"/>
              </w:rPr>
            </w:pPr>
          </w:p>
        </w:tc>
      </w:tr>
      <w:tr>
        <w:trPr>
          <w:trHeight w:val="220"/>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Rancho Cucamonga, CA 91730</w:t>
            </w:r>
          </w:p>
        </w:tc>
        <w:tc>
          <w:tcPr>
            <w:tcW w:w="3560" w:type="dxa"/>
            <w:vAlign w:val="bottom"/>
          </w:tcPr>
          <w:p>
            <w:pPr>
              <w:spacing w:after="0"/>
              <w:rPr>
                <w:sz w:val="19"/>
                <w:szCs w:val="19"/>
                <w:color w:val="auto"/>
              </w:rPr>
            </w:pPr>
          </w:p>
        </w:tc>
      </w:tr>
      <w:tr>
        <w:trPr>
          <w:trHeight w:val="234"/>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560" w:type="dxa"/>
            <w:vAlign w:val="bottom"/>
          </w:tcPr>
          <w:p>
            <w:pPr>
              <w:spacing w:after="0"/>
              <w:rPr>
                <w:sz w:val="20"/>
                <w:szCs w:val="20"/>
                <w:color w:val="auto"/>
              </w:rPr>
            </w:pPr>
          </w:p>
        </w:tc>
      </w:tr>
      <w:tr>
        <w:trPr>
          <w:trHeight w:val="41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(626) 863-7344</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6"/>
              </w:rPr>
              <w:t>IPW</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60" w:type="dxa"/>
        <w:tblCellMar>
          <w:top w:w="0" w:type="dxa"/>
          <w:left w:w="0" w:type="dxa"/>
          <w:bottom w:w="0" w:type="dxa"/>
          <w:right w:w="0" w:type="dxa"/>
        </w:tblCellMar>
      </w:tblPr>
      <w:tr>
        <w:trPr>
          <w:trHeight w:val="22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on May 15, 2025 was 31,359,899.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0" w:type="dxa"/>
            <w:vAlign w:val="bottom"/>
            <w:gridSpan w:val="9"/>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9"/>
              </w:rPr>
              <w:t>iPower Inc.</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80" w:type="dxa"/>
            <w:vAlign w:val="bottom"/>
            <w:gridSpan w:val="11"/>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385"/>
        </w:trPr>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60" w:type="dxa"/>
            <w:vAlign w:val="bottom"/>
            <w:gridSpan w:val="13"/>
          </w:tcPr>
          <w:p>
            <w:pPr>
              <w:jc w:val="center"/>
              <w:ind w:right="2380"/>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Financial Statements</w:t>
            </w:r>
          </w:p>
        </w:tc>
        <w:tc>
          <w:tcPr>
            <w:tcW w:w="86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rPr>
                <w:sz w:val="17"/>
                <w:szCs w:val="17"/>
                <w:color w:val="auto"/>
              </w:rPr>
            </w:pP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March 31, 2025 and June 30, 2024</w:t>
            </w:r>
          </w:p>
        </w:tc>
        <w:tc>
          <w:tcPr>
            <w:tcW w:w="86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00" w:type="dxa"/>
            <w:vAlign w:val="bottom"/>
            <w:tcBorders>
              <w:bottom w:val="single" w:sz="8" w:color="EEEEEE"/>
            </w:tcBorders>
            <w:shd w:val="clear" w:color="auto" w:fill="EEEEEE"/>
          </w:tcPr>
          <w:p>
            <w:pPr>
              <w:spacing w:after="0"/>
              <w:rPr>
                <w:sz w:val="15"/>
                <w:szCs w:val="15"/>
                <w:color w:val="auto"/>
              </w:rPr>
            </w:pPr>
          </w:p>
        </w:tc>
        <w:tc>
          <w:tcPr>
            <w:tcW w:w="9180" w:type="dxa"/>
            <w:vAlign w:val="bottom"/>
            <w:tcBorders>
              <w:bottom w:val="single" w:sz="8" w:color="0000EE"/>
            </w:tcBorders>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Income (Loss) for the three and nine months</w:t>
            </w:r>
          </w:p>
        </w:tc>
        <w:tc>
          <w:tcPr>
            <w:tcW w:w="300" w:type="dxa"/>
            <w:vAlign w:val="bottom"/>
            <w:tcBorders>
              <w:bottom w:val="single" w:sz="8" w:color="EEEEEE"/>
            </w:tcBorders>
            <w:shd w:val="clear" w:color="auto" w:fill="EEEEEE"/>
          </w:tcPr>
          <w:p>
            <w:pPr>
              <w:spacing w:after="0"/>
              <w:rPr>
                <w:sz w:val="15"/>
                <w:szCs w:val="15"/>
                <w:color w:val="auto"/>
              </w:rPr>
            </w:pPr>
          </w:p>
        </w:tc>
        <w:tc>
          <w:tcPr>
            <w:tcW w:w="860" w:type="dxa"/>
            <w:vAlign w:val="bottom"/>
            <w:tcBorders>
              <w:bottom w:val="single" w:sz="8" w:color="EEEEEE"/>
            </w:tcBorders>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EEEEEE"/>
          </w:tcPr>
          <w:p>
            <w:pPr>
              <w:spacing w:after="0"/>
              <w:rPr>
                <w:sz w:val="18"/>
                <w:szCs w:val="18"/>
                <w:color w:val="auto"/>
              </w:rPr>
            </w:pPr>
          </w:p>
        </w:tc>
        <w:tc>
          <w:tcPr>
            <w:tcW w:w="9480" w:type="dxa"/>
            <w:vAlign w:val="bottom"/>
            <w:gridSpan w:val="20"/>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0000EE"/>
              </w:rPr>
              <w:t>ended March 31, 2025 and 2024</w:t>
            </w:r>
          </w:p>
        </w:tc>
        <w:tc>
          <w:tcPr>
            <w:tcW w:w="860" w:type="dxa"/>
            <w:vAlign w:val="bottom"/>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EEEEEE"/>
          </w:tcPr>
          <w:p>
            <w:pPr>
              <w:spacing w:after="0"/>
              <w:rPr>
                <w:sz w:val="15"/>
                <w:szCs w:val="15"/>
                <w:color w:val="auto"/>
              </w:rPr>
            </w:pP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Equity for the three and nine months ended March</w:t>
            </w:r>
          </w:p>
        </w:tc>
        <w:tc>
          <w:tcPr>
            <w:tcW w:w="86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00" w:type="dxa"/>
            <w:vAlign w:val="bottom"/>
            <w:tcBorders>
              <w:top w:val="single" w:sz="8" w:color="EEEEEE"/>
            </w:tcBorders>
            <w:shd w:val="clear" w:color="auto" w:fill="EEEEEE"/>
          </w:tcPr>
          <w:p>
            <w:pPr>
              <w:spacing w:after="0"/>
              <w:rPr>
                <w:sz w:val="18"/>
                <w:szCs w:val="18"/>
                <w:color w:val="auto"/>
              </w:rPr>
            </w:pPr>
          </w:p>
        </w:tc>
        <w:tc>
          <w:tcPr>
            <w:tcW w:w="9180" w:type="dxa"/>
            <w:vAlign w:val="bottom"/>
            <w:tcBorders>
              <w:top w:val="single" w:sz="8" w:color="0000EE"/>
            </w:tcBorders>
            <w:gridSpan w:val="19"/>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0000EE"/>
              </w:rPr>
              <w:t>31, 2025 and 2024</w:t>
            </w:r>
          </w:p>
        </w:tc>
        <w:tc>
          <w:tcPr>
            <w:tcW w:w="300" w:type="dxa"/>
            <w:vAlign w:val="bottom"/>
            <w:tcBorders>
              <w:top w:val="single" w:sz="8" w:color="EEEEEE"/>
            </w:tcBorders>
            <w:shd w:val="clear" w:color="auto" w:fill="EEEEEE"/>
          </w:tcPr>
          <w:p>
            <w:pPr>
              <w:spacing w:after="0"/>
              <w:rPr>
                <w:sz w:val="18"/>
                <w:szCs w:val="18"/>
                <w:color w:val="auto"/>
              </w:rPr>
            </w:pPr>
          </w:p>
        </w:tc>
        <w:tc>
          <w:tcPr>
            <w:tcW w:w="860" w:type="dxa"/>
            <w:vAlign w:val="bottom"/>
            <w:tcBorders>
              <w:top w:val="single" w:sz="8" w:color="EEEEEE"/>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rPr>
                <w:sz w:val="17"/>
                <w:szCs w:val="17"/>
                <w:color w:val="auto"/>
              </w:rPr>
            </w:pP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March 31, 2025 and 2024</w:t>
            </w:r>
          </w:p>
        </w:tc>
        <w:tc>
          <w:tcPr>
            <w:tcW w:w="86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rPr>
                <w:sz w:val="17"/>
                <w:szCs w:val="17"/>
                <w:color w:val="auto"/>
              </w:rPr>
            </w:pP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6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6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6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86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5960" w:type="dxa"/>
            <w:vAlign w:val="bottom"/>
            <w:gridSpan w:val="12"/>
            <w:shd w:val="clear" w:color="auto" w:fill="EEEEEE"/>
          </w:tcPr>
          <w:p>
            <w:pPr>
              <w:jc w:val="center"/>
              <w:ind w:right="3580"/>
              <w:spacing w:after="0" w:line="176" w:lineRule="exact"/>
              <w:rPr>
                <w:sz w:val="20"/>
                <w:szCs w:val="20"/>
                <w:color w:val="auto"/>
              </w:rPr>
            </w:pPr>
            <w:r>
              <w:rPr>
                <w:rFonts w:ascii="Times New Roman" w:cs="Times New Roman" w:eastAsia="Times New Roman" w:hAnsi="Times New Roman"/>
                <w:sz w:val="18"/>
                <w:szCs w:val="18"/>
                <w:color w:val="0000EE"/>
                <w:w w:val="99"/>
              </w:rPr>
              <w:t>PART II. Other Information</w:t>
            </w:r>
          </w:p>
        </w:tc>
        <w:tc>
          <w:tcPr>
            <w:tcW w:w="860" w:type="dxa"/>
            <w:vAlign w:val="bottom"/>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86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86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 of Equity Securities and Use of Proceeds</w:t>
            </w:r>
          </w:p>
        </w:tc>
        <w:tc>
          <w:tcPr>
            <w:tcW w:w="86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6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86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5.</w:t>
            </w: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86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6.</w:t>
            </w:r>
          </w:p>
        </w:tc>
        <w:tc>
          <w:tcPr>
            <w:tcW w:w="948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86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6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EEEEEE"/>
            </w:tcBorders>
            <w:shd w:val="clear" w:color="auto" w:fill="EEEEEE"/>
          </w:tcPr>
          <w:p>
            <w:pPr>
              <w:spacing w:after="0"/>
              <w:rPr>
                <w:sz w:val="17"/>
                <w:szCs w:val="17"/>
                <w:color w:val="auto"/>
              </w:rPr>
            </w:pPr>
          </w:p>
        </w:tc>
        <w:tc>
          <w:tcPr>
            <w:tcW w:w="760" w:type="dxa"/>
            <w:vAlign w:val="bottom"/>
            <w:tcBorders>
              <w:bottom w:val="single" w:sz="8" w:color="0000EE"/>
            </w:tcBorders>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8720" w:type="dxa"/>
            <w:vAlign w:val="bottom"/>
            <w:tcBorders>
              <w:bottom w:val="single" w:sz="8" w:color="EEEEEE"/>
            </w:tcBorders>
            <w:gridSpan w:val="18"/>
            <w:shd w:val="clear" w:color="auto" w:fill="EEEEEE"/>
          </w:tcPr>
          <w:p>
            <w:pPr>
              <w:spacing w:after="0"/>
              <w:rPr>
                <w:sz w:val="17"/>
                <w:szCs w:val="17"/>
                <w:color w:val="auto"/>
              </w:rPr>
            </w:pPr>
          </w:p>
        </w:tc>
        <w:tc>
          <w:tcPr>
            <w:tcW w:w="860" w:type="dxa"/>
            <w:vAlign w:val="bottom"/>
            <w:tcBorders>
              <w:bottom w:val="single" w:sz="8" w:color="EEEE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6"/>
        </w:trPr>
        <w:tc>
          <w:tcPr>
            <w:tcW w:w="9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13"/>
          </w:tcPr>
          <w:p>
            <w:pPr>
              <w:jc w:val="center"/>
              <w:ind w:left="459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Inventories, net</w:t>
      </w:r>
    </w:p>
    <w:p>
      <w:pPr>
        <w:spacing w:after="0" w:line="9" w:lineRule="exact"/>
        <w:rPr>
          <w:sz w:val="20"/>
          <w:szCs w:val="20"/>
          <w:color w:val="auto"/>
        </w:rPr>
      </w:pPr>
    </w:p>
    <w:p>
      <w:pPr>
        <w:ind w:left="360" w:hanging="179"/>
        <w:spacing w:after="0" w:line="276" w:lineRule="auto"/>
        <w:rPr>
          <w:sz w:val="20"/>
          <w:szCs w:val="20"/>
          <w:color w:val="auto"/>
        </w:rPr>
      </w:pPr>
      <w:r>
        <w:rPr>
          <w:rFonts w:ascii="Times New Roman" w:cs="Times New Roman" w:eastAsia="Times New Roman" w:hAnsi="Times New Roman"/>
          <w:sz w:val="18"/>
          <w:szCs w:val="18"/>
          <w:color w:val="auto"/>
        </w:rPr>
        <w:t>Prepayments and other current assets, net Total current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Right of use - non-current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tax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non-current assets</w:t>
      </w:r>
    </w:p>
    <w:p>
      <w:pPr>
        <w:spacing w:after="0" w:line="2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7"/>
          <w:szCs w:val="17"/>
          <w:color w:val="auto"/>
        </w:rPr>
        <w:t>Unaudited Condensed Consolidated Balance Sheets</w:t>
      </w:r>
    </w:p>
    <w:p>
      <w:pPr>
        <w:spacing w:after="0" w:line="2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As of March 31, 2025 and June 30, 2024</w:t>
      </w:r>
    </w:p>
    <w:p>
      <w:pPr>
        <w:spacing w:after="0" w:line="200" w:lineRule="exact"/>
        <w:rPr>
          <w:sz w:val="20"/>
          <w:szCs w:val="20"/>
          <w:color w:val="auto"/>
        </w:rPr>
      </w:pPr>
    </w:p>
    <w:p>
      <w:pPr>
        <w:spacing w:after="0" w:line="250" w:lineRule="exact"/>
        <w:rPr>
          <w:sz w:val="20"/>
          <w:szCs w:val="20"/>
          <w:color w:val="auto"/>
        </w:rPr>
      </w:pPr>
    </w:p>
    <w:tbl>
      <w:tblPr>
        <w:tblLayout w:type="fixed"/>
        <w:tblInd w:w="380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March 31,</w:t>
            </w:r>
          </w:p>
        </w:tc>
        <w:tc>
          <w:tcPr>
            <w:tcW w:w="320" w:type="dxa"/>
            <w:vAlign w:val="bottom"/>
          </w:tcPr>
          <w:p>
            <w:pPr>
              <w:spacing w:after="0"/>
              <w:rPr>
                <w:sz w:val="19"/>
                <w:szCs w:val="19"/>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30,</w:t>
            </w:r>
          </w:p>
        </w:tc>
      </w:tr>
      <w:tr>
        <w:trPr>
          <w:trHeight w:val="234"/>
        </w:trPr>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r>
      <w:tr>
        <w:trPr>
          <w:trHeight w:val="839"/>
        </w:trPr>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2,192,254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7,377,837</w:t>
            </w:r>
          </w:p>
        </w:tc>
        <w:tc>
          <w:tcPr>
            <w:tcW w:w="2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10,179,237</w:t>
            </w:r>
          </w:p>
        </w:tc>
        <w:tc>
          <w:tcPr>
            <w:tcW w:w="3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14,740,093</w:t>
            </w:r>
          </w:p>
        </w:tc>
      </w:tr>
      <w:tr>
        <w:trPr>
          <w:trHeight w:val="229"/>
        </w:trPr>
        <w:tc>
          <w:tcPr>
            <w:tcW w:w="28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9,772,699</w:t>
            </w:r>
          </w:p>
        </w:tc>
        <w:tc>
          <w:tcPr>
            <w:tcW w:w="3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10,546,273</w:t>
            </w:r>
          </w:p>
        </w:tc>
      </w:tr>
      <w:tr>
        <w:trPr>
          <w:trHeight w:val="234"/>
        </w:trPr>
        <w:tc>
          <w:tcPr>
            <w:tcW w:w="28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2,660,968</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2,346,534</w:t>
            </w:r>
          </w:p>
        </w:tc>
        <w:tc>
          <w:tcPr>
            <w:tcW w:w="20" w:type="dxa"/>
            <w:vAlign w:val="bottom"/>
          </w:tcPr>
          <w:p>
            <w:pPr>
              <w:spacing w:after="0"/>
              <w:rPr>
                <w:sz w:val="20"/>
                <w:szCs w:val="20"/>
                <w:color w:val="auto"/>
              </w:rPr>
            </w:pPr>
          </w:p>
        </w:tc>
      </w:tr>
      <w:tr>
        <w:trPr>
          <w:trHeight w:val="209"/>
        </w:trPr>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24,805,158</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35,010,737</w:t>
            </w:r>
          </w:p>
        </w:tc>
        <w:tc>
          <w:tcPr>
            <w:tcW w:w="20" w:type="dxa"/>
            <w:vAlign w:val="bottom"/>
          </w:tcPr>
          <w:p>
            <w:pPr>
              <w:spacing w:after="0"/>
              <w:rPr>
                <w:sz w:val="18"/>
                <w:szCs w:val="18"/>
                <w:color w:val="auto"/>
              </w:rPr>
            </w:pPr>
          </w:p>
        </w:tc>
      </w:tr>
      <w:tr>
        <w:trPr>
          <w:trHeight w:val="623"/>
        </w:trPr>
        <w:tc>
          <w:tcPr>
            <w:tcW w:w="280" w:type="dxa"/>
            <w:vAlign w:val="bottom"/>
          </w:tcPr>
          <w:p>
            <w:pPr>
              <w:spacing w:after="0"/>
              <w:rPr>
                <w:sz w:val="24"/>
                <w:szCs w:val="24"/>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4,281,622</w:t>
            </w: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6,124,163</w:t>
            </w:r>
          </w:p>
        </w:tc>
        <w:tc>
          <w:tcPr>
            <w:tcW w:w="2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271,473</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370,887</w:t>
            </w:r>
          </w:p>
        </w:tc>
        <w:tc>
          <w:tcPr>
            <w:tcW w:w="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2,961,886</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2,445,605</w:t>
            </w:r>
          </w:p>
        </w:tc>
        <w:tc>
          <w:tcPr>
            <w:tcW w:w="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3,034,110</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20" w:type="dxa"/>
            <w:vAlign w:val="bottom"/>
          </w:tcPr>
          <w:p>
            <w:pPr>
              <w:spacing w:after="0"/>
              <w:rPr>
                <w:sz w:val="18"/>
                <w:szCs w:val="18"/>
                <w:color w:val="auto"/>
              </w:rPr>
            </w:pPr>
          </w:p>
        </w:tc>
      </w:tr>
      <w:tr>
        <w:trPr>
          <w:trHeight w:val="230"/>
        </w:trPr>
        <w:tc>
          <w:tcPr>
            <w:tcW w:w="28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3,143,671</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3,630,700</w:t>
            </w:r>
          </w:p>
        </w:tc>
        <w:tc>
          <w:tcPr>
            <w:tcW w:w="20" w:type="dxa"/>
            <w:vAlign w:val="bottom"/>
          </w:tcPr>
          <w:p>
            <w:pPr>
              <w:spacing w:after="0"/>
              <w:rPr>
                <w:sz w:val="19"/>
                <w:szCs w:val="19"/>
                <w:color w:val="auto"/>
              </w:rPr>
            </w:pPr>
          </w:p>
        </w:tc>
      </w:tr>
      <w:tr>
        <w:trPr>
          <w:trHeight w:val="234"/>
        </w:trPr>
        <w:tc>
          <w:tcPr>
            <w:tcW w:w="28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2,008,561</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679,655</w:t>
            </w:r>
          </w:p>
        </w:tc>
        <w:tc>
          <w:tcPr>
            <w:tcW w:w="20" w:type="dxa"/>
            <w:vAlign w:val="bottom"/>
          </w:tcPr>
          <w:p>
            <w:pPr>
              <w:spacing w:after="0"/>
              <w:rPr>
                <w:sz w:val="20"/>
                <w:szCs w:val="20"/>
                <w:color w:val="auto"/>
              </w:rPr>
            </w:pPr>
          </w:p>
        </w:tc>
      </w:tr>
      <w:tr>
        <w:trPr>
          <w:trHeight w:val="209"/>
        </w:trPr>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15,701,323</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16,285,120</w:t>
            </w:r>
          </w:p>
        </w:tc>
        <w:tc>
          <w:tcPr>
            <w:tcW w:w="20" w:type="dxa"/>
            <w:vAlign w:val="bottom"/>
            <w:tcBorders>
              <w:bottom w:val="single" w:sz="8" w:color="auto"/>
            </w:tcBorders>
          </w:tcPr>
          <w:p>
            <w:pPr>
              <w:spacing w:after="0"/>
              <w:rPr>
                <w:sz w:val="18"/>
                <w:szCs w:val="18"/>
                <w:color w:val="auto"/>
              </w:rPr>
            </w:pPr>
          </w:p>
        </w:tc>
      </w:tr>
      <w:tr>
        <w:trPr>
          <w:trHeight w:val="453"/>
        </w:trPr>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40,506,481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51,295,857</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-2562225</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-2287905</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-2013585</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-1731010</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-1439545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-1165225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-890905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-616585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-325120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60" w:space="600"/>
            <w:col w:w="7480"/>
          </w:cols>
          <w:pgMar w:left="320" w:top="792" w:right="339" w:bottom="245" w:gutter="0" w:footer="0" w:header="0"/>
        </w:sectPr>
      </w:pPr>
    </w:p>
    <w:tbl>
      <w:tblPr>
        <w:tblLayout w:type="fixed"/>
        <w:tblInd w:w="0" w:type="dxa"/>
        <w:tblCellMar>
          <w:top w:w="0" w:type="dxa"/>
          <w:left w:w="0" w:type="dxa"/>
          <w:bottom w:w="0" w:type="dxa"/>
          <w:right w:w="0" w:type="dxa"/>
        </w:tblCellMar>
      </w:tblPr>
      <w:tr>
        <w:trPr>
          <w:trHeight w:val="196"/>
        </w:trPr>
        <w:tc>
          <w:tcPr>
            <w:tcW w:w="2180" w:type="dxa"/>
            <w:vAlign w:val="bottom"/>
            <w:shd w:val="clear" w:color="auto" w:fill="EEEEEE"/>
          </w:tcPr>
          <w:p>
            <w:pPr>
              <w:spacing w:after="0"/>
              <w:rPr>
                <w:sz w:val="17"/>
                <w:szCs w:val="17"/>
                <w:color w:val="auto"/>
              </w:rPr>
            </w:pPr>
          </w:p>
        </w:tc>
        <w:tc>
          <w:tcPr>
            <w:tcW w:w="5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175"/>
        </w:trPr>
        <w:tc>
          <w:tcPr>
            <w:tcW w:w="7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LIABILITIES AND EQUITY</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18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net</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8,034,949</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11,227,116</w:t>
            </w:r>
          </w:p>
        </w:tc>
      </w:tr>
      <w:tr>
        <w:trPr>
          <w:trHeight w:val="216"/>
        </w:trPr>
        <w:tc>
          <w:tcPr>
            <w:tcW w:w="74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3,241,283</w:t>
            </w:r>
          </w:p>
        </w:tc>
        <w:tc>
          <w:tcPr>
            <w:tcW w:w="4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3,885,487</w:t>
            </w: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1,392,146</w:t>
            </w:r>
          </w:p>
        </w:tc>
        <w:tc>
          <w:tcPr>
            <w:tcW w:w="4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2,039,301</w:t>
            </w:r>
          </w:p>
        </w:tc>
      </w:tr>
      <w:tr>
        <w:trPr>
          <w:trHeight w:val="216"/>
        </w:trPr>
        <w:tc>
          <w:tcPr>
            <w:tcW w:w="74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Short-term loan payable</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491,214</w:t>
            </w: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loan payable - related party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74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Revolving loan payable, net</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5,500,739</w:t>
            </w:r>
          </w:p>
        </w:tc>
      </w:tr>
      <w:tr>
        <w:trPr>
          <w:trHeight w:val="229"/>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278,769</w:t>
            </w:r>
          </w:p>
        </w:tc>
        <w:tc>
          <w:tcPr>
            <w:tcW w:w="4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276,158</w:t>
            </w:r>
          </w:p>
        </w:tc>
      </w:tr>
      <w:tr>
        <w:trPr>
          <w:trHeight w:val="210"/>
        </w:trPr>
        <w:tc>
          <w:tcPr>
            <w:tcW w:w="7440" w:type="dxa"/>
            <w:vAlign w:val="bottom"/>
            <w:tcBorders>
              <w:top w:val="single" w:sz="8" w:color="EEEEEE"/>
            </w:tcBorders>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12,947,147</w:t>
            </w:r>
          </w:p>
        </w:tc>
        <w:tc>
          <w:tcPr>
            <w:tcW w:w="2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23,770,015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21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revolving loan payable, net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3,573,896</w:t>
            </w:r>
          </w:p>
        </w:tc>
        <w:tc>
          <w:tcPr>
            <w:tcW w:w="4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3,267,491</w:t>
            </w:r>
          </w:p>
        </w:tc>
        <w:tc>
          <w:tcPr>
            <w:tcW w:w="4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4,509,809</w:t>
            </w:r>
          </w:p>
        </w:tc>
      </w:tr>
      <w:tr>
        <w:trPr>
          <w:trHeight w:val="210"/>
        </w:trPr>
        <w:tc>
          <w:tcPr>
            <w:tcW w:w="7440" w:type="dxa"/>
            <w:vAlign w:val="bottom"/>
            <w:tcBorders>
              <w:bottom w:val="single" w:sz="8" w:color="EEEEEE"/>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2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6,841,387</w:t>
            </w:r>
          </w:p>
        </w:tc>
        <w:tc>
          <w:tcPr>
            <w:tcW w:w="22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4,509,809</w:t>
            </w:r>
          </w:p>
        </w:tc>
        <w:tc>
          <w:tcPr>
            <w:tcW w:w="100" w:type="dxa"/>
            <w:vAlign w:val="bottom"/>
            <w:tcBorders>
              <w:bottom w:val="single" w:sz="8" w:color="EEEEEE"/>
            </w:tcBorders>
          </w:tcPr>
          <w:p>
            <w:pPr>
              <w:spacing w:after="0"/>
              <w:rPr>
                <w:sz w:val="18"/>
                <w:szCs w:val="18"/>
                <w:color w:val="auto"/>
              </w:rPr>
            </w:pPr>
          </w:p>
        </w:tc>
      </w:tr>
      <w:tr>
        <w:trPr>
          <w:trHeight w:val="210"/>
        </w:trPr>
        <w:tc>
          <w:tcPr>
            <w:tcW w:w="2180" w:type="dxa"/>
            <w:vAlign w:val="bottom"/>
            <w:shd w:val="clear" w:color="auto" w:fill="EEEEEE"/>
          </w:tcPr>
          <w:p>
            <w:pPr>
              <w:spacing w:after="0"/>
              <w:rPr>
                <w:sz w:val="18"/>
                <w:szCs w:val="18"/>
                <w:color w:val="auto"/>
              </w:rPr>
            </w:pPr>
          </w:p>
        </w:tc>
        <w:tc>
          <w:tcPr>
            <w:tcW w:w="5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19,788,534</w:t>
            </w:r>
          </w:p>
        </w:tc>
        <w:tc>
          <w:tcPr>
            <w:tcW w:w="4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28,279,824</w:t>
            </w:r>
          </w:p>
        </w:tc>
      </w:tr>
      <w:tr>
        <w:trPr>
          <w:trHeight w:val="210"/>
        </w:trPr>
        <w:tc>
          <w:tcPr>
            <w:tcW w:w="2180" w:type="dxa"/>
            <w:vAlign w:val="bottom"/>
            <w:tcBorders>
              <w:top w:val="single" w:sz="8" w:color="EEEEEE"/>
            </w:tcBorders>
            <w:shd w:val="clear" w:color="auto" w:fill="EEEEEE"/>
          </w:tcPr>
          <w:p>
            <w:pPr>
              <w:spacing w:after="0"/>
              <w:rPr>
                <w:sz w:val="18"/>
                <w:szCs w:val="18"/>
                <w:color w:val="auto"/>
              </w:rPr>
            </w:pPr>
          </w:p>
        </w:tc>
        <w:tc>
          <w:tcPr>
            <w:tcW w:w="52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80" w:type="dxa"/>
            <w:vAlign w:val="bottom"/>
            <w:shd w:val="clear" w:color="auto" w:fill="EEEEEE"/>
          </w:tcPr>
          <w:p>
            <w:pPr>
              <w:spacing w:after="0"/>
              <w:rPr>
                <w:sz w:val="18"/>
                <w:szCs w:val="18"/>
                <w:color w:val="auto"/>
              </w:rPr>
            </w:pPr>
          </w:p>
        </w:tc>
        <w:tc>
          <w:tcPr>
            <w:tcW w:w="5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gridSpan w:val="2"/>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20,000,000 shares authorized; 0 shares issued and outstanding at</w:t>
            </w:r>
          </w:p>
        </w:tc>
        <w:tc>
          <w:tcPr>
            <w:tcW w:w="1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74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March 31, 2025 and June 30, 2024</w:t>
            </w:r>
          </w:p>
        </w:tc>
        <w:tc>
          <w:tcPr>
            <w:tcW w:w="12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180,000,000 shares authorized; 31,359,899 shares issued and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outstanding at March 31, 2025 and June 30, 2024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31,361</w:t>
            </w:r>
          </w:p>
        </w:tc>
        <w:tc>
          <w:tcPr>
            <w:tcW w:w="4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31,361</w:t>
            </w:r>
          </w:p>
        </w:tc>
      </w:tr>
      <w:tr>
        <w:trPr>
          <w:trHeight w:val="216"/>
        </w:trPr>
        <w:tc>
          <w:tcPr>
            <w:tcW w:w="74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33,321,103</w:t>
            </w:r>
          </w:p>
        </w:tc>
        <w:tc>
          <w:tcPr>
            <w:tcW w:w="4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33,463,883</w:t>
            </w: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(12,380,662)</w:t>
            </w:r>
          </w:p>
        </w:tc>
        <w:tc>
          <w:tcPr>
            <w:tcW w:w="4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(10,230,601)</w:t>
            </w:r>
          </w:p>
        </w:tc>
      </w:tr>
      <w:tr>
        <w:trPr>
          <w:trHeight w:val="216"/>
        </w:trPr>
        <w:tc>
          <w:tcPr>
            <w:tcW w:w="74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(46,969)</w:t>
            </w:r>
          </w:p>
        </w:tc>
        <w:tc>
          <w:tcPr>
            <w:tcW w:w="4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(38,204)</w:t>
            </w:r>
          </w:p>
        </w:tc>
      </w:tr>
      <w:tr>
        <w:trPr>
          <w:trHeight w:val="230"/>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(206,886)</w:t>
            </w:r>
          </w:p>
        </w:tc>
        <w:tc>
          <w:tcPr>
            <w:tcW w:w="4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(210,406)</w:t>
            </w:r>
          </w:p>
        </w:tc>
      </w:tr>
      <w:tr>
        <w:trPr>
          <w:trHeight w:val="209"/>
        </w:trPr>
        <w:tc>
          <w:tcPr>
            <w:tcW w:w="7440" w:type="dxa"/>
            <w:vAlign w:val="bottom"/>
            <w:tcBorders>
              <w:top w:val="single" w:sz="8" w:color="EEEEEE"/>
            </w:tcBorders>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20,717,947</w:t>
            </w:r>
          </w:p>
        </w:tc>
        <w:tc>
          <w:tcPr>
            <w:tcW w:w="2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23,016,033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21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40,506,481</w:t>
            </w:r>
          </w:p>
        </w:tc>
        <w:tc>
          <w:tcPr>
            <w:tcW w:w="440" w:type="dxa"/>
            <w:vAlign w:val="bottom"/>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51,295,857</w:t>
            </w:r>
          </w:p>
        </w:tc>
      </w:tr>
      <w:tr>
        <w:trPr>
          <w:trHeight w:val="20"/>
        </w:trPr>
        <w:tc>
          <w:tcPr>
            <w:tcW w:w="2180" w:type="dxa"/>
            <w:vAlign w:val="bottom"/>
            <w:tcBorders>
              <w:top w:val="single" w:sz="8" w:color="EEEEEE"/>
            </w:tcBorders>
          </w:tcPr>
          <w:p>
            <w:pPr>
              <w:spacing w:after="0" w:line="20" w:lineRule="exact"/>
              <w:rPr>
                <w:sz w:val="1"/>
                <w:szCs w:val="1"/>
                <w:color w:val="auto"/>
              </w:rPr>
            </w:pPr>
          </w:p>
        </w:tc>
        <w:tc>
          <w:tcPr>
            <w:tcW w:w="52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245"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Nine Months Ended March 31, 2025 and 2024</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6"/>
          </w:tcPr>
          <w:p>
            <w:pPr>
              <w:jc w:val="right"/>
              <w:ind w:right="841"/>
              <w:spacing w:after="0"/>
              <w:rPr>
                <w:sz w:val="20"/>
                <w:szCs w:val="20"/>
                <w:color w:val="auto"/>
              </w:rPr>
            </w:pPr>
            <w:r>
              <w:rPr>
                <w:rFonts w:ascii="Times New Roman" w:cs="Times New Roman" w:eastAsia="Times New Roman" w:hAnsi="Times New Roman"/>
                <w:sz w:val="18"/>
                <w:szCs w:val="18"/>
                <w:color w:val="auto"/>
              </w:rPr>
              <w:t>For the Three Months</w:t>
            </w:r>
          </w:p>
        </w:tc>
        <w:tc>
          <w:tcPr>
            <w:tcW w:w="300" w:type="dxa"/>
            <w:vAlign w:val="bottom"/>
          </w:tcPr>
          <w:p>
            <w:pPr>
              <w:spacing w:after="0"/>
              <w:rPr>
                <w:sz w:val="18"/>
                <w:szCs w:val="18"/>
                <w:color w:val="auto"/>
              </w:rPr>
            </w:pPr>
          </w:p>
        </w:tc>
        <w:tc>
          <w:tcPr>
            <w:tcW w:w="270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Ended March 31,</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color w:val="auto"/>
              </w:rPr>
              <w:t>Ended March 31,</w:t>
            </w:r>
          </w:p>
        </w:tc>
      </w:tr>
      <w:tr>
        <w:trPr>
          <w:trHeight w:val="234"/>
        </w:trPr>
        <w:tc>
          <w:tcPr>
            <w:tcW w:w="5080" w:type="dxa"/>
            <w:vAlign w:val="bottom"/>
            <w:tcBorders>
              <w:bottom w:val="single" w:sz="8" w:color="EEEEE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EEEEEE"/>
            </w:tcBorders>
          </w:tcPr>
          <w:p>
            <w:pPr>
              <w:spacing w:after="0"/>
              <w:rPr>
                <w:sz w:val="20"/>
                <w:szCs w:val="20"/>
                <w:color w:val="auto"/>
              </w:rPr>
            </w:pPr>
          </w:p>
        </w:tc>
        <w:tc>
          <w:tcPr>
            <w:tcW w:w="100" w:type="dxa"/>
            <w:vAlign w:val="bottom"/>
            <w:tcBorders>
              <w:bottom w:val="single" w:sz="8" w:color="EEEEEE"/>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4"/>
              </w:rPr>
              <w:t>2024</w:t>
            </w:r>
          </w:p>
        </w:tc>
        <w:tc>
          <w:tcPr>
            <w:tcW w:w="220" w:type="dxa"/>
            <w:vAlign w:val="bottom"/>
            <w:tcBorders>
              <w:bottom w:val="single" w:sz="8" w:color="EEEEE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1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15,546,233</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22,593,081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51,428,534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65,901,577</w:t>
            </w: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Service income</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1,023,445</w:t>
            </w: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715,427</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3,222,236</w:t>
            </w: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715,427</w:t>
            </w:r>
          </w:p>
        </w:tc>
        <w:tc>
          <w:tcPr>
            <w:tcW w:w="80" w:type="dxa"/>
            <w:vAlign w:val="bottom"/>
            <w:shd w:val="clear" w:color="auto" w:fill="EEEEEE"/>
          </w:tcPr>
          <w:p>
            <w:pPr>
              <w:spacing w:after="0"/>
              <w:rPr>
                <w:sz w:val="18"/>
                <w:szCs w:val="18"/>
                <w:color w:val="auto"/>
              </w:rPr>
            </w:pPr>
          </w:p>
        </w:tc>
      </w:tr>
      <w:tr>
        <w:trPr>
          <w:trHeight w:val="209"/>
        </w:trPr>
        <w:tc>
          <w:tcPr>
            <w:tcW w:w="508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16,569,678</w:t>
            </w: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23,308,508</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54,650,770</w:t>
            </w:r>
          </w:p>
        </w:tc>
        <w:tc>
          <w:tcPr>
            <w:tcW w:w="2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66,617,004</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Product costs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8,512,709</w:t>
            </w: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12,360,170</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27,891,276</w:t>
            </w: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36,591,581</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costs</w:t>
            </w:r>
          </w:p>
        </w:tc>
        <w:tc>
          <w:tcPr>
            <w:tcW w:w="3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879,995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581,229</w:t>
            </w:r>
          </w:p>
        </w:tc>
        <w:tc>
          <w:tcPr>
            <w:tcW w:w="3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2,704,737</w:t>
            </w: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581,229</w:t>
            </w:r>
          </w:p>
        </w:tc>
        <w:tc>
          <w:tcPr>
            <w:tcW w:w="80" w:type="dxa"/>
            <w:vAlign w:val="bottom"/>
          </w:tcPr>
          <w:p>
            <w:pPr>
              <w:spacing w:after="0"/>
              <w:rPr>
                <w:sz w:val="18"/>
                <w:szCs w:val="18"/>
                <w:color w:val="auto"/>
              </w:rPr>
            </w:pPr>
          </w:p>
        </w:tc>
      </w:tr>
      <w:tr>
        <w:trPr>
          <w:trHeight w:val="210"/>
        </w:trPr>
        <w:tc>
          <w:tcPr>
            <w:tcW w:w="508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9,392,704</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bottom w:val="single" w:sz="8" w:color="auto"/>
            </w:tcBorders>
            <w:shd w:val="clear" w:color="auto" w:fill="EEEEEE"/>
          </w:tcPr>
          <w:p>
            <w:pPr>
              <w:spacing w:after="0"/>
              <w:rPr>
                <w:sz w:val="18"/>
                <w:szCs w:val="18"/>
                <w:color w:val="auto"/>
              </w:rPr>
            </w:pP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12,941,399</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30,596,013</w:t>
            </w: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37,172,810</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7,176,974</w:t>
            </w: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10,367,109</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24,054,757</w:t>
            </w: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29,444,194</w:t>
            </w:r>
          </w:p>
        </w:tc>
        <w:tc>
          <w:tcPr>
            <w:tcW w:w="80" w:type="dxa"/>
            <w:vAlign w:val="bottom"/>
            <w:shd w:val="clear" w:color="auto" w:fill="EEEEEE"/>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fulfillment</w:t>
            </w:r>
          </w:p>
        </w:tc>
        <w:tc>
          <w:tcPr>
            <w:tcW w:w="3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5,531,751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5,444,649</w:t>
            </w:r>
          </w:p>
        </w:tc>
        <w:tc>
          <w:tcPr>
            <w:tcW w:w="3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16,075,473</w:t>
            </w: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22,445,100</w:t>
            </w: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1,914,226</w:t>
            </w: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3,321,184</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10,311,114</w:t>
            </w: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9,218,842</w:t>
            </w:r>
          </w:p>
        </w:tc>
        <w:tc>
          <w:tcPr>
            <w:tcW w:w="80" w:type="dxa"/>
            <w:vAlign w:val="bottom"/>
            <w:shd w:val="clear" w:color="auto" w:fill="EEEEEE"/>
          </w:tcPr>
          <w:p>
            <w:pPr>
              <w:spacing w:after="0"/>
              <w:rPr>
                <w:sz w:val="18"/>
                <w:szCs w:val="18"/>
                <w:color w:val="auto"/>
              </w:rPr>
            </w:pPr>
          </w:p>
        </w:tc>
      </w:tr>
      <w:tr>
        <w:trPr>
          <w:trHeight w:val="209"/>
        </w:trPr>
        <w:tc>
          <w:tcPr>
            <w:tcW w:w="508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7,445,977</w:t>
            </w: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8,765,833</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26,386,587</w:t>
            </w:r>
          </w:p>
        </w:tc>
        <w:tc>
          <w:tcPr>
            <w:tcW w:w="2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31,663,942</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(269,003)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1,601,276</w:t>
            </w:r>
          </w:p>
        </w:tc>
        <w:tc>
          <w:tcPr>
            <w:tcW w:w="3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(2,331,830)</w:t>
            </w:r>
          </w:p>
        </w:tc>
        <w:tc>
          <w:tcPr>
            <w:tcW w:w="2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(2,219,748)</w:t>
            </w:r>
          </w:p>
        </w:tc>
      </w:tr>
      <w:tr>
        <w:trPr>
          <w:trHeight w:val="210"/>
        </w:trPr>
        <w:tc>
          <w:tcPr>
            <w:tcW w:w="508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 expenses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(81,968)</w:t>
            </w: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(181,199)</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(362,602)</w:t>
            </w:r>
          </w:p>
        </w:tc>
        <w:tc>
          <w:tcPr>
            <w:tcW w:w="28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(592,176)</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3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(792)</w:t>
            </w:r>
          </w:p>
        </w:tc>
        <w:tc>
          <w:tcPr>
            <w:tcW w:w="3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(2,707)</w:t>
            </w:r>
          </w:p>
        </w:tc>
        <w:tc>
          <w:tcPr>
            <w:tcW w:w="2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(2,618)</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non-operating income (expenses)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35,601</w:t>
            </w: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(29,669)</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48,329</w:t>
            </w: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32,003</w:t>
            </w:r>
          </w:p>
        </w:tc>
        <w:tc>
          <w:tcPr>
            <w:tcW w:w="80" w:type="dxa"/>
            <w:vAlign w:val="bottom"/>
            <w:shd w:val="clear" w:color="auto" w:fill="EEEEEE"/>
          </w:tcPr>
          <w:p>
            <w:pPr>
              <w:spacing w:after="0"/>
              <w:rPr>
                <w:sz w:val="18"/>
                <w:szCs w:val="18"/>
                <w:color w:val="auto"/>
              </w:rPr>
            </w:pPr>
          </w:p>
        </w:tc>
      </w:tr>
      <w:tr>
        <w:trPr>
          <w:trHeight w:val="210"/>
        </w:trPr>
        <w:tc>
          <w:tcPr>
            <w:tcW w:w="508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(47,353</w:t>
            </w:r>
          </w:p>
        </w:tc>
        <w:tc>
          <w:tcPr>
            <w:tcW w:w="160" w:type="dxa"/>
            <w:vAlign w:val="bottom"/>
            <w:tcBorders>
              <w:bottom w:val="single" w:sz="8" w:color="EEEEEE"/>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EEEEEE"/>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(211,660</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(316,980</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(562,791</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(316,356)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1,389,616</w:t>
            </w:r>
          </w:p>
        </w:tc>
        <w:tc>
          <w:tcPr>
            <w:tcW w:w="3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(2,648,810)</w:t>
            </w:r>
          </w:p>
        </w:tc>
        <w:tc>
          <w:tcPr>
            <w:tcW w:w="2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(2,782,539)</w:t>
            </w:r>
          </w:p>
        </w:tc>
      </w:tr>
      <w:tr>
        <w:trPr>
          <w:trHeight w:val="216"/>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3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26,017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377,147</w:t>
            </w:r>
          </w:p>
        </w:tc>
        <w:tc>
          <w:tcPr>
            <w:tcW w:w="30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(489,984)</w:t>
            </w:r>
          </w:p>
        </w:tc>
        <w:tc>
          <w:tcPr>
            <w:tcW w:w="28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(587,674)</w:t>
            </w:r>
          </w:p>
        </w:tc>
      </w:tr>
      <w:tr>
        <w:trPr>
          <w:trHeight w:val="210"/>
        </w:trPr>
        <w:tc>
          <w:tcPr>
            <w:tcW w:w="5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(342,373)</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1,012,469</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(2,158,826)</w:t>
            </w: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(2,194,865)</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(3,613)</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(8,765)</w:t>
            </w:r>
          </w:p>
        </w:tc>
        <w:tc>
          <w:tcPr>
            <w:tcW w:w="28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(9,604)</w:t>
            </w:r>
          </w:p>
        </w:tc>
      </w:tr>
      <w:tr>
        <w:trPr>
          <w:trHeight w:val="216"/>
        </w:trPr>
        <w:tc>
          <w:tcPr>
            <w:tcW w:w="5080" w:type="dxa"/>
            <w:vAlign w:val="bottom"/>
            <w:tcBorders>
              <w:bottom w:val="single" w:sz="8" w:color="EEEEEE"/>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37"/>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INCOME ATTRIBUTABLE TO IPOWER INC.</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(339,599)</w:t>
            </w:r>
          </w:p>
        </w:tc>
        <w:tc>
          <w:tcPr>
            <w:tcW w:w="58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1,016,082</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(2,150,061)</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(2,185,261)</w:t>
            </w:r>
          </w:p>
        </w:tc>
      </w:t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(97,556)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69,122</w:t>
            </w:r>
          </w:p>
        </w:tc>
        <w:tc>
          <w:tcPr>
            <w:tcW w:w="3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3,520</w:t>
            </w:r>
          </w:p>
        </w:tc>
        <w:tc>
          <w:tcPr>
            <w:tcW w:w="2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(91,840)</w:t>
            </w:r>
          </w:p>
        </w:tc>
      </w:tr>
      <w:tr>
        <w:trPr>
          <w:trHeight w:val="216"/>
        </w:trPr>
        <w:tc>
          <w:tcPr>
            <w:tcW w:w="508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60" w:type="dxa"/>
            <w:vAlign w:val="bottom"/>
            <w:tcBorders>
              <w:bottom w:val="single" w:sz="8" w:color="auto"/>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tcBorders>
              <w:bottom w:val="single" w:sz="8" w:color="auto"/>
            </w:tcBorders>
            <w:shd w:val="clear" w:color="auto" w:fill="EEEEEE"/>
          </w:tcPr>
          <w:p>
            <w:pPr>
              <w:spacing w:after="0"/>
              <w:rPr>
                <w:sz w:val="18"/>
                <w:szCs w:val="18"/>
                <w:color w:val="auto"/>
              </w:rPr>
            </w:pPr>
          </w:p>
        </w:tc>
        <w:tc>
          <w:tcPr>
            <w:tcW w:w="840" w:type="dxa"/>
            <w:vAlign w:val="bottom"/>
            <w:tcBorders>
              <w:bottom w:val="single" w:sz="8" w:color="auto"/>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40" w:type="dxa"/>
            <w:vAlign w:val="bottom"/>
            <w:tcBorders>
              <w:bottom w:val="single" w:sz="8" w:color="auto"/>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tcBorders>
              <w:bottom w:val="single" w:sz="8" w:color="auto"/>
            </w:tcBorders>
            <w:shd w:val="clear" w:color="auto" w:fill="EEEEEE"/>
          </w:tcPr>
          <w:p>
            <w:pPr>
              <w:spacing w:after="0"/>
              <w:rPr>
                <w:sz w:val="18"/>
                <w:szCs w:val="18"/>
                <w:color w:val="auto"/>
              </w:rPr>
            </w:pPr>
          </w:p>
        </w:tc>
        <w:tc>
          <w:tcPr>
            <w:tcW w:w="1060" w:type="dxa"/>
            <w:vAlign w:val="bottom"/>
            <w:tcBorders>
              <w:bottom w:val="single" w:sz="8" w:color="auto"/>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178"/>
        </w:trPr>
        <w:tc>
          <w:tcPr>
            <w:tcW w:w="50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COMPREHENSIVE (LOSS) INCOME ATTRIBUTABLE TO</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01"/>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IPOWER INC.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(437,155)</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1,085,204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(2,146,541)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(2,277,101)</w:t>
            </w:r>
          </w:p>
        </w:tc>
      </w:tr>
      <w:tr>
        <w:trPr>
          <w:trHeight w:val="196"/>
        </w:trPr>
        <w:tc>
          <w:tcPr>
            <w:tcW w:w="508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60" w:type="dxa"/>
            <w:vAlign w:val="bottom"/>
            <w:tcBorders>
              <w:top w:val="single" w:sz="8" w:color="auto"/>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480" w:type="dxa"/>
            <w:vAlign w:val="bottom"/>
            <w:tcBorders>
              <w:top w:val="single" w:sz="8" w:color="auto"/>
            </w:tcBorders>
            <w:shd w:val="clear" w:color="auto" w:fill="EEEEEE"/>
          </w:tcPr>
          <w:p>
            <w:pPr>
              <w:spacing w:after="0"/>
              <w:rPr>
                <w:sz w:val="17"/>
                <w:szCs w:val="17"/>
                <w:color w:val="auto"/>
              </w:rPr>
            </w:pPr>
          </w:p>
        </w:tc>
        <w:tc>
          <w:tcPr>
            <w:tcW w:w="8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tcBorders>
            <w:shd w:val="clear" w:color="auto" w:fill="EEEEEE"/>
          </w:tcPr>
          <w:p>
            <w:pPr>
              <w:spacing w:after="0"/>
              <w:rPr>
                <w:sz w:val="17"/>
                <w:szCs w:val="17"/>
                <w:color w:val="auto"/>
              </w:rPr>
            </w:pPr>
          </w:p>
        </w:tc>
        <w:tc>
          <w:tcPr>
            <w:tcW w:w="106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STOCK</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31,455,248</w:t>
            </w: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29,821,811</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31,434,479</w:t>
            </w: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29,791,990</w:t>
            </w:r>
          </w:p>
        </w:tc>
        <w:tc>
          <w:tcPr>
            <w:tcW w:w="80" w:type="dxa"/>
            <w:vAlign w:val="bottom"/>
            <w:shd w:val="clear" w:color="auto" w:fill="EEEEEE"/>
          </w:tcPr>
          <w:p>
            <w:pPr>
              <w:spacing w:after="0"/>
              <w:rPr>
                <w:sz w:val="18"/>
                <w:szCs w:val="18"/>
                <w:color w:val="auto"/>
              </w:rPr>
            </w:pPr>
          </w:p>
        </w:tc>
      </w:tr>
      <w:tr>
        <w:trPr>
          <w:trHeight w:val="20"/>
        </w:trPr>
        <w:tc>
          <w:tcPr>
            <w:tcW w:w="50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r>
      <w:tr>
        <w:trPr>
          <w:trHeight w:val="196"/>
        </w:trPr>
        <w:tc>
          <w:tcPr>
            <w:tcW w:w="5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31,455,248</w:t>
            </w: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29,821,811</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31,434,479</w:t>
            </w: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29,791,990</w:t>
            </w:r>
          </w:p>
        </w:tc>
        <w:tc>
          <w:tcPr>
            <w:tcW w:w="80" w:type="dxa"/>
            <w:vAlign w:val="bottom"/>
            <w:shd w:val="clear" w:color="auto" w:fill="EEEEEE"/>
          </w:tcPr>
          <w:p>
            <w:pPr>
              <w:spacing w:after="0"/>
              <w:rPr>
                <w:sz w:val="18"/>
                <w:szCs w:val="18"/>
                <w:color w:val="auto"/>
              </w:rPr>
            </w:pPr>
          </w:p>
        </w:tc>
      </w:tr>
      <w:tr>
        <w:trPr>
          <w:trHeight w:val="20"/>
        </w:trPr>
        <w:tc>
          <w:tcPr>
            <w:tcW w:w="50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r>
      <w:tr>
        <w:trPr>
          <w:trHeight w:val="197"/>
        </w:trPr>
        <w:tc>
          <w:tcPr>
            <w:tcW w:w="5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(LOSSES) EARNINGS PER SHARE</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8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(0.01)</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r>
      <w:tr>
        <w:trPr>
          <w:trHeight w:val="196"/>
        </w:trPr>
        <w:tc>
          <w:tcPr>
            <w:tcW w:w="508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60" w:type="dxa"/>
            <w:vAlign w:val="bottom"/>
            <w:tcBorders>
              <w:top w:val="single" w:sz="8" w:color="auto"/>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480" w:type="dxa"/>
            <w:vAlign w:val="bottom"/>
            <w:tcBorders>
              <w:top w:val="single" w:sz="8" w:color="auto"/>
            </w:tcBorders>
            <w:shd w:val="clear" w:color="auto" w:fill="EEEEEE"/>
          </w:tcPr>
          <w:p>
            <w:pPr>
              <w:spacing w:after="0"/>
              <w:rPr>
                <w:sz w:val="17"/>
                <w:szCs w:val="17"/>
                <w:color w:val="auto"/>
              </w:rPr>
            </w:pPr>
          </w:p>
        </w:tc>
        <w:tc>
          <w:tcPr>
            <w:tcW w:w="8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tcBorders>
            <w:shd w:val="clear" w:color="auto" w:fill="EEEEEE"/>
          </w:tcPr>
          <w:p>
            <w:pPr>
              <w:spacing w:after="0"/>
              <w:rPr>
                <w:sz w:val="17"/>
                <w:szCs w:val="17"/>
                <w:color w:val="auto"/>
              </w:rPr>
            </w:pPr>
          </w:p>
        </w:tc>
        <w:tc>
          <w:tcPr>
            <w:tcW w:w="106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(0.01)</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974"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Nine Months Ended March 31 , 2025 and 2024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color w:val="auto"/>
              </w:rPr>
              <w:t>Accumulated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Retained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99"/>
              <w:spacing w:after="0"/>
              <w:rPr>
                <w:sz w:val="20"/>
                <w:szCs w:val="20"/>
                <w:color w:val="auto"/>
              </w:rPr>
            </w:pPr>
            <w:r>
              <w:rPr>
                <w:rFonts w:ascii="Times New Roman" w:cs="Times New Roman" w:eastAsia="Times New Roman" w:hAnsi="Times New Roman"/>
                <w:sz w:val="16"/>
                <w:szCs w:val="16"/>
                <w:color w:val="auto"/>
                <w:w w:val="97"/>
              </w:rPr>
              <w:t>other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Additional</w:t>
            </w:r>
          </w:p>
        </w:tc>
        <w:tc>
          <w:tcPr>
            <w:tcW w:w="10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Non-</w:t>
            </w:r>
          </w:p>
        </w:tc>
        <w:tc>
          <w:tcPr>
            <w:tcW w:w="130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color w:val="auto"/>
                <w:w w:val="99"/>
              </w:rPr>
              <w:t>Comprehensive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22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color w:val="auto"/>
              </w:rPr>
              <w:t>Common Stock</w:t>
            </w: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Paid in</w:t>
            </w: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w w:val="99"/>
              </w:rPr>
              <w:t>controlling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99"/>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18"/>
                <w:szCs w:val="18"/>
                <w:color w:val="auto"/>
              </w:rPr>
            </w:pPr>
          </w:p>
        </w:tc>
        <w:tc>
          <w:tcPr>
            <w:tcW w:w="11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Capital</w:t>
            </w:r>
          </w:p>
        </w:tc>
        <w:tc>
          <w:tcPr>
            <w:tcW w:w="10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w w:val="97"/>
              </w:rPr>
              <w:t>interest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99"/>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3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Balance, June 30, 2024</w:t>
            </w: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31,359,899</w:t>
            </w:r>
          </w:p>
        </w:tc>
        <w:tc>
          <w:tcPr>
            <w:tcW w:w="2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31,361</w:t>
            </w:r>
          </w:p>
        </w:tc>
        <w:tc>
          <w:tcPr>
            <w:tcW w:w="2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33,463,883</w:t>
            </w:r>
          </w:p>
        </w:tc>
        <w:tc>
          <w:tcPr>
            <w:tcW w:w="22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94"/>
              </w:rPr>
              <w:t>(10,230,601)</w:t>
            </w:r>
          </w:p>
        </w:tc>
        <w:tc>
          <w:tcPr>
            <w:tcW w:w="14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(38,204)</w:t>
            </w:r>
          </w:p>
        </w:tc>
        <w:tc>
          <w:tcPr>
            <w:tcW w:w="14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(210,406)</w:t>
            </w:r>
          </w:p>
        </w:tc>
        <w:tc>
          <w:tcPr>
            <w:tcW w:w="2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23,016,033</w:t>
            </w: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(2,029,281)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(2,032,117)</w:t>
            </w:r>
          </w:p>
        </w:tc>
        <w:tc>
          <w:tcPr>
            <w:tcW w:w="0" w:type="dxa"/>
            <w:vAlign w:val="bottom"/>
          </w:tcPr>
          <w:p>
            <w:pPr>
              <w:spacing w:after="0"/>
              <w:rPr>
                <w:sz w:val="1"/>
                <w:szCs w:val="1"/>
                <w:color w:val="auto"/>
              </w:rPr>
            </w:pPr>
          </w:p>
        </w:tc>
      </w:tr>
      <w:tr>
        <w:trPr>
          <w:trHeight w:val="203"/>
        </w:trPr>
        <w:tc>
          <w:tcPr>
            <w:tcW w:w="34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7"/>
                <w:szCs w:val="17"/>
                <w:color w:val="auto"/>
              </w:rPr>
            </w:pPr>
          </w:p>
        </w:tc>
        <w:tc>
          <w:tcPr>
            <w:tcW w:w="9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205,960</w:t>
            </w:r>
          </w:p>
        </w:tc>
        <w:tc>
          <w:tcPr>
            <w:tcW w:w="1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6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205,960</w:t>
            </w: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(55,054)</w:t>
            </w: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(55,054)</w:t>
            </w:r>
          </w:p>
        </w:tc>
        <w:tc>
          <w:tcPr>
            <w:tcW w:w="0" w:type="dxa"/>
            <w:vAlign w:val="bottom"/>
          </w:tcPr>
          <w:p>
            <w:pPr>
              <w:spacing w:after="0"/>
              <w:rPr>
                <w:sz w:val="1"/>
                <w:szCs w:val="1"/>
                <w:color w:val="auto"/>
              </w:rPr>
            </w:pPr>
          </w:p>
        </w:tc>
      </w:tr>
      <w:tr>
        <w:trPr>
          <w:trHeight w:val="209"/>
        </w:trPr>
        <w:tc>
          <w:tcPr>
            <w:tcW w:w="34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Balance, September 30, 2024, unaudited</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31,359,899</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31,361</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33,669,843</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(12,259,882</w:t>
            </w:r>
          </w:p>
        </w:tc>
        <w:tc>
          <w:tcPr>
            <w:tcW w:w="14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(41,040</w:t>
            </w:r>
          </w:p>
        </w:tc>
        <w:tc>
          <w:tcPr>
            <w:tcW w:w="14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(265,460</w:t>
            </w:r>
          </w:p>
        </w:tc>
        <w:tc>
          <w:tcPr>
            <w:tcW w:w="220" w:type="dxa"/>
            <w:vAlign w:val="bottom"/>
            <w:tcBorders>
              <w:top w:val="single" w:sz="8" w:color="EEEEEE"/>
              <w:bottom w:val="single" w:sz="8" w:color="EEEEEE"/>
            </w:tcBorders>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21,134,822</w:t>
            </w: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6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215,664</w:t>
            </w: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7"/>
                <w:szCs w:val="17"/>
                <w:color w:val="auto"/>
              </w:rPr>
            </w:pPr>
          </w:p>
        </w:tc>
        <w:tc>
          <w:tcPr>
            <w:tcW w:w="9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197,313</w:t>
            </w:r>
          </w:p>
        </w:tc>
        <w:tc>
          <w:tcPr>
            <w:tcW w:w="1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6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197,313</w:t>
            </w: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156,130</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156,130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Balance, December 31, 2024, unaudited</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31,359,899</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31,361</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33,867,156</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(12,041,063</w:t>
            </w:r>
          </w:p>
        </w:tc>
        <w:tc>
          <w:tcPr>
            <w:tcW w:w="14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(44,195</w:t>
            </w:r>
          </w:p>
        </w:tc>
        <w:tc>
          <w:tcPr>
            <w:tcW w:w="14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(109,330</w:t>
            </w:r>
          </w:p>
        </w:tc>
        <w:tc>
          <w:tcPr>
            <w:tcW w:w="220" w:type="dxa"/>
            <w:vAlign w:val="bottom"/>
            <w:tcBorders>
              <w:top w:val="single" w:sz="8" w:color="EEEEEE"/>
              <w:bottom w:val="single" w:sz="8" w:color="EEEEEE"/>
            </w:tcBorders>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21,703,929</w:t>
            </w: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6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(339,599)</w:t>
            </w:r>
          </w:p>
        </w:tc>
        <w:tc>
          <w:tcPr>
            <w:tcW w:w="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(342,373)</w:t>
            </w:r>
          </w:p>
        </w:tc>
        <w:tc>
          <w:tcPr>
            <w:tcW w:w="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Reversal of unvested stock-based compensation</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7"/>
                <w:szCs w:val="17"/>
                <w:color w:val="auto"/>
              </w:rPr>
            </w:pPr>
          </w:p>
        </w:tc>
        <w:tc>
          <w:tcPr>
            <w:tcW w:w="9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(546,053)</w:t>
            </w:r>
          </w:p>
        </w:tc>
        <w:tc>
          <w:tcPr>
            <w:tcW w:w="1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6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7"/>
                <w:szCs w:val="17"/>
                <w:color w:val="auto"/>
              </w:rPr>
            </w:pPr>
          </w:p>
        </w:tc>
        <w:tc>
          <w:tcPr>
            <w:tcW w:w="88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(546,053)</w:t>
            </w:r>
          </w:p>
        </w:tc>
        <w:tc>
          <w:tcPr>
            <w:tcW w:w="0" w:type="dxa"/>
            <w:vAlign w:val="bottom"/>
          </w:tcPr>
          <w:p>
            <w:pPr>
              <w:spacing w:after="0"/>
              <w:rPr>
                <w:sz w:val="1"/>
                <w:szCs w:val="1"/>
                <w:color w:val="auto"/>
              </w:rPr>
            </w:pPr>
          </w:p>
        </w:tc>
      </w:tr>
      <w:tr>
        <w:trPr>
          <w:trHeight w:val="213"/>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(97,556)</w:t>
            </w: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(97,556)</w:t>
            </w:r>
          </w:p>
        </w:tc>
        <w:tc>
          <w:tcPr>
            <w:tcW w:w="0" w:type="dxa"/>
            <w:vAlign w:val="bottom"/>
          </w:tcPr>
          <w:p>
            <w:pPr>
              <w:spacing w:after="0"/>
              <w:rPr>
                <w:sz w:val="1"/>
                <w:szCs w:val="1"/>
                <w:color w:val="auto"/>
              </w:rPr>
            </w:pPr>
          </w:p>
        </w:tc>
      </w:tr>
      <w:tr>
        <w:trPr>
          <w:trHeight w:val="210"/>
        </w:trPr>
        <w:tc>
          <w:tcPr>
            <w:tcW w:w="34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Balance, March 31, 2025, unaudited</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31,359,899</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31,361</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33,321,103</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(12,380,662</w:t>
            </w:r>
          </w:p>
        </w:tc>
        <w:tc>
          <w:tcPr>
            <w:tcW w:w="14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(46,969</w:t>
            </w:r>
          </w:p>
        </w:tc>
        <w:tc>
          <w:tcPr>
            <w:tcW w:w="14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(206,886</w:t>
            </w:r>
          </w:p>
        </w:tc>
        <w:tc>
          <w:tcPr>
            <w:tcW w:w="220" w:type="dxa"/>
            <w:vAlign w:val="bottom"/>
            <w:tcBorders>
              <w:top w:val="single" w:sz="8" w:color="EEEEEE"/>
              <w:bottom w:val="single" w:sz="8" w:color="EEEEEE"/>
            </w:tcBorders>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20,717,947</w:t>
            </w: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3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Balance, June 30, 2023</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29,710,939</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29,712</w:t>
            </w:r>
          </w:p>
        </w:tc>
        <w:tc>
          <w:tcPr>
            <w:tcW w:w="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29,624,520</w:t>
            </w:r>
          </w:p>
        </w:tc>
        <w:tc>
          <w:tcPr>
            <w:tcW w:w="10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(8,702,442)</w:t>
            </w:r>
          </w:p>
        </w:tc>
        <w:tc>
          <w:tcPr>
            <w:tcW w:w="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(24,915)</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rPr>
              <w:t>(62,134)</w:t>
            </w:r>
          </w:p>
        </w:tc>
        <w:tc>
          <w:tcPr>
            <w:tcW w:w="12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20,864,741</w:t>
            </w: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(1,286,515)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(1,289,351)</w:t>
            </w:r>
          </w:p>
        </w:tc>
        <w:tc>
          <w:tcPr>
            <w:tcW w:w="0" w:type="dxa"/>
            <w:vAlign w:val="bottom"/>
          </w:tcPr>
          <w:p>
            <w:pPr>
              <w:spacing w:after="0"/>
              <w:rPr>
                <w:sz w:val="1"/>
                <w:szCs w:val="1"/>
                <w:color w:val="auto"/>
              </w:rPr>
            </w:pPr>
          </w:p>
        </w:tc>
      </w:tr>
      <w:tr>
        <w:trPr>
          <w:trHeight w:val="203"/>
        </w:trPr>
        <w:tc>
          <w:tcPr>
            <w:tcW w:w="34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7"/>
                <w:szCs w:val="17"/>
                <w:color w:val="auto"/>
              </w:rPr>
            </w:pPr>
          </w:p>
        </w:tc>
        <w:tc>
          <w:tcPr>
            <w:tcW w:w="9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117,882</w:t>
            </w:r>
          </w:p>
        </w:tc>
        <w:tc>
          <w:tcPr>
            <w:tcW w:w="1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6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7"/>
                <w:szCs w:val="17"/>
                <w:color w:val="auto"/>
              </w:rPr>
            </w:pPr>
          </w:p>
        </w:tc>
        <w:tc>
          <w:tcPr>
            <w:tcW w:w="8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117,882</w:t>
            </w:r>
          </w:p>
        </w:tc>
        <w:tc>
          <w:tcPr>
            <w:tcW w:w="0" w:type="dxa"/>
            <w:vAlign w:val="bottom"/>
          </w:tcPr>
          <w:p>
            <w:pPr>
              <w:spacing w:after="0"/>
              <w:rPr>
                <w:sz w:val="1"/>
                <w:szCs w:val="1"/>
                <w:color w:val="auto"/>
              </w:rPr>
            </w:pPr>
          </w:p>
        </w:tc>
      </w:tr>
      <w:tr>
        <w:trPr>
          <w:trHeight w:val="213"/>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(707)</w:t>
            </w: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(707)</w:t>
            </w:r>
          </w:p>
        </w:tc>
        <w:tc>
          <w:tcPr>
            <w:tcW w:w="0" w:type="dxa"/>
            <w:vAlign w:val="bottom"/>
          </w:tcPr>
          <w:p>
            <w:pPr>
              <w:spacing w:after="0"/>
              <w:rPr>
                <w:sz w:val="1"/>
                <w:szCs w:val="1"/>
                <w:color w:val="auto"/>
              </w:rPr>
            </w:pPr>
          </w:p>
        </w:tc>
      </w:tr>
      <w:tr>
        <w:trPr>
          <w:trHeight w:val="210"/>
        </w:trPr>
        <w:tc>
          <w:tcPr>
            <w:tcW w:w="34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Balance, September 30, 2023, unaudited</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29,710,939</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29,712</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29,742,402</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(9,988,957</w:t>
            </w:r>
          </w:p>
        </w:tc>
        <w:tc>
          <w:tcPr>
            <w:tcW w:w="14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(27,751</w:t>
            </w:r>
          </w:p>
        </w:tc>
        <w:tc>
          <w:tcPr>
            <w:tcW w:w="14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(62,841</w:t>
            </w:r>
          </w:p>
        </w:tc>
        <w:tc>
          <w:tcPr>
            <w:tcW w:w="220" w:type="dxa"/>
            <w:vAlign w:val="bottom"/>
            <w:tcBorders>
              <w:top w:val="single" w:sz="8" w:color="EEEEEE"/>
              <w:bottom w:val="single" w:sz="8" w:color="EEEEEE"/>
            </w:tcBorders>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19,692,565</w:t>
            </w: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6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(1,914,828)</w:t>
            </w:r>
          </w:p>
        </w:tc>
        <w:tc>
          <w:tcPr>
            <w:tcW w:w="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(1,917,983)</w:t>
            </w:r>
          </w:p>
        </w:tc>
        <w:tc>
          <w:tcPr>
            <w:tcW w:w="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7"/>
                <w:szCs w:val="17"/>
                <w:color w:val="auto"/>
              </w:rPr>
            </w:pPr>
          </w:p>
        </w:tc>
        <w:tc>
          <w:tcPr>
            <w:tcW w:w="9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141,245</w:t>
            </w:r>
          </w:p>
        </w:tc>
        <w:tc>
          <w:tcPr>
            <w:tcW w:w="1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6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141,245</w:t>
            </w: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(160,255)</w:t>
            </w: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(160,255)</w:t>
            </w:r>
          </w:p>
        </w:tc>
        <w:tc>
          <w:tcPr>
            <w:tcW w:w="0" w:type="dxa"/>
            <w:vAlign w:val="bottom"/>
          </w:tcPr>
          <w:p>
            <w:pPr>
              <w:spacing w:after="0"/>
              <w:rPr>
                <w:sz w:val="1"/>
                <w:szCs w:val="1"/>
                <w:color w:val="auto"/>
              </w:rPr>
            </w:pPr>
          </w:p>
        </w:tc>
      </w:tr>
      <w:tr>
        <w:trPr>
          <w:trHeight w:val="210"/>
        </w:trPr>
        <w:tc>
          <w:tcPr>
            <w:tcW w:w="34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Balance, December 31, 2023, unaudited</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29,710,939</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29,712</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29,883,647</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(11,903,785</w:t>
            </w:r>
          </w:p>
        </w:tc>
        <w:tc>
          <w:tcPr>
            <w:tcW w:w="14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(30,906</w:t>
            </w:r>
          </w:p>
        </w:tc>
        <w:tc>
          <w:tcPr>
            <w:tcW w:w="14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(223,096</w:t>
            </w:r>
          </w:p>
        </w:tc>
        <w:tc>
          <w:tcPr>
            <w:tcW w:w="220" w:type="dxa"/>
            <w:vAlign w:val="bottom"/>
            <w:tcBorders>
              <w:top w:val="single" w:sz="8" w:color="EEEEEE"/>
              <w:bottom w:val="single" w:sz="8" w:color="EEEEEE"/>
            </w:tcBorders>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17,755,572</w:t>
            </w: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6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1,016,082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1,012,469</w:t>
            </w: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7"/>
                <w:szCs w:val="17"/>
                <w:color w:val="auto"/>
              </w:rPr>
            </w:pPr>
          </w:p>
        </w:tc>
        <w:tc>
          <w:tcPr>
            <w:tcW w:w="9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130,457</w:t>
            </w:r>
          </w:p>
        </w:tc>
        <w:tc>
          <w:tcPr>
            <w:tcW w:w="1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6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130,457</w:t>
            </w: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 shares issued for vested RSUs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107,293</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7"/>
                <w:szCs w:val="17"/>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69,122</w:t>
            </w:r>
          </w:p>
        </w:tc>
        <w:tc>
          <w:tcPr>
            <w:tcW w:w="1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69,122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Balance, March 31, 2024, unaudited</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29,818,232</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29,819</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30,013,997</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(10,887,703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(34,519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(153,974</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18,967,620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Nine Months Ended March 31, 2025 and 2024</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color w:val="auto"/>
              </w:rPr>
              <w:t>For the Nine Months Ended March 31,</w:t>
            </w:r>
          </w:p>
        </w:tc>
        <w:tc>
          <w:tcPr>
            <w:tcW w:w="0" w:type="dxa"/>
            <w:vAlign w:val="bottom"/>
          </w:tcPr>
          <w:p>
            <w:pPr>
              <w:spacing w:after="0"/>
              <w:rPr>
                <w:sz w:val="1"/>
                <w:szCs w:val="1"/>
                <w:color w:val="auto"/>
              </w:rPr>
            </w:pPr>
          </w:p>
        </w:tc>
      </w:tr>
      <w:tr>
        <w:trPr>
          <w:trHeight w:val="234"/>
        </w:trPr>
        <w:tc>
          <w:tcPr>
            <w:tcW w:w="6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(2,158,826)</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(2,194,865)</w:t>
            </w: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cash (used in) provided by operating activities:</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586,481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599,241</w:t>
            </w: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Inventory reserve</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288,474</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222,755</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Credit loss reserve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1,569,029</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2,707</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(reversal) expense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(142,780)</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389,584</w:t>
            </w: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 of use assets</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1,408,508</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1,204,996</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premium / discount and non-cash financing costs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125,906</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167,312</w:t>
            </w: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2,991,825</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(2,772,149)</w:t>
            </w: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485,100</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8,498,848</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(516,281)</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(601,170)</w:t>
            </w: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(314,434)</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1,226,083</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Non-current prepayments and other non-current assets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188,315</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256,889</w:t>
            </w: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(3,229,667)</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954,095</w:t>
            </w: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(331,742)</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(1,594,968)</w:t>
            </w: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(1,455,440)</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(1,208,551)</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2,611</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09"/>
        </w:trPr>
        <w:tc>
          <w:tcPr>
            <w:tcW w:w="692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6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(500,214)</w:t>
            </w: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5,151,956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for software development</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(1,519,928)</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2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(1,519,928)</w:t>
            </w: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offering cost settlement</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(325,000)</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short-term loans - related party</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short-term loans - related party</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(350,000)</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short-term loans</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(483,599)</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revolving loan</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7,789,674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2,950,000</w:t>
            </w:r>
          </w:p>
        </w:tc>
        <w:tc>
          <w:tcPr>
            <w:tcW w:w="0" w:type="dxa"/>
            <w:vAlign w:val="bottom"/>
          </w:tcPr>
          <w:p>
            <w:pPr>
              <w:spacing w:after="0"/>
              <w:rPr>
                <w:sz w:val="1"/>
                <w:szCs w:val="1"/>
                <w:color w:val="auto"/>
              </w:rPr>
            </w:pPr>
          </w:p>
        </w:tc>
      </w:tr>
      <w:tr>
        <w:trPr>
          <w:trHeight w:val="230"/>
        </w:trPr>
        <w:tc>
          <w:tcPr>
            <w:tcW w:w="69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revolving loan</w:t>
            </w:r>
          </w:p>
        </w:tc>
        <w:tc>
          <w:tcPr>
            <w:tcW w:w="6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(9,800,000)</w:t>
            </w: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(7,300,000)</w:t>
            </w:r>
          </w:p>
        </w:tc>
        <w:tc>
          <w:tcPr>
            <w:tcW w:w="0" w:type="dxa"/>
            <w:vAlign w:val="bottom"/>
          </w:tcPr>
          <w:p>
            <w:pPr>
              <w:spacing w:after="0"/>
              <w:rPr>
                <w:sz w:val="1"/>
                <w:szCs w:val="1"/>
                <w:color w:val="auto"/>
              </w:rPr>
            </w:pPr>
          </w:p>
        </w:tc>
      </w:tr>
      <w:tr>
        <w:trPr>
          <w:trHeight w:val="210"/>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(3,168,925)</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3,484</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(72,874)</w:t>
            </w: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CASH AND CASH EQUIVALENT</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(5,185,583)</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(1,020,918)</w:t>
            </w: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 beginning of period</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7,377,837</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3,735,642</w:t>
            </w:r>
          </w:p>
        </w:tc>
        <w:tc>
          <w:tcPr>
            <w:tcW w:w="0" w:type="dxa"/>
            <w:vAlign w:val="bottom"/>
          </w:tcPr>
          <w:p>
            <w:pPr>
              <w:spacing w:after="0"/>
              <w:rPr>
                <w:sz w:val="1"/>
                <w:szCs w:val="1"/>
                <w:color w:val="auto"/>
              </w:rPr>
            </w:pPr>
          </w:p>
        </w:tc>
      </w:tr>
      <w:tr>
        <w:trPr>
          <w:trHeight w:val="210"/>
        </w:trPr>
        <w:tc>
          <w:tcPr>
            <w:tcW w:w="6920" w:type="dxa"/>
            <w:vAlign w:val="bottom"/>
            <w:tcBorders>
              <w:top w:val="single" w:sz="8" w:color="EEEEEE"/>
            </w:tcBorders>
            <w:shd w:val="clear" w:color="auto" w:fill="EEEEEE"/>
          </w:tcPr>
          <w:p>
            <w:pPr>
              <w:spacing w:after="0"/>
              <w:rPr>
                <w:sz w:val="18"/>
                <w:szCs w:val="18"/>
                <w:color w:val="auto"/>
              </w:rPr>
            </w:pPr>
          </w:p>
        </w:tc>
        <w:tc>
          <w:tcPr>
            <w:tcW w:w="6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 end of period</w:t>
            </w:r>
          </w:p>
        </w:tc>
        <w:tc>
          <w:tcPr>
            <w:tcW w:w="8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2,192,254</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2,714,724</w:t>
            </w:r>
          </w:p>
        </w:tc>
        <w:tc>
          <w:tcPr>
            <w:tcW w:w="0" w:type="dxa"/>
            <w:vAlign w:val="bottom"/>
          </w:tcPr>
          <w:p>
            <w:pPr>
              <w:spacing w:after="0"/>
              <w:rPr>
                <w:sz w:val="1"/>
                <w:szCs w:val="1"/>
                <w:color w:val="auto"/>
              </w:rPr>
            </w:pPr>
          </w:p>
        </w:tc>
      </w:tr>
      <w:tr>
        <w:trPr>
          <w:trHeight w:val="196"/>
        </w:trPr>
        <w:tc>
          <w:tcPr>
            <w:tcW w:w="6920" w:type="dxa"/>
            <w:vAlign w:val="bottom"/>
            <w:tcBorders>
              <w:top w:val="single" w:sz="8" w:color="EEEEEE"/>
            </w:tcBorders>
            <w:shd w:val="clear" w:color="auto" w:fill="EEEEEE"/>
          </w:tcPr>
          <w:p>
            <w:pPr>
              <w:spacing w:after="0"/>
              <w:rPr>
                <w:sz w:val="17"/>
                <w:szCs w:val="17"/>
                <w:color w:val="auto"/>
              </w:rPr>
            </w:pPr>
          </w:p>
        </w:tc>
        <w:tc>
          <w:tcPr>
            <w:tcW w:w="64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4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380" w:type="dxa"/>
            <w:vAlign w:val="bottom"/>
            <w:tcBorders>
              <w:top w:val="single" w:sz="8" w:color="auto"/>
            </w:tcBorders>
            <w:shd w:val="clear" w:color="auto" w:fill="EEEEEE"/>
          </w:tcPr>
          <w:p>
            <w:pPr>
              <w:spacing w:after="0"/>
              <w:rPr>
                <w:sz w:val="17"/>
                <w:szCs w:val="17"/>
                <w:color w:val="auto"/>
              </w:rPr>
            </w:pPr>
          </w:p>
        </w:tc>
        <w:tc>
          <w:tcPr>
            <w:tcW w:w="130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paid for income tax</w:t>
            </w:r>
          </w:p>
        </w:tc>
        <w:tc>
          <w:tcPr>
            <w:tcW w:w="880" w:type="dxa"/>
            <w:vAlign w:val="bottom"/>
            <w:gridSpan w:val="2"/>
            <w:shd w:val="clear" w:color="auto" w:fill="EEEEEE"/>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20" w:type="dxa"/>
            <w:vAlign w:val="bottom"/>
            <w:tcBorders>
              <w:top w:val="single" w:sz="8" w:color="EEEEEE"/>
              <w:bottom w:val="single" w:sz="8" w:color="EEEEEE"/>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640" w:type="dxa"/>
            <w:vAlign w:val="bottom"/>
            <w:tcBorders>
              <w:top w:val="single" w:sz="8" w:color="EEEEEE"/>
              <w:bottom w:val="single" w:sz="8" w:color="EEEEEE"/>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bottom w:val="single" w:sz="8" w:color="EEEEEE"/>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20" w:type="dxa"/>
            <w:vAlign w:val="bottom"/>
            <w:tcBorders>
              <w:bottom w:val="single" w:sz="8" w:color="EEEEEE"/>
            </w:tcBorders>
            <w:vMerge w:val="continue"/>
          </w:tcPr>
          <w:p>
            <w:pPr>
              <w:spacing w:after="0"/>
              <w:rPr>
                <w:sz w:val="20"/>
                <w:szCs w:val="20"/>
                <w:color w:val="auto"/>
              </w:rPr>
            </w:pPr>
          </w:p>
        </w:tc>
        <w:tc>
          <w:tcPr>
            <w:tcW w:w="640" w:type="dxa"/>
            <w:vAlign w:val="bottom"/>
            <w:tcBorders>
              <w:bottom w:val="single" w:sz="8" w:color="EEEEEE"/>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207,064</w:t>
            </w:r>
          </w:p>
        </w:tc>
        <w:tc>
          <w:tcPr>
            <w:tcW w:w="220" w:type="dxa"/>
            <w:vAlign w:val="bottom"/>
            <w:tcBorders>
              <w:bottom w:val="single" w:sz="8" w:color="EEEEEE"/>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273,438</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92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Termination of operating leases</w:t>
            </w:r>
          </w:p>
        </w:tc>
        <w:tc>
          <w:tcPr>
            <w:tcW w:w="880" w:type="dxa"/>
            <w:vAlign w:val="bottom"/>
            <w:gridSpan w:val="2"/>
            <w:shd w:val="clear" w:color="auto" w:fill="EEEEEE"/>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434,033</w:t>
            </w:r>
          </w:p>
        </w:tc>
        <w:tc>
          <w:tcPr>
            <w:tcW w:w="380" w:type="dxa"/>
            <w:vAlign w:val="bottom"/>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acquired under new operating leases</w:t>
            </w:r>
          </w:p>
        </w:tc>
        <w:tc>
          <w:tcPr>
            <w:tcW w:w="8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632,732</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2025 and June 30, 2024 and for the Three and Nine Months Ended March 31, 2025 and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organization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iPower Inc., formerly known as BZRTH Inc., a Nevada corporation (the “Company”), was incorporated on April 11, 2018. The Company is principally engaged in the marketing and sale of consumer home, garden and other products and accessories mainly in the North America.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E Marketing Solution Inc. (“E Marketing”), an entity incorporated in California and owned by one of the minority shareholders of the Company. As a result, E Marketing became the Company’s wholly-owned subsidiary.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Global Product Marketing Inc. (“GPM”), an entity which was incorporated in the State of Nevada on September 4, 2020, and was owned by Chenlong Tan, the Company’s Chairman, CEO and President, and one of the majority shareholders of the Company. As a result, GPM became the Company’s wholly-owned subsidiary.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and formed a Nevada limited liability company, Box Harmony, LLC (“Box Harmony”), for the principal purpose of providing logistics services primarily for foreign-based manufacturers or distributors who desire to sell their products online in the United States, with such logistics services to include, without limitation, receiving, storing and transporting such products. The Company owns 40% of the equity interest in Box Harmony, retaining significant influence while not owning a majority equity interest in or otherwise controlling Box Harmony. See details at Note 3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another joint venture agreement and formed a Nevada limited liability company, Global Social Media, LLC (“GSM”), for the principal purpose of creating a social media platform in order to provide content and services to assist businesses, including the Company and other businesses, in marketing their products. The Company owns 60% of the equity interest in GSM and controls its operations. See details at Note 3 below.</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which is a wholly foreign-owned enterprise (“WFOE”) of Fly Elephant Limited. The WFOE controls, through contractual arrangements summarized in Note 4 below, the business, revenues and profits of Daheshou (Shenzhen) Information Technology Co., Ltd., a company organized under the Laws of the PRC (“DHS”) and located in Shenzhen, China. See details on Note 4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and variable interest entity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2025, or for any other interim period or for any other future year. All intercompany balances and transactions have been eliminated in consolidation.</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the notes thereto included in the Annual Report on Form 10-K for the year ended June 30, 2024, which was filed with the SEC on September 20, 2024.</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E Marketing Solution Inc., Global Product Marketing Inc., Global Social Media, LLC, and Anivia Limited and its subsidiaries and VIE, including Fly Elephant Limited, Dayourenzai (Shenzhen) Technology Co., Ltd., and Daheshou (Shenzhen) Information Technology Co., Ltd. All inter-company balances and transactions have been eliminated.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Prior Period Reclassification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amounts in the unaudited condensed consolidated statements of operations and cash flows have been reclassified to conform to the current period presentation, including reclassifications made in the presentation of service income and costs and cash flows from operating activities. These reclassifications had no impact on the prior year’s financial statements as a whole.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Emerging Growth Company Status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utilizing the emerging growth company reduced reporting requirements difficult.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 and assumptions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translation and transactions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reporting and functional currency of iPower and its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The balance sheet amounts of the VIE, with the exception of equity, on March 31, 2025, were translated at 7.2096 RMB to $1.00. The equity accounts were stated at their historical rates. The average translation rates applied to statements of operations and comprehensive income (loss) accounts for the nine months ended March 31, 2025 was 7.2633 RMB to $1.00. Cash flows were also translated at average translation rates for the period and, therefore, amounts reported on the statement of cash flows would not necessarily agree with changes in the corresponding balances on the unaudited condensed consolidated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of amounts held as cash on hand and financial institution and financial service company deposits.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maintain bank balances in interest bearing accounts in excess of the $250,000, which is currently the maximum amount insured by the FDIC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which includes the amount withheld by sales channel partners and refundable to the Company. Based on historical and expected loss rate and status of negotiations with the sales channel partner, management reviews its accounts receivable balances each reporting period to determine if an allowance for credit loss is required.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comply with its payment schedule;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in serious financial difficulty;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of its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between the customer and the Company is not active;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objective evidence indicates non-collectability of the accounts receivable.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overall economic conditions on our customers’ industry and businesses and their ability to pay our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and the recent tariff policy. In the event we recover amounts previously written off, we will reduce the specific allowance for credit losses. In late October 2024, the Company determined that the collectability of certain refundable amounts withheld by sales channel partners was remote so we recorded additional allowance for credit losses. For the three and nine months ended March 31, 2025 the credit loss was $52,089 and $1,569,029, respectively.</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Equity method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ownership interest in Box Harmony, a 40%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Box Harmony’s statement of operations and a corresponding charge or credit to the carrying value of the asset.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March 31, 2025 and 2024, the Company performed a qualitative goodwill impairment analysis following the steps laid out in ASC 350-20-35-3C and noted no goodwill impairment. As of March 31, 2025 and June 30, 2024, the goodwill balance amounted to $3,034,110.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March 31, 2025 include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Borders>
              <w:bottom w:val="single" w:sz="8" w:color="EEEEEE"/>
            </w:tcBorders>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Useful Life</w:t>
            </w:r>
          </w:p>
        </w:tc>
      </w:tr>
      <w:tr>
        <w:trPr>
          <w:trHeight w:val="210"/>
        </w:trPr>
        <w:tc>
          <w:tcPr>
            <w:tcW w:w="6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4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6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4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March 31, 2025 and 2024, there were no indicators of impairment.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all other current assets and liabilities approximate fair values due to their short-term nature.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have any assets or liabilities measured at fair value on a recurring basis. We measure certain non-financial assets on a non-recurring basis, including goodwill.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revenues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sales are recorded. Sales return allowances are estimated based on historical amounts and are recorded upon recognizing the related sales. Shipping and handling costs are recorded as selling expenses.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Total advertising and promotional costs included in selling and fulfillment expenses for the three and nine months ended March 31, 2025 and 2024 were as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18"/>
                <w:szCs w:val="18"/>
                <w:color w:val="auto"/>
              </w:rPr>
            </w:pPr>
          </w:p>
        </w:tc>
        <w:tc>
          <w:tcPr>
            <w:tcW w:w="28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EEEEE"/>
            </w:tcBorders>
          </w:tcPr>
          <w:p>
            <w:pPr>
              <w:spacing w:after="0"/>
              <w:rPr>
                <w:sz w:val="19"/>
                <w:szCs w:val="19"/>
                <w:color w:val="auto"/>
              </w:rPr>
            </w:pPr>
          </w:p>
        </w:tc>
      </w:tr>
      <w:tr>
        <w:trPr>
          <w:trHeight w:val="223"/>
        </w:trPr>
        <w:tc>
          <w:tcPr>
            <w:tcW w:w="462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60" w:type="dxa"/>
            <w:vAlign w:val="bottom"/>
            <w:tcBorders>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696,148</w:t>
            </w:r>
          </w:p>
        </w:tc>
        <w:tc>
          <w:tcPr>
            <w:tcW w:w="240" w:type="dxa"/>
            <w:vAlign w:val="bottom"/>
            <w:tcBorders>
              <w:bottom w:val="single" w:sz="8" w:color="EEEEEE"/>
            </w:tcBorders>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819,827</w:t>
            </w:r>
          </w:p>
        </w:tc>
        <w:tc>
          <w:tcPr>
            <w:tcW w:w="200" w:type="dxa"/>
            <w:vAlign w:val="bottom"/>
            <w:tcBorders>
              <w:bottom w:val="single" w:sz="8" w:color="EEEEEE"/>
            </w:tcBorders>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1,978,228</w:t>
            </w:r>
          </w:p>
        </w:tc>
        <w:tc>
          <w:tcPr>
            <w:tcW w:w="200" w:type="dxa"/>
            <w:vAlign w:val="bottom"/>
            <w:tcBorders>
              <w:bottom w:val="single" w:sz="8" w:color="EEEEEE"/>
            </w:tcBorders>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3,529,809</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revenue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product sales revenue mainly consists of costs for purchases of products, net of purchase discounts and rebates, and related inbound freight and delivery fees. Cost of service income consists of direct fees charged by outside service providers.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which consist of selling and fulfillment and general and administrative expenses, are expensed as incurred. Vendor warranty credits resulting from refund of returns on quality issues are recorded to offset merchant selling fees. During the nine months ended March 31, 2025 and 2024, the Company recorded vendor credits of $48,903 and $858,456,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Issuance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the issuance of debt are deferred and amortized as interest expense over the term of the related debt using the effective interest method. To the extent that the debt is outstanding, these amounts are reflected in the unaudited condensed consolidated balance sheets as direct deductions from the carrying amount of the outstanding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offering costs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accounting and other third-party fees that are directly related to an equity financing that is probable of successful completion until such financing is consummated. After consummation of an equity financing, these costs are recorded as a reduction of the proceeds received as a result of the offering. Should a planned equity financing be abandoned, terminated or significantly delayed, the deferred offering costs are immediately written off to operating expenses in the consolidated statements of operations and comprehensive income (loss) in the period of determination. As of March 31, 2025 and June 30, 2024, there were no deferred offering costs included in the Company’s consolidated balance sheets.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nine months ended March 31, 2025 and 2024, sales through Amazon to Canada and other foreign countries were approximately 6.3% and 8.5% of the Company’s total sales, respectively. During the nine months ended March 31, 2025, sales of hydroponic products, including ventilation and grow light systems, was approximately 15.9% of the Company’s total product sales and the remaining 84.1% consisted of general gardening, home goods, and other products and accessories. During the nine months ended March 31, 2024, sales of hydroponic products, including ventilation and grow light systems, were approximately 21.7% of the Company’s total product sales and the remaining 78.3% consisted of general gardening, home goods and other products and accessories. As of March 31, 2025 and June 30, 2024, the Company had approximately $1.3 million and $1.9 million of inventory stored in China. The Company’s majority of long-lived assets are located in California, United States, majority of the deferred tax assets are US related, and a majority of the Company’s revenues are derived from within the United States.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right-of-use (“ROU”) assets and related lease obligations on the balance sheet.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costs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costs related to the award should not be recognized (or should be reversed) because the vesting condition in the award has not been satisfied. The Company also revisits the anticipated timing for meeting the performance conditions. As per ASC 718-10-55-78, if the expected number of awards to vest and the fair value remain the same under the new estimates, with the adjustment solely impacting the timing of recognition, the Company will apply the prospective approach to record the adjustment.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A valuation allowance must be established for deferred tax assets when it is more-likely-than-not (a probability level of more than 50%) that they will not be realized. Valuation allowances are recorded, when necessary, to reduce deferred tax assets to the amount expected to be realized.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 In assessing the recoverability of its deferred tax assets, the Company evaluates available positive and negative evidence to estimate whether it is more likely than not that sufficient future taxable income will be generated to permit use of the existing deferred tax assets in each taxing jurisdiction.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contingencies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Income Statement—Reporting Comprehensive Income—Expense Disaggregation Disclosures (Subtopic 220-40): Disaggregation of Income Statement Expenses. This ASU requires public companies to disclose, in the notes to financial statements, specified information about certain costs and expenses at each interim and annual reporting period. The FASB further clarified the effective date in January 2025 with the issuance of ASU 2025-01,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Expense Disaggregation Disclosures (Subtopic 220-40): Clarifying the Effective Date </w:t>
      </w:r>
      <w:r>
        <w:rPr>
          <w:rFonts w:ascii="Times New Roman" w:cs="Times New Roman" w:eastAsia="Times New Roman" w:hAnsi="Times New Roman"/>
          <w:sz w:val="18"/>
          <w:szCs w:val="18"/>
          <w:color w:val="auto"/>
        </w:rPr>
        <w:t>(“ASU 2025-01”). ASU 2024-03 is effective for annual periods beginning after December 15, 2026, and interim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annual reporting periods beginning after December 15, 2027, with early adoption permitted. The requirements should be applied on a prospective basis while retrospective application is permitted. The Company plans to adopt this pronouncement for its fiscal year beginning July 1, 2027, and is in the process of analyzing the impact on its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ASU’s amendments are effective for public business entities for annual periods beginning after December 15, 2024. For entities other than public business entities, the amendments are effective for annual periods beginning after December 15, 2025. Entities are permitted to early adopt the standard “for annual financial statements that have not yet been issued or made available for issuance.” The amendments should be applied on a prospective basis. Retrospective application is permitted. The Company does not expect the adoption of this standard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apply to all public entities that are required to report segment information in accordance with Topic 280, Segment Reporting. The amendments in this ASU are intended to improve reportable segment disclosure requirements primarily through enhanced disclosures about significant segment expenses. The key amendments: 1. Require that a public entity disclose, on an annual and interim basis, significant segment expenses that are regularly provided to the chief operating decision maker (CODM) and included within each reported measure of segment profit or loss. 2.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3. Require that a public entity provide all annual disclosures about a reportable segment’s profit or loss and assets currently required by FASB Accounting Standards Codification® Topic 280, Segment Reporting, in interim periods.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5. Require that a public entity disclose the title and position of the CODM and an explanation of how the CODM uses the reported measure(s) of segment profit or loss in assessing segment performance and deciding how to allocate resources. 6. Require that a public entity that has a single reportable segment provide all the disclosures required by the amendments in the ASU and all existing segment disclosures in Topic 280. This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adoption of this standard did not have a material impact on its consolidated financial statements.</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In SEC Release No. 33-10532, Disclosure Update and Simplification, issued August 17, 2018, the SEC referred certain of its disclosure requirements that overlap with, but require incremental information to, generally accepted accounting principles to the FASB for potential incorporation into the Codification. The ASU incorporates into the Codification 14 of the 27 disclosures referred by the SEC. They modify the disclosure or presentation requirements of a variety of Topics in the Codification. The requirements are relatively narrow in nature. Some of the amendments represent clarifications to, or technical corrections of, the current requirements. Because of the variety of Topics amended, a broad range of entities may be affected by one or more of those amendments.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this standard to have a material impact on its consolidated financial statements.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its consolidated financial statements.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Subsequent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unaudited condensed consolidated financial statements are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Joint Ventures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Box Harmony, LLC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has not exercised the option to purchase additional voting units from Xiao and TPA. The LLC Agreement prohibits the issuance of additional Equity Units and certain other actions unless approved in advance by the Company, that a noncontrolling right that would not be substantive to overcome the majority voting interests held by TPA and Xiao. In January 2023, TPA and Xiao transferred their 60% equity units to a third party without consideration as the LLC was still in development stage and did not have significant operations. The transfer of equity did not have any impact on the LLC’s financial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the Company owns 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Social Media,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As of the date of this report, the members had not completed the capital contributions and no receivables were recorded.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Agreements, the Company owns 60% of the equity interest in GSM and control of GSM’s operations. Based on ASU 2015-02, the Company consolidates GSM into its financial statements due to its majority equity ownership and control over operations. For the nine months ended March 31, 2025 and 2024, the impact of GSM’s activities were immaterial to the Company’s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Variable interest entity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February 15, 2022, upon acquisition of Anivia, the Company assumed the contractual arrangements between the WFOE and DHS through a variable interest operating entity structure. On September 26, 2024, Mr. Zanyu Li, the equity owner of DHS transferred his shares to Ms. Xiaoyun Liu. Ms. Liu has become the Manager and Legal Representative of DHS and assumed all responsibilities and obligations of Mr. Zanyu Li. The transfer of equity ownership did not change the control the Company had on the VIE, therefore there was no impact on the Company’s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provide financial or other support to the VIE for the periods presented where the Company was not otherwise contractually required to provide such support.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June 30, 2024, there was no pledge or collateralization of the VIE assets that would be used to settle obligations of the VIE.</w:t>
      </w:r>
    </w:p>
    <w:p>
      <w:pPr>
        <w:spacing w:after="0" w:line="200" w:lineRule="exact"/>
        <w:rPr>
          <w:sz w:val="20"/>
          <w:szCs w:val="20"/>
          <w:color w:val="auto"/>
        </w:rPr>
      </w:pPr>
    </w:p>
    <w:p>
      <w:pPr>
        <w:spacing w:after="0" w:line="241"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carrying amounts of the assets, liabilities and the results of operations of the VIE included in the Company’s unaudited condensed consolidated balance sheets and statements of operations and comprehensive income after the elimination of intercompany balances and transactions with the VIE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amount of the VIE’s assets and liabilities were as follows for the periods indicated: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7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in bank</w:t>
            </w:r>
          </w:p>
        </w:tc>
        <w:tc>
          <w:tcPr>
            <w:tcW w:w="1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195,773</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222,648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39,099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202,904</w:t>
            </w:r>
          </w:p>
        </w:tc>
      </w:tr>
      <w:tr>
        <w:trPr>
          <w:trHeight w:val="216"/>
        </w:trPr>
        <w:tc>
          <w:tcPr>
            <w:tcW w:w="7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Rent deposit</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9,709</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72,281</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net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12,205</w:t>
            </w:r>
          </w:p>
        </w:tc>
      </w:tr>
      <w:tr>
        <w:trPr>
          <w:trHeight w:val="216"/>
        </w:trPr>
        <w:tc>
          <w:tcPr>
            <w:tcW w:w="7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Right of use – noncurrent</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434,034</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237,757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381,013</w:t>
            </w:r>
          </w:p>
        </w:tc>
      </w:tr>
      <w:tr>
        <w:trPr>
          <w:trHeight w:val="216"/>
        </w:trPr>
        <w:tc>
          <w:tcPr>
            <w:tcW w:w="7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443,059</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278,368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276,158</w:t>
            </w:r>
          </w:p>
        </w:tc>
      </w:tr>
      <w:tr>
        <w:trPr>
          <w:trHeight w:val="216"/>
        </w:trPr>
        <w:tc>
          <w:tcPr>
            <w:tcW w:w="7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556,609</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514,285</w:t>
            </w:r>
          </w:p>
        </w:tc>
      </w:tr>
      <w:tr>
        <w:trPr>
          <w:trHeight w:val="43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three and nine months ended March 31, 2025: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0"/>
        </w:trPr>
        <w:tc>
          <w:tcPr>
            <w:tcW w:w="7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loss after elimination of intercompany transactions</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(485,078)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(669,296)</w:t>
            </w:r>
          </w:p>
        </w:tc>
      </w:tr>
      <w:tr>
        <w:trPr>
          <w:trHeight w:val="41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three and nine months ended March 31, 2024: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24"/>
                <w:szCs w:val="24"/>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0"/>
        </w:trPr>
        <w:tc>
          <w:tcPr>
            <w:tcW w:w="7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after elimination of intercompany transactions</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63,898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(327,984)</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March 31, 2025, the VIE contributed approximately $0.4 million and $2.6 million of revenue and $0.4 million and $0.9 million of net loss before elimination. For the three and nine months ended March 31, 2024, the VIE contributed approximately $1.6 million and $5.5 million of revenue and $0.1 million and $0.3 million of net loss before elimination, respectively.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Accounts receivable, net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for the Company consisted of the following as of the dates indicated below:</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4"/>
                <w:szCs w:val="24"/>
                <w:color w:val="auto"/>
              </w:rPr>
            </w:pP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09"/>
        </w:trPr>
        <w:tc>
          <w:tcPr>
            <w:tcW w:w="7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12,103,654</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15,095,479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(1,924,417)</w:t>
            </w:r>
          </w:p>
        </w:tc>
        <w:tc>
          <w:tcPr>
            <w:tcW w:w="1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(355,386)</w:t>
            </w:r>
          </w:p>
        </w:tc>
        <w:tc>
          <w:tcPr>
            <w:tcW w:w="0" w:type="dxa"/>
            <w:vAlign w:val="bottom"/>
          </w:tcPr>
          <w:p>
            <w:pPr>
              <w:spacing w:after="0"/>
              <w:rPr>
                <w:sz w:val="1"/>
                <w:szCs w:val="1"/>
                <w:color w:val="auto"/>
              </w:rPr>
            </w:pPr>
          </w:p>
        </w:tc>
      </w:tr>
      <w:tr>
        <w:trPr>
          <w:trHeight w:val="223"/>
        </w:trPr>
        <w:tc>
          <w:tcPr>
            <w:tcW w:w="72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accounts receivable</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10,179,237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14,740,093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changes in allowance for credit losses on accounts receivable are summarized below:</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0" w:type="dxa"/>
            <w:vAlign w:val="bottom"/>
          </w:tcPr>
          <w:p>
            <w:pPr>
              <w:spacing w:after="0"/>
              <w:rPr>
                <w:sz w:val="1"/>
                <w:szCs w:val="1"/>
                <w:color w:val="auto"/>
              </w:rPr>
            </w:pPr>
          </w:p>
        </w:tc>
      </w:tr>
      <w:tr>
        <w:trPr>
          <w:trHeight w:val="238"/>
        </w:trPr>
        <w:tc>
          <w:tcPr>
            <w:tcW w:w="7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0" w:type="dxa"/>
            <w:vAlign w:val="bottom"/>
          </w:tcPr>
          <w:p>
            <w:pPr>
              <w:spacing w:after="0"/>
              <w:rPr>
                <w:sz w:val="1"/>
                <w:szCs w:val="1"/>
                <w:color w:val="auto"/>
              </w:rPr>
            </w:pPr>
          </w:p>
        </w:tc>
      </w:tr>
      <w:tr>
        <w:trPr>
          <w:trHeight w:val="209"/>
        </w:trPr>
        <w:tc>
          <w:tcPr>
            <w:tcW w:w="7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3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3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December 31, 2023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March 31, 2024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5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355,386</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1,475,594</w:t>
            </w:r>
          </w:p>
        </w:tc>
        <w:tc>
          <w:tcPr>
            <w:tcW w:w="0" w:type="dxa"/>
            <w:vAlign w:val="bottom"/>
          </w:tcPr>
          <w:p>
            <w:pPr>
              <w:spacing w:after="0"/>
              <w:rPr>
                <w:sz w:val="1"/>
                <w:szCs w:val="1"/>
                <w:color w:val="auto"/>
              </w:rPr>
            </w:pPr>
          </w:p>
        </w:tc>
      </w:tr>
      <w:tr>
        <w:trPr>
          <w:trHeight w:val="209"/>
        </w:trPr>
        <w:tc>
          <w:tcPr>
            <w:tcW w:w="7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1,830,980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December 31, 2024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41,346</w:t>
            </w:r>
          </w:p>
        </w:tc>
        <w:tc>
          <w:tcPr>
            <w:tcW w:w="0" w:type="dxa"/>
            <w:vAlign w:val="bottom"/>
          </w:tcPr>
          <w:p>
            <w:pPr>
              <w:spacing w:after="0"/>
              <w:rPr>
                <w:sz w:val="1"/>
                <w:szCs w:val="1"/>
                <w:color w:val="auto"/>
              </w:rPr>
            </w:pPr>
          </w:p>
        </w:tc>
      </w:tr>
      <w:tr>
        <w:trPr>
          <w:trHeight w:val="209"/>
        </w:trPr>
        <w:tc>
          <w:tcPr>
            <w:tcW w:w="7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1,872,326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March 31, 2025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52,091</w:t>
            </w:r>
          </w:p>
        </w:tc>
        <w:tc>
          <w:tcPr>
            <w:tcW w:w="0" w:type="dxa"/>
            <w:vAlign w:val="bottom"/>
          </w:tcPr>
          <w:p>
            <w:pPr>
              <w:spacing w:after="0"/>
              <w:rPr>
                <w:sz w:val="1"/>
                <w:szCs w:val="1"/>
                <w:color w:val="auto"/>
              </w:rPr>
            </w:pPr>
          </w:p>
        </w:tc>
      </w:tr>
      <w:tr>
        <w:trPr>
          <w:trHeight w:val="223"/>
        </w:trPr>
        <w:tc>
          <w:tcPr>
            <w:tcW w:w="72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5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1,924,417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June 30, 2024, inventories consisted of finished goods ready for sale, net of allowance for obsolescence, amounted to $9,772,699 and $10,546,273,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March 31, 2025, the Company recorded inventory reserve expense of $0 and $288,474, respectively. For the three and nine months ended March 31, 2024, the Company recorded inventory reserve expense of $0 and $222,755, respectively. As of March 31, 2025 and June 30, 2024, allowance for obsolescence was $936,299 and $647,825,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Prepayments and other current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June 30, 2024, prepayments and other current assets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0"/>
                <w:szCs w:val="20"/>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52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2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2,152,451</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1,567,528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10,350</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31,496</w:t>
            </w:r>
          </w:p>
        </w:tc>
      </w:tr>
      <w:tr>
        <w:trPr>
          <w:trHeight w:val="216"/>
        </w:trPr>
        <w:tc>
          <w:tcPr>
            <w:tcW w:w="5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498,167</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747,510</w:t>
            </w:r>
          </w:p>
        </w:tc>
        <w:tc>
          <w:tcPr>
            <w:tcW w:w="80" w:type="dxa"/>
            <w:vAlign w:val="bottom"/>
            <w:shd w:val="clear" w:color="auto" w:fill="EEEEEE"/>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00" w:type="dxa"/>
            <w:vAlign w:val="bottom"/>
            <w:tcBorders>
              <w:top w:val="single" w:sz="8" w:color="EEEEEE"/>
            </w:tcBorders>
            <w:shd w:val="clear" w:color="auto" w:fill="EEEEEE"/>
          </w:tcPr>
          <w:p>
            <w:pPr>
              <w:spacing w:after="0"/>
              <w:rPr>
                <w:sz w:val="18"/>
                <w:szCs w:val="18"/>
                <w:color w:val="auto"/>
              </w:rPr>
            </w:pPr>
          </w:p>
        </w:tc>
        <w:tc>
          <w:tcPr>
            <w:tcW w:w="2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5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2,660,968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2,346,534</w:t>
            </w:r>
          </w:p>
        </w:tc>
        <w:tc>
          <w:tcPr>
            <w:tcW w:w="8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receivables consisted of delivery fees of $10,698 and $3,995 from a third party for using the Company’s courier accounts at March 31, 2025 and June 30, 2024.</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allowance for credit losses on other receivables are summarized below:</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Allowance for</w:t>
            </w:r>
          </w:p>
        </w:tc>
      </w:tr>
      <w:tr>
        <w:trPr>
          <w:trHeight w:val="238"/>
        </w:trPr>
        <w:tc>
          <w:tcPr>
            <w:tcW w:w="9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210"/>
        </w:trPr>
        <w:tc>
          <w:tcPr>
            <w:tcW w:w="9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249,128</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2023</w:t>
            </w: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249,128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December 31, 2023</w:t>
            </w: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249,128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March 31, 2024</w:t>
            </w: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4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249,128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2024</w:t>
            </w: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0" w:type="dxa"/>
            <w:vAlign w:val="bottom"/>
            <w:tcBorders>
              <w:top w:val="single" w:sz="8" w:color="auto"/>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December 31, 2024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March 31, 2025</w:t>
            </w: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4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June 30, 2024, the Company collected $249,128 of aged other receivables and recorded a reduction of bad debts expense as a reversal of the allowance for credit losses.</w:t>
      </w:r>
    </w:p>
    <w:p>
      <w:pPr>
        <w:sectPr>
          <w:pgSz w:w="11900" w:h="16838" w:orient="portrait"/>
          <w:cols w:equalWidth="0" w:num="1">
            <w:col w:w="11240"/>
          </w:cols>
          <w:pgMar w:left="320" w:top="796"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June 30, 2024, intangible assets, net, consisted of the following: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not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6"/>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1" w:lineRule="exact"/>
        <w:rPr>
          <w:sz w:val="20"/>
          <w:szCs w:val="20"/>
          <w:color w:val="auto"/>
        </w:rPr>
      </w:pPr>
    </w:p>
    <w:p>
      <w:pPr>
        <w:ind w:left="966" w:hanging="966"/>
        <w:spacing w:after="0"/>
        <w:tabs>
          <w:tab w:leader="none" w:pos="9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96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110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(2,029,286)</w:t>
      </w:r>
    </w:p>
    <w:p>
      <w:pPr>
        <w:spacing w:after="0" w:line="31" w:lineRule="exact"/>
        <w:rPr>
          <w:sz w:val="20"/>
          <w:szCs w:val="20"/>
          <w:color w:val="auto"/>
        </w:rPr>
      </w:pPr>
    </w:p>
    <w:p>
      <w:pPr>
        <w:ind w:left="966" w:hanging="966"/>
        <w:spacing w:after="0"/>
        <w:tabs>
          <w:tab w:leader="none" w:pos="9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3,143,671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0718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31" w:lineRule="exact"/>
        <w:rPr>
          <w:sz w:val="20"/>
          <w:szCs w:val="20"/>
          <w:color w:val="auto"/>
        </w:rPr>
      </w:pPr>
    </w:p>
    <w:p>
      <w:pPr>
        <w:ind w:left="962" w:hanging="962"/>
        <w:spacing w:after="0"/>
        <w:tabs>
          <w:tab w:leader="none" w:pos="9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9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10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(1,542,257)</w:t>
      </w:r>
    </w:p>
    <w:p>
      <w:pPr>
        <w:spacing w:after="0" w:line="31" w:lineRule="exact"/>
        <w:rPr>
          <w:sz w:val="20"/>
          <w:szCs w:val="20"/>
          <w:color w:val="auto"/>
        </w:rPr>
      </w:pPr>
    </w:p>
    <w:p>
      <w:pPr>
        <w:ind w:left="962" w:hanging="962"/>
        <w:spacing w:after="0"/>
        <w:tabs>
          <w:tab w:leader="none" w:pos="96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3,630,700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0629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834" w:space="720"/>
            <w:col w:w="1746" w:space="158"/>
            <w:col w:w="1782"/>
          </w:cols>
          <w:pgMar w:left="320" w:top="796" w:right="339" w:bottom="1440" w:gutter="0" w:footer="0" w:header="0"/>
          <w:type w:val="continuous"/>
        </w:sectPr>
      </w:pP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intangible assets were acquired on February 15, 2022 through acquisition of Anivia. The weighted average remaining life for finite-lived intangible assets at March 31, 2025 was approximately 5.45 years. The amortization expense for the three and nine months ended March 31, 2025 was $162,343 and $487,028, respectively. The amortization expense for the three and nine months ended March 31, 2024 was $162,343 and $487,028, respectively. At March 31, 2025, finite-lived intangible assets are expected to be amortized over their estimated useful lives, which ranges from a period of five to 10 years, and the estimated remaining amortization expense for each of the five succeeding years thereafter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June 30,</w:t>
            </w:r>
          </w:p>
        </w:tc>
        <w:tc>
          <w:tcPr>
            <w:tcW w:w="300" w:type="dxa"/>
            <w:vAlign w:val="bottom"/>
          </w:tcPr>
          <w:p>
            <w:pPr>
              <w:spacing w:after="0"/>
              <w:rPr>
                <w:sz w:val="20"/>
                <w:szCs w:val="20"/>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93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2025 (excluding the first nine months of the fiscal year ending June 30, 2025)</w:t>
            </w: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162,342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649,371</w:t>
            </w:r>
          </w:p>
        </w:tc>
        <w:tc>
          <w:tcPr>
            <w:tcW w:w="0" w:type="dxa"/>
            <w:vAlign w:val="bottom"/>
          </w:tcPr>
          <w:p>
            <w:pPr>
              <w:spacing w:after="0"/>
              <w:rPr>
                <w:sz w:val="1"/>
                <w:szCs w:val="1"/>
                <w:color w:val="auto"/>
              </w:rPr>
            </w:pPr>
          </w:p>
        </w:tc>
      </w:tr>
      <w:tr>
        <w:trPr>
          <w:trHeight w:val="216"/>
        </w:trPr>
        <w:tc>
          <w:tcPr>
            <w:tcW w:w="9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609,277</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468,750</w:t>
            </w:r>
          </w:p>
        </w:tc>
        <w:tc>
          <w:tcPr>
            <w:tcW w:w="0" w:type="dxa"/>
            <w:vAlign w:val="bottom"/>
          </w:tcPr>
          <w:p>
            <w:pPr>
              <w:spacing w:after="0"/>
              <w:rPr>
                <w:sz w:val="1"/>
                <w:szCs w:val="1"/>
                <w:color w:val="auto"/>
              </w:rPr>
            </w:pPr>
          </w:p>
        </w:tc>
      </w:tr>
      <w:tr>
        <w:trPr>
          <w:trHeight w:val="216"/>
        </w:trPr>
        <w:tc>
          <w:tcPr>
            <w:tcW w:w="9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345,912</w:t>
            </w:r>
          </w:p>
        </w:tc>
        <w:tc>
          <w:tcPr>
            <w:tcW w:w="0" w:type="dxa"/>
            <w:vAlign w:val="bottom"/>
          </w:tcPr>
          <w:p>
            <w:pPr>
              <w:spacing w:after="0"/>
              <w:rPr>
                <w:sz w:val="1"/>
                <w:szCs w:val="1"/>
                <w:color w:val="auto"/>
              </w:rPr>
            </w:pPr>
          </w:p>
        </w:tc>
      </w:tr>
      <w:tr>
        <w:trPr>
          <w:trHeight w:val="230"/>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908,019</w:t>
            </w:r>
          </w:p>
        </w:tc>
        <w:tc>
          <w:tcPr>
            <w:tcW w:w="0" w:type="dxa"/>
            <w:vAlign w:val="bottom"/>
          </w:tcPr>
          <w:p>
            <w:pPr>
              <w:spacing w:after="0"/>
              <w:rPr>
                <w:sz w:val="1"/>
                <w:szCs w:val="1"/>
                <w:color w:val="auto"/>
              </w:rPr>
            </w:pPr>
          </w:p>
        </w:tc>
      </w:tr>
      <w:tr>
        <w:trPr>
          <w:trHeight w:val="223"/>
        </w:trPr>
        <w:tc>
          <w:tcPr>
            <w:tcW w:w="946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top w:val="single" w:sz="8" w:color="auto"/>
              <w:bottom w:val="single" w:sz="8" w:color="auto"/>
            </w:tcBorders>
            <w:shd w:val="clear" w:color="auto" w:fill="EEEEE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3,143,671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9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Other payables and accrued liabilities</w:t>
            </w: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March 31, 2025 and June 30, 2024, other payables and accrued liabilities consisted of the following:</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09"/>
        </w:trPr>
        <w:tc>
          <w:tcPr>
            <w:tcW w:w="55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payables for inventory in transit</w:t>
            </w:r>
          </w:p>
        </w:tc>
        <w:tc>
          <w:tcPr>
            <w:tcW w:w="19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1,477,314</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1,405,780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Credit cards payable</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130,882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231,243</w:t>
            </w:r>
          </w:p>
        </w:tc>
        <w:tc>
          <w:tcPr>
            <w:tcW w:w="0" w:type="dxa"/>
            <w:vAlign w:val="bottom"/>
          </w:tcPr>
          <w:p>
            <w:pPr>
              <w:spacing w:after="0"/>
              <w:rPr>
                <w:sz w:val="1"/>
                <w:szCs w:val="1"/>
                <w:color w:val="auto"/>
              </w:rPr>
            </w:pPr>
          </w:p>
        </w:tc>
      </w:tr>
      <w:tr>
        <w:trPr>
          <w:trHeight w:val="216"/>
        </w:trPr>
        <w:tc>
          <w:tcPr>
            <w:tcW w:w="5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Customer deposit</w:t>
            </w:r>
          </w:p>
        </w:tc>
        <w:tc>
          <w:tcPr>
            <w:tcW w:w="19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315,783</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313,358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Accrued Amazon fees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140,932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530,456</w:t>
            </w:r>
          </w:p>
        </w:tc>
        <w:tc>
          <w:tcPr>
            <w:tcW w:w="0" w:type="dxa"/>
            <w:vAlign w:val="bottom"/>
          </w:tcPr>
          <w:p>
            <w:pPr>
              <w:spacing w:after="0"/>
              <w:rPr>
                <w:sz w:val="1"/>
                <w:szCs w:val="1"/>
                <w:color w:val="auto"/>
              </w:rPr>
            </w:pPr>
          </w:p>
        </w:tc>
      </w:tr>
      <w:tr>
        <w:trPr>
          <w:trHeight w:val="216"/>
        </w:trPr>
        <w:tc>
          <w:tcPr>
            <w:tcW w:w="5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19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492,119</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442,889</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163,258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204,137</w:t>
            </w:r>
          </w:p>
        </w:tc>
        <w:tc>
          <w:tcPr>
            <w:tcW w:w="0" w:type="dxa"/>
            <w:vAlign w:val="bottom"/>
          </w:tcPr>
          <w:p>
            <w:pPr>
              <w:spacing w:after="0"/>
              <w:rPr>
                <w:sz w:val="1"/>
                <w:szCs w:val="1"/>
                <w:color w:val="auto"/>
              </w:rPr>
            </w:pPr>
          </w:p>
        </w:tc>
      </w:tr>
      <w:tr>
        <w:trPr>
          <w:trHeight w:val="216"/>
        </w:trPr>
        <w:tc>
          <w:tcPr>
            <w:tcW w:w="5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Settlement payable</w:t>
            </w:r>
          </w:p>
        </w:tc>
        <w:tc>
          <w:tcPr>
            <w:tcW w:w="19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325,000</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and payables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520,995</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432,624</w:t>
            </w:r>
          </w:p>
        </w:tc>
        <w:tc>
          <w:tcPr>
            <w:tcW w:w="0" w:type="dxa"/>
            <w:vAlign w:val="bottom"/>
          </w:tcPr>
          <w:p>
            <w:pPr>
              <w:spacing w:after="0"/>
              <w:rPr>
                <w:sz w:val="1"/>
                <w:szCs w:val="1"/>
                <w:color w:val="auto"/>
              </w:rPr>
            </w:pPr>
          </w:p>
        </w:tc>
      </w:tr>
      <w:tr>
        <w:trPr>
          <w:trHeight w:val="209"/>
        </w:trPr>
        <w:tc>
          <w:tcPr>
            <w:tcW w:w="5580" w:type="dxa"/>
            <w:vAlign w:val="bottom"/>
            <w:tcBorders>
              <w:top w:val="single" w:sz="8" w:color="EEEEEE"/>
            </w:tcBorders>
            <w:shd w:val="clear" w:color="auto" w:fill="EEEEEE"/>
          </w:tcPr>
          <w:p>
            <w:pPr>
              <w:spacing w:after="0"/>
              <w:rPr>
                <w:sz w:val="18"/>
                <w:szCs w:val="18"/>
                <w:color w:val="auto"/>
              </w:rPr>
            </w:pPr>
          </w:p>
        </w:tc>
        <w:tc>
          <w:tcPr>
            <w:tcW w:w="19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3,241,283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3,885,487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 Loans payable</w:t>
            </w: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loan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Asset-based revolving loan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2021, the Company entered into a Credit Agreement with JPMorgan Chase Bank, N.A. (“JPMorgan”), as administrative agent, issuing bank and swingline lender, for an asset-based revolving loan (“ABL”) of up to $25 million with key terms listed as follows:</w:t>
      </w:r>
    </w:p>
    <w:p>
      <w:pPr>
        <w:spacing w:after="0" w:line="162" w:lineRule="exact"/>
        <w:rPr>
          <w:sz w:val="20"/>
          <w:szCs w:val="20"/>
          <w:color w:val="auto"/>
        </w:rPr>
      </w:pPr>
    </w:p>
    <w:p>
      <w:pPr>
        <w:ind w:left="920" w:hanging="237"/>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base equal to the sum of</w:t>
      </w:r>
    </w:p>
    <w:p>
      <w:pPr>
        <w:spacing w:after="0" w:line="225" w:lineRule="exact"/>
        <w:rPr>
          <w:rFonts w:ascii="Times New Roman" w:cs="Times New Roman" w:eastAsia="Times New Roman" w:hAnsi="Times New Roman"/>
          <w:sz w:val="18"/>
          <w:szCs w:val="18"/>
          <w:color w:val="auto"/>
        </w:rPr>
      </w:pPr>
    </w:p>
    <w:p>
      <w:pPr>
        <w:ind w:left="1360" w:hanging="218"/>
        <w:spacing w:after="0"/>
        <w:tabs>
          <w:tab w:leader="none" w:pos="1360" w:val="left"/>
        </w:tabs>
        <w:numPr>
          <w:ilvl w:val="1"/>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90% of eligible credit card receivables</w:t>
      </w:r>
    </w:p>
    <w:p>
      <w:pPr>
        <w:spacing w:after="0" w:line="27" w:lineRule="exact"/>
        <w:rPr>
          <w:rFonts w:ascii="Wingdings" w:cs="Wingdings" w:eastAsia="Wingdings" w:hAnsi="Wingdings"/>
          <w:sz w:val="18"/>
          <w:szCs w:val="18"/>
          <w:b w:val="1"/>
          <w:bCs w:val="1"/>
          <w:color w:val="auto"/>
        </w:rPr>
      </w:pPr>
    </w:p>
    <w:p>
      <w:pPr>
        <w:ind w:left="1360" w:hanging="218"/>
        <w:spacing w:after="0"/>
        <w:tabs>
          <w:tab w:leader="none" w:pos="1360" w:val="left"/>
        </w:tabs>
        <w:numPr>
          <w:ilvl w:val="1"/>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85% of eligible trade accounts receivable</w:t>
      </w:r>
    </w:p>
    <w:p>
      <w:pPr>
        <w:spacing w:after="0" w:line="9" w:lineRule="exact"/>
        <w:rPr>
          <w:rFonts w:ascii="Wingdings" w:cs="Wingdings" w:eastAsia="Wingdings" w:hAnsi="Wingdings"/>
          <w:sz w:val="18"/>
          <w:szCs w:val="18"/>
          <w:b w:val="1"/>
          <w:bCs w:val="1"/>
          <w:color w:val="auto"/>
        </w:rPr>
      </w:pPr>
    </w:p>
    <w:p>
      <w:pPr>
        <w:ind w:left="1360" w:hanging="218"/>
        <w:spacing w:after="0"/>
        <w:tabs>
          <w:tab w:leader="none" w:pos="1360" w:val="left"/>
        </w:tabs>
        <w:numPr>
          <w:ilvl w:val="1"/>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the lesser of (i) 65% of cost of eligible inventory or (ii) 85% of net orderly liquidation value of eligible inventory</w:t>
      </w:r>
    </w:p>
    <w:p>
      <w:pPr>
        <w:spacing w:after="0" w:line="206" w:lineRule="exact"/>
        <w:rPr>
          <w:rFonts w:ascii="Wingdings" w:cs="Wingdings" w:eastAsia="Wingdings" w:hAnsi="Wingdings"/>
          <w:sz w:val="18"/>
          <w:szCs w:val="18"/>
          <w:b w:val="1"/>
          <w:bCs w:val="1"/>
          <w:color w:val="auto"/>
        </w:rPr>
      </w:pPr>
    </w:p>
    <w:p>
      <w:pPr>
        <w:ind w:left="920" w:hanging="237"/>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of between LIBOR plus 2% and LIBOR plus 2.25% depending on utilization</w:t>
      </w:r>
    </w:p>
    <w:p>
      <w:pPr>
        <w:spacing w:after="0" w:line="27"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Undrawn fee of between 0.25% and 0.375% depending on utilization</w:t>
      </w:r>
    </w:p>
    <w:p>
      <w:pPr>
        <w:spacing w:after="0" w:line="9"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of November 12,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ABL includes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in financing fees including 2% of $25.0 million or $500,000 paid to its financial advisor. The financing fees are recorded as debt discount and are to be amortized over the three-year term of the ABL as interest expense.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Company entered into a second amendment to the credit agreement and consent (the “Second Amendment to the Credit Agreement”), originally dated November 12, 2021, as amended, with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2024, the Company entered into a third amendment (the “Third Amendment”) to that certain credit agreement, initially entered into by and among the Company and its subsidiaries and JPMorgan Chase Bank, N.A., as administrative agent for the Lender and a lender (the “Administrative Agent” or “Lender”), on November 12, 2021 (the “Credit Agreement”). The Third Amendment to the Credit Agreement amended, among other things, (i) the defined term “Aggregate Revolving Commitment” to mean $15,000,000, and (ii) extended the maturity date to “November 8, 2027 or any earlier date on which the Revolving Commitments are reduced to zero or otherwise terminated pursuant to the terms hereof.” The borrowing rate is SOFR plus 2.25% to 2.50% depending on utilization of the borrowing availability.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outstanding amount of the ABL, which was classified as long-term revolving loan payable, including interest payable, was $3,573,896. As of June 30, 2024, the outstanding amount of the revolving loan payable, net of debt discount and including interest payable, was $5,500,739.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interest expense recorded for the three and nine months ended March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4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Pr>
          <w:p>
            <w:pPr>
              <w:spacing w:after="0"/>
              <w:rPr>
                <w:sz w:val="20"/>
                <w:szCs w:val="20"/>
                <w:color w:val="auto"/>
              </w:rPr>
            </w:pPr>
          </w:p>
        </w:tc>
        <w:tc>
          <w:tcPr>
            <w:tcW w:w="298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4620" w:type="dxa"/>
            <w:vAlign w:val="bottom"/>
            <w:tcBorders>
              <w:bottom w:val="single" w:sz="8" w:color="EEEEEE"/>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EEEEEE"/>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EE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EEEEEE"/>
            </w:tcBorders>
          </w:tcPr>
          <w:p>
            <w:pPr>
              <w:spacing w:after="0"/>
              <w:rPr>
                <w:sz w:val="19"/>
                <w:szCs w:val="19"/>
                <w:color w:val="auto"/>
              </w:rPr>
            </w:pPr>
          </w:p>
        </w:tc>
        <w:tc>
          <w:tcPr>
            <w:tcW w:w="2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09"/>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960" w:type="dxa"/>
            <w:vAlign w:val="bottom"/>
            <w:shd w:val="clear" w:color="auto" w:fill="EEEEEE"/>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71,879</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95,167</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181,049</w:t>
            </w: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296,471</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Credit utilization fees</w:t>
            </w:r>
          </w:p>
        </w:tc>
        <w:tc>
          <w:tcPr>
            <w:tcW w:w="9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10,025</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18,897</w:t>
            </w: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46,375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54,961</w:t>
            </w:r>
          </w:p>
        </w:tc>
      </w:tr>
      <w:tr>
        <w:trPr>
          <w:trHeight w:val="230"/>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6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66,305</w:t>
            </w:r>
          </w:p>
        </w:tc>
        <w:tc>
          <w:tcPr>
            <w:tcW w:w="24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125,906</w:t>
            </w:r>
          </w:p>
        </w:tc>
        <w:tc>
          <w:tcPr>
            <w:tcW w:w="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198,914</w:t>
            </w:r>
          </w:p>
        </w:tc>
        <w:tc>
          <w:tcPr>
            <w:tcW w:w="80" w:type="dxa"/>
            <w:vAlign w:val="bottom"/>
            <w:shd w:val="clear" w:color="auto" w:fill="EEEEEE"/>
          </w:tcPr>
          <w:p>
            <w:pPr>
              <w:spacing w:after="0"/>
              <w:rPr>
                <w:sz w:val="19"/>
                <w:szCs w:val="19"/>
                <w:color w:val="auto"/>
              </w:rPr>
            </w:pP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81,904</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180,369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353,330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Company was in compliance with the ABL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Promissory note payable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as part of the consideration for the acquisition of Anivia, the Company issued a two-year unsecured 6% subordinated promissory note, payable in equal semi-annual installments commencing August 15, 2022 (the “Purchase Note”). The principal amount of the Purchase Note was $3.5 million with a fair value of $3.6 million as of February 15, 2022. In October 2022, the Company paid the first installment of $875,000. And in February 2023, the Company paid the second installment of $875,000. In August 2023, the Company paid the third installment of $875,000. In February 2024, the Company paid the fourth installment of $875,000. For the nine months ended March 31, 2025, the Company recorded accrued interest of $0 and amortization of note premium of $0. For the nine months ended March 31, 2024, the Company recorded accrued interest of $39,429 and amortization of note premium of $31,602. In February 2024, the note premium was fully amortized, and the outstanding balance of the principal and accrued interest of $275,679 was fully paid off. As of March 31, 2025 and June 30, 2024, the total outstanding balance of the Purchase Note was $0.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loan payable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8, 2023, the Company entered into an agreement with White Cherry Limited (“White Cherry”), a BVI company owned by the former owner of DHS, for an on-demand, unsecured and subordinated loan (“On-demand Loan”). Pursuant to the agreement, White Cherry agreed to loan the Company the amount requested. The On-demand Loan bears interest at the rate of the Secured Overnight Financing Rate, or SOFR, plus 1% per annum. The On-demand Loan is due in 30 days upon receipt of White Cherry’s notice of repayment. On July 16, 2023, the Company borrowed $2 million from White Cherry and repaid $1 million on July 31, 2023 and $1 million on January 31, 2024. For the three and nine months ended March 31, 2025, the Company recorded accrued interest of $0. For the three and nine months ended March 31, 2024, the Company recorded accrued interest of $723 and $32,911, respectively. As of March 31, 2025, the outstanding balance of the On-demand Loan was fully paid off.</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2024, the Company entered into an agreement with an unrelated accredited investor (the “Investor”) for an on-demand, unsecured and subordinated loan (“On-demand Loan 2”). Pursuant to the agreement, the Investor agreed to loan the Company the amount requested. The On-demand Loan 2 bears interest at the rate of the Secured Overnight Financing Rate, or SOFR, plus 1.5% per annum. The On-demand Loan 2 is due in 30 days upon receipt of the Investor’s notice of repayment. For the three and nine months ended March 31, 2025, the Company recorded interest expense of $0 and $3,733, respectively. As of June 30, 2024, the outstanding balance of the On-demand Loan 2, including accrued interest of $7,615, was $491,214. As of March 31, 2025, the On-demand Loan 2 had been fully paid off.</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2024, the Company borrowed $350,000 short-term loan (“RP Loan”) from an entity owned by Mr. Allan Huang, one of the majority shareholders of the Company. The RP Loan bears no interest and is due upon receipt of request of repayment. As of March 31, 2025 and June 30, 2024, the outstanding balance of the RP Loan was $0 and $350,000.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2024, the Company borrowed $350,000 short-term loan from an entity owned by Mr. Allan Huang, one of the majority shareholders of the Company. See Note 10 above for details.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June 30, 2024, the Company started selling products through MII Strategy Inc. (“MII”), a company owned by the Company’s CEO, Mr. Chenlong Tan. As of March 31, 2025 and June 30, 2024, the total amount due from MII was $0 and $56,406.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8, 2023, the Company entered into an agreement with White Cherry for an on demand loan. See Note 10 above for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corporate income taxes in the United States, upon completion of the acquisition of Anivia in February 2022, the Company is subject to corporate income taxes in People’s Republic of China (“PRC”). Anivia and its subsidiaries are subject to BVI or Hong Kong income taxes but did not have any operations for the year ended June 30, 2022 in those jurisdictions. DHS, the operating VIE of Anivia, is considered a Controlled Foreign Corporation (CFC) defined under IRC Sec. 957(a) since the Company indirectly owns more than 50% voting control of DHS as a result of the Transfer Agreement. Therefore, DHS is subject to the Global Intangible Low-Taxed Income (or GILTI) Tax. DHS is subject to 5% tax rate in PRC until December 31, 2027. Since DHS had losses during the nine months ended March 31, 2025 and 2024 and the year ended June 30, 2024, no GILTI tax was recorded as of March 31, 2025 and June 30, 2024. The Company is not eligible for the GILTI high-tax exclusion. In addition, as a result of the acquisition, the Company recognized goodwill in the amount of $6,094,144. Since the acquisition was a stock acquisition, the Goodwill is not deductible for tax purposes.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March 31, 2025, as a result of the Company’s inability to establish a reliable estimate for annual effective tax rate, the Company calculated income tax expense using the actual effective tax rate year to date, as opposed to the estimated annual effective tax rate, as provided in Accounting Standards Codification (ASC) 740-270-30-18.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for the three and nine months ended March 31, 2025 and 2024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400" w:type="dxa"/>
            <w:vAlign w:val="bottom"/>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Pr>
          <w:p>
            <w:pPr>
              <w:spacing w:after="0"/>
              <w:rPr>
                <w:sz w:val="20"/>
                <w:szCs w:val="20"/>
                <w:color w:val="auto"/>
              </w:rPr>
            </w:pPr>
          </w:p>
        </w:tc>
        <w:tc>
          <w:tcPr>
            <w:tcW w:w="2980" w:type="dxa"/>
            <w:vAlign w:val="bottom"/>
            <w:gridSpan w:val="6"/>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4620" w:type="dxa"/>
            <w:vAlign w:val="bottom"/>
            <w:tcBorders>
              <w:bottom w:val="single" w:sz="8" w:color="EEEEEE"/>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EEEEEE"/>
            </w:tcBorders>
          </w:tcPr>
          <w:p>
            <w:pPr>
              <w:spacing w:after="0"/>
              <w:rPr>
                <w:sz w:val="19"/>
                <w:szCs w:val="19"/>
                <w:color w:val="auto"/>
              </w:rPr>
            </w:pPr>
          </w:p>
        </w:tc>
        <w:tc>
          <w:tcPr>
            <w:tcW w:w="100" w:type="dxa"/>
            <w:vAlign w:val="bottom"/>
            <w:tcBorders>
              <w:top w:val="single" w:sz="8" w:color="auto"/>
              <w:bottom w:val="single" w:sz="8" w:color="EEEEEE"/>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EE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EEEEEE"/>
            </w:tcBorders>
          </w:tcPr>
          <w:p>
            <w:pPr>
              <w:spacing w:after="0"/>
              <w:rPr>
                <w:sz w:val="19"/>
                <w:szCs w:val="19"/>
                <w:color w:val="auto"/>
              </w:rPr>
            </w:pPr>
          </w:p>
        </w:tc>
        <w:tc>
          <w:tcPr>
            <w:tcW w:w="80" w:type="dxa"/>
            <w:vAlign w:val="bottom"/>
            <w:tcBorders>
              <w:top w:val="single" w:sz="8" w:color="auto"/>
              <w:bottom w:val="single" w:sz="8" w:color="EEEEEE"/>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EEEEE"/>
            </w:tcBorders>
          </w:tcPr>
          <w:p>
            <w:pPr>
              <w:spacing w:after="0"/>
              <w:rPr>
                <w:sz w:val="19"/>
                <w:szCs w:val="19"/>
                <w:color w:val="auto"/>
              </w:rPr>
            </w:pPr>
          </w:p>
        </w:tc>
      </w:tr>
      <w:tr>
        <w:trPr>
          <w:trHeight w:val="210"/>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9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7"/>
              </w:rPr>
              <w:t>(12,116)</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1,926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9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11,024</w:t>
            </w:r>
          </w:p>
        </w:tc>
        <w:tc>
          <w:tcPr>
            <w:tcW w:w="2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24,368</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22,590</w:t>
            </w: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Pr>
          <w:p>
            <w:pPr>
              <w:spacing w:after="0"/>
              <w:rPr>
                <w:sz w:val="19"/>
                <w:szCs w:val="19"/>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920" w:type="dxa"/>
            <w:vAlign w:val="bottom"/>
            <w:tcBorders>
              <w:top w:val="single" w:sz="8" w:color="auto"/>
              <w:bottom w:val="single" w:sz="8" w:color="auto"/>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(13,617</w:t>
            </w:r>
          </w:p>
        </w:tc>
        <w:tc>
          <w:tcPr>
            <w:tcW w:w="140" w:type="dxa"/>
            <w:vAlign w:val="bottom"/>
            <w:tcBorders>
              <w:top w:val="single" w:sz="8" w:color="EEEEEE"/>
            </w:tcBorders>
            <w:shd w:val="clear" w:color="auto" w:fill="EEEEEE"/>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2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26,294</w:t>
            </w:r>
          </w:p>
        </w:tc>
        <w:tc>
          <w:tcPr>
            <w:tcW w:w="1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w:t>
            </w:r>
          </w:p>
        </w:tc>
        <w:tc>
          <w:tcPr>
            <w:tcW w:w="9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53,460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271,732</w:t>
            </w:r>
          </w:p>
        </w:tc>
        <w:tc>
          <w:tcPr>
            <w:tcW w:w="2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(391,524)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(568,897)</w:t>
            </w:r>
          </w:p>
        </w:tc>
      </w:tr>
      <w:tr>
        <w:trPr>
          <w:trHeight w:val="216"/>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9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w w:val="97"/>
              </w:rPr>
              <w:t>(13,826)</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94,210</w:t>
            </w:r>
          </w:p>
        </w:tc>
        <w:tc>
          <w:tcPr>
            <w:tcW w:w="2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(124,754)</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(106,357)</w:t>
            </w: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Pr>
          <w:p>
            <w:pPr>
              <w:spacing w:after="0"/>
              <w:rPr>
                <w:sz w:val="19"/>
                <w:szCs w:val="19"/>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19"/>
                <w:szCs w:val="19"/>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64,990</w:t>
            </w:r>
          </w:p>
        </w:tc>
      </w:tr>
      <w:tr>
        <w:trPr>
          <w:trHeight w:val="210"/>
        </w:trPr>
        <w:tc>
          <w:tcPr>
            <w:tcW w:w="462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deferred taxes</w:t>
            </w:r>
          </w:p>
        </w:tc>
        <w:tc>
          <w:tcPr>
            <w:tcW w:w="920" w:type="dxa"/>
            <w:vAlign w:val="bottom"/>
            <w:tcBorders>
              <w:top w:val="single" w:sz="8" w:color="auto"/>
              <w:bottom w:val="single" w:sz="8" w:color="auto"/>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39,634</w:t>
            </w: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366,123</w:t>
            </w:r>
          </w:p>
        </w:tc>
        <w:tc>
          <w:tcPr>
            <w:tcW w:w="2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(516,278</w:t>
            </w:r>
          </w:p>
        </w:tc>
        <w:tc>
          <w:tcPr>
            <w:tcW w:w="12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(610,264</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provision for income tax expense (benefit)</w:t>
            </w:r>
          </w:p>
        </w:tc>
        <w:tc>
          <w:tcPr>
            <w:tcW w:w="920" w:type="dxa"/>
            <w:vAlign w:val="bottom"/>
            <w:shd w:val="clear" w:color="auto" w:fill="EEEEEE"/>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26,017</w:t>
            </w:r>
          </w:p>
        </w:tc>
        <w:tc>
          <w:tcPr>
            <w:tcW w:w="4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377,147</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(489,984)</w:t>
            </w:r>
          </w:p>
        </w:tc>
        <w:tc>
          <w:tcPr>
            <w:tcW w:w="4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(587,674)</w:t>
            </w:r>
          </w:p>
        </w:tc>
      </w:tr>
      <w:tr>
        <w:trPr>
          <w:trHeight w:val="20"/>
        </w:trPr>
        <w:tc>
          <w:tcPr>
            <w:tcW w:w="46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736"/>
        </w:trPr>
        <w:tc>
          <w:tcPr>
            <w:tcW w:w="4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22</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state income tax in certain jurisdictions. The tax years 2019 to 2023 remain open to examination by the major taxing jurisdictions to which the Company is subject.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March 31, 2025, the Company recorded income tax expense (benefit) of $26,017 and $(489,984), respectively, reflecting an effective tax rate of (8.22)% and 18.50%, respectively. For the three and nine months ended March 31, 2024, The Company recorded income tax expense (benefit) of $377,147 and $(587,674), respectively, with effective tax rates of 27.14% and 21.12%,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tax rates for the three and nine months ended March 31, 2025 and 2024 differ from the federal statutory rate of 21%, primarily due to U.S. state income tax deduction, other permanent differences and the impact of foreign jurisdictions subject to a full valuation allowance. For the three months ended March 31, 2025, the company’s effective tax rate was (8.22)%, which was resulting from reversal of non-vesting stock based compensation expense discussed in Note 14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income taxes payable to US tax authorities and income tax payable to Chinese tax authorities was $401 and $278,368,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prepaid income taxes to US tax authorities and income tax payable to Chinese tax authorities was $31,496 and $276,158,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which give rise to significant portions of the deferred taxes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0"/>
                <w:szCs w:val="20"/>
                <w:color w:val="auto"/>
              </w:rPr>
            </w:pPr>
          </w:p>
        </w:tc>
        <w:tc>
          <w:tcPr>
            <w:tcW w:w="15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50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5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5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263A calculation</w:t>
            </w:r>
          </w:p>
        </w:tc>
        <w:tc>
          <w:tcPr>
            <w:tcW w:w="2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307,913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291,354</w:t>
            </w:r>
          </w:p>
        </w:tc>
      </w:tr>
      <w:tr>
        <w:trPr>
          <w:trHeight w:val="216"/>
        </w:trPr>
        <w:tc>
          <w:tcPr>
            <w:tcW w:w="5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Inventory reserve</w:t>
            </w:r>
          </w:p>
        </w:tc>
        <w:tc>
          <w:tcPr>
            <w:tcW w:w="25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249,377</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171,942</w:t>
            </w: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taxes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4,844</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4,840</w:t>
            </w:r>
          </w:p>
        </w:tc>
      </w:tr>
      <w:tr>
        <w:trPr>
          <w:trHeight w:val="216"/>
        </w:trPr>
        <w:tc>
          <w:tcPr>
            <w:tcW w:w="5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5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41,475</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155,860</w:t>
            </w: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assets / liabilities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100,683</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110,391</w:t>
            </w:r>
          </w:p>
        </w:tc>
      </w:tr>
      <w:tr>
        <w:trPr>
          <w:trHeight w:val="216"/>
        </w:trPr>
        <w:tc>
          <w:tcPr>
            <w:tcW w:w="5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25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2,163,655</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2,190,589</w:t>
            </w: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Disallowed interest expense</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294,297</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258,352</w:t>
            </w:r>
          </w:p>
        </w:tc>
      </w:tr>
      <w:tr>
        <w:trPr>
          <w:trHeight w:val="216"/>
        </w:trPr>
        <w:tc>
          <w:tcPr>
            <w:tcW w:w="5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304,756</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341,591</w:t>
            </w: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(112,145)</w:t>
            </w:r>
          </w:p>
        </w:tc>
        <w:tc>
          <w:tcPr>
            <w:tcW w:w="2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(64,897)</w:t>
            </w:r>
          </w:p>
        </w:tc>
      </w:tr>
      <w:tr>
        <w:trPr>
          <w:trHeight w:val="230"/>
        </w:trPr>
        <w:tc>
          <w:tcPr>
            <w:tcW w:w="5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5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512,556</w:t>
            </w:r>
          </w:p>
        </w:tc>
        <w:tc>
          <w:tcPr>
            <w:tcW w:w="2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40,067</w:t>
            </w:r>
          </w:p>
        </w:tc>
      </w:tr>
      <w:tr>
        <w:trPr>
          <w:trHeight w:val="210"/>
        </w:trPr>
        <w:tc>
          <w:tcPr>
            <w:tcW w:w="502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54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3,867,411</w:t>
            </w:r>
          </w:p>
        </w:tc>
        <w:tc>
          <w:tcPr>
            <w:tcW w:w="2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3,500,089</w:t>
            </w:r>
          </w:p>
        </w:tc>
        <w:tc>
          <w:tcPr>
            <w:tcW w:w="100" w:type="dxa"/>
            <w:vAlign w:val="bottom"/>
            <w:tcBorders>
              <w:bottom w:val="single" w:sz="8" w:color="EEEEEE"/>
            </w:tcBorders>
          </w:tcPr>
          <w:p>
            <w:pPr>
              <w:spacing w:after="0"/>
              <w:rPr>
                <w:sz w:val="18"/>
                <w:szCs w:val="18"/>
                <w:color w:val="auto"/>
              </w:rPr>
            </w:pPr>
          </w:p>
        </w:tc>
      </w:tr>
      <w:tr>
        <w:trPr>
          <w:trHeight w:val="210"/>
        </w:trPr>
        <w:tc>
          <w:tcPr>
            <w:tcW w:w="5020" w:type="dxa"/>
            <w:vAlign w:val="bottom"/>
            <w:shd w:val="clear" w:color="auto" w:fill="EEEEEE"/>
          </w:tcPr>
          <w:p>
            <w:pPr>
              <w:spacing w:after="0"/>
              <w:rPr>
                <w:sz w:val="18"/>
                <w:szCs w:val="18"/>
                <w:color w:val="auto"/>
              </w:rPr>
            </w:pPr>
          </w:p>
        </w:tc>
        <w:tc>
          <w:tcPr>
            <w:tcW w:w="25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5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(58,045)</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(77,287)</w:t>
            </w: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(847,480)</w:t>
            </w:r>
          </w:p>
        </w:tc>
        <w:tc>
          <w:tcPr>
            <w:tcW w:w="2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(977,197)</w:t>
            </w:r>
          </w:p>
        </w:tc>
      </w:tr>
      <w:tr>
        <w:trPr>
          <w:trHeight w:val="210"/>
        </w:trPr>
        <w:tc>
          <w:tcPr>
            <w:tcW w:w="502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25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(905,525</w:t>
            </w:r>
          </w:p>
        </w:tc>
        <w:tc>
          <w:tcPr>
            <w:tcW w:w="220" w:type="dxa"/>
            <w:vAlign w:val="bottom"/>
            <w:tcBorders>
              <w:top w:val="single" w:sz="8" w:color="EEEEEE"/>
            </w:tcBorders>
            <w:shd w:val="clear" w:color="auto" w:fill="EEEEEE"/>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(1,054,484</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7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2,961,886</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2,445,605</w:t>
            </w:r>
          </w:p>
        </w:tc>
      </w:tr>
      <w:tr>
        <w:trPr>
          <w:trHeight w:val="20"/>
        </w:trPr>
        <w:tc>
          <w:tcPr>
            <w:tcW w:w="5020" w:type="dxa"/>
            <w:vAlign w:val="bottom"/>
            <w:tcBorders>
              <w:top w:val="single" w:sz="8" w:color="EEEEEE"/>
            </w:tcBorders>
          </w:tcPr>
          <w:p>
            <w:pPr>
              <w:spacing w:after="0" w:line="20" w:lineRule="exact"/>
              <w:rPr>
                <w:sz w:val="1"/>
                <w:szCs w:val="1"/>
                <w:color w:val="auto"/>
              </w:rPr>
            </w:pPr>
          </w:p>
        </w:tc>
        <w:tc>
          <w:tcPr>
            <w:tcW w:w="25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March 31, 2025 and 2024, the Company recorded $47,248 and $64,990 of valuation allowance to reduce deferred tax assets for the losses incurred by DHS.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(losses) earnings per share for the periods presented: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Pr>
          <w:p>
            <w:pPr>
              <w:spacing w:after="0"/>
              <w:rPr>
                <w:sz w:val="24"/>
                <w:szCs w:val="24"/>
                <w:color w:val="auto"/>
              </w:rPr>
            </w:pPr>
          </w:p>
        </w:tc>
        <w:tc>
          <w:tcPr>
            <w:tcW w:w="2820" w:type="dxa"/>
            <w:vAlign w:val="bottom"/>
            <w:gridSpan w:val="6"/>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c>
          <w:tcPr>
            <w:tcW w:w="0" w:type="dxa"/>
            <w:vAlign w:val="bottom"/>
          </w:tcPr>
          <w:p>
            <w:pPr>
              <w:spacing w:after="0"/>
              <w:rPr>
                <w:sz w:val="1"/>
                <w:szCs w:val="1"/>
                <w:color w:val="auto"/>
              </w:rPr>
            </w:pPr>
          </w:p>
        </w:tc>
      </w:tr>
      <w:tr>
        <w:trPr>
          <w:trHeight w:val="223"/>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income attributable to iPower Inc.</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(339,599)</w:t>
            </w:r>
          </w:p>
        </w:tc>
        <w:tc>
          <w:tcPr>
            <w:tcW w:w="380" w:type="dxa"/>
            <w:vAlign w:val="bottom"/>
            <w:gridSpan w:val="2"/>
            <w:shd w:val="clear" w:color="auto" w:fill="EEEEEE"/>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1,016,082</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rPr>
              <w:t>(2,150,061)</w:t>
            </w:r>
          </w:p>
        </w:tc>
        <w:tc>
          <w:tcPr>
            <w:tcW w:w="360" w:type="dxa"/>
            <w:vAlign w:val="bottom"/>
            <w:gridSpan w:val="2"/>
            <w:shd w:val="clear" w:color="auto" w:fill="EEEEEE"/>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(2,185,261)</w:t>
            </w:r>
          </w:p>
        </w:tc>
        <w:tc>
          <w:tcPr>
            <w:tcW w:w="0" w:type="dxa"/>
            <w:vAlign w:val="bottom"/>
          </w:tcPr>
          <w:p>
            <w:pPr>
              <w:spacing w:after="0"/>
              <w:rPr>
                <w:sz w:val="1"/>
                <w:szCs w:val="1"/>
                <w:color w:val="auto"/>
              </w:rPr>
            </w:pPr>
          </w:p>
        </w:tc>
      </w:tr>
      <w:tr>
        <w:trPr>
          <w:trHeight w:val="20"/>
        </w:trPr>
        <w:tc>
          <w:tcPr>
            <w:tcW w:w="50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basic and diluted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31,455,248</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29,821,811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31,434,479</w:t>
            </w: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29,791,990</w:t>
            </w:r>
          </w:p>
        </w:tc>
        <w:tc>
          <w:tcPr>
            <w:tcW w:w="0" w:type="dxa"/>
            <w:vAlign w:val="bottom"/>
          </w:tcPr>
          <w:p>
            <w:pPr>
              <w:spacing w:after="0"/>
              <w:rPr>
                <w:sz w:val="1"/>
                <w:szCs w:val="1"/>
                <w:color w:val="auto"/>
              </w:rPr>
            </w:pPr>
          </w:p>
        </w:tc>
      </w:tr>
      <w:tr>
        <w:trPr>
          <w:trHeight w:val="197"/>
        </w:trPr>
        <w:tc>
          <w:tcPr>
            <w:tcW w:w="5080" w:type="dxa"/>
            <w:vAlign w:val="bottom"/>
            <w:tcBorders>
              <w:top w:val="single" w:sz="8" w:color="EEEEEE"/>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(Losses) earnings per share of ordinary shares - basic and diluted</w:t>
            </w:r>
          </w:p>
        </w:tc>
        <w:tc>
          <w:tcPr>
            <w:tcW w:w="1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60" w:type="dxa"/>
            <w:vAlign w:val="bottom"/>
            <w:tcBorders>
              <w:top w:val="single" w:sz="8" w:color="EEEEEE"/>
              <w:bottom w:val="single" w:sz="8" w:color="EEEEEE"/>
            </w:tcBorders>
            <w:shd w:val="clear" w:color="auto" w:fill="EEEEEE"/>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c>
          <w:tcPr>
            <w:tcW w:w="280" w:type="dxa"/>
            <w:vAlign w:val="bottom"/>
            <w:tcBorders>
              <w:top w:val="single" w:sz="8" w:color="auto"/>
              <w:bottom w:val="single" w:sz="8" w:color="auto"/>
            </w:tcBorders>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top w:val="single" w:sz="8" w:color="EEEEEE"/>
              <w:bottom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40" w:type="dxa"/>
            <w:vAlign w:val="bottom"/>
            <w:tcBorders>
              <w:top w:val="single" w:sz="8" w:color="EEEEEE"/>
              <w:bottom w:val="single" w:sz="8" w:color="EEEEEE"/>
            </w:tcBorders>
            <w:shd w:val="clear" w:color="auto" w:fill="EEEEEE"/>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7"/>
                <w:szCs w:val="17"/>
                <w:color w:val="auto"/>
              </w:rPr>
            </w:pPr>
          </w:p>
        </w:tc>
        <w:tc>
          <w:tcPr>
            <w:tcW w:w="280" w:type="dxa"/>
            <w:vAlign w:val="bottom"/>
            <w:tcBorders>
              <w:top w:val="single" w:sz="8" w:color="auto"/>
              <w:bottom w:val="single" w:sz="8" w:color="auto"/>
            </w:tcBorders>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40" w:hanging="232"/>
        <w:spacing w:after="0" w:line="266" w:lineRule="auto"/>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anti-dilutive effect, the computation of basic and diluted EPS did not include the shares underlying the exercise of warrants, options, and unvested RSUs as the Company had a net loss/or the warrants and options were out of the money (the exercise price is higher than the market price) for the three and nine months ended March 31, 2025 and 2024.</w:t>
      </w:r>
    </w:p>
    <w:p>
      <w:pPr>
        <w:spacing w:after="0" w:line="175" w:lineRule="exact"/>
        <w:rPr>
          <w:rFonts w:ascii="Times New Roman" w:cs="Times New Roman" w:eastAsia="Times New Roman" w:hAnsi="Times New Roman"/>
          <w:sz w:val="18"/>
          <w:szCs w:val="18"/>
          <w:color w:val="auto"/>
        </w:rPr>
      </w:pPr>
    </w:p>
    <w:p>
      <w:pPr>
        <w:jc w:val="both"/>
        <w:ind w:left="240" w:hanging="232"/>
        <w:spacing w:after="0" w:line="266" w:lineRule="auto"/>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March 31, 2025, 17,857 and 62,771 vested but unissued shares of restricted stock units under the 2020 Equity Incentive Plan (as discussed in Note 14) are considered issued shares and therefore are included in the computation of basic losses per share when the shares are fully vested.</w:t>
      </w:r>
    </w:p>
    <w:p>
      <w:pPr>
        <w:spacing w:after="0" w:line="175" w:lineRule="exact"/>
        <w:rPr>
          <w:rFonts w:ascii="Times New Roman" w:cs="Times New Roman" w:eastAsia="Times New Roman" w:hAnsi="Times New Roman"/>
          <w:sz w:val="18"/>
          <w:szCs w:val="18"/>
          <w:color w:val="auto"/>
        </w:rPr>
      </w:pPr>
    </w:p>
    <w:p>
      <w:pPr>
        <w:jc w:val="both"/>
        <w:ind w:left="240" w:hanging="232"/>
        <w:spacing w:after="0" w:line="266" w:lineRule="auto"/>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March 31, 2024, 25,331 and 28,635 vested but unissued shares of restricted stock units under the 2020 Equity Incentive Plan (as discussed in Note 16) are considered issued shares and therefore are included in the computation of basic losses per share when the shares are fully vested.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total authorized shares of capital stock were 200,000,000 shares consisting of 180,000,000 shares of Common Stock (“Common Stock”) and 20,000,000 shares of preferred stock (the “Preferred Stock”), each with a par value of $0.001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Common Stock shall be entitled to one vote per share in voting to the election of directors and all other corporate purposes. Subject to the express terms of any outstanding series of Preferred Stock, dividends may be paid in cash or otherwise with respect to the holders of Common Stock out of the assets of the Company legally available therefor, upon the terms, and subject to the limitations, as the Board of Directors of the Company (the “Board of Directors”) may determine. In the event of liquidation or dissolution of the Company, subject to the express terms of any outstanding series of Preferred Stock, the holders of Common Stock shall be entitled to share in the distribution of any remaining assets available for distribution to the holders of Common Stock ratably in proportion to the total number of shares of Common Stock then issued and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June 30, 2024, the Company issued 107,293 shares of restricted Common Stock for RSUs vested.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On June 18, 2024, the Company closed on a registered direct offering (the “Registered Direct”) of 2,083,334 shares of common stock (the “Shares”) and a concurrent private placement (“Private Placement,” and together with the Registered Direct, the “Offering”) of warrants (the “Warrants”) to purchase 2,083,334 shares of common stock (the “Warrant Shares”), which were sold for gross aggregate proceeds of $5,000,002. The Shares were sold pursuant to a prospectus supplement, filed on June 18, 2024, to the Registration Statement on Form S-3, originally filed on September 25, 2023, with the SEC (File No. 333-274665) and declared effective by the SEC on September 29, 2023. The Warrants, which were issued pursuant to an exemption from registration pursuant to Section 4(a)(2) or Regulation D on the Securities Act, have a term of five years and are immediately exercisable at $2.40 per share. The Shares and Warrants were sold to a purchaser pursuant to a securities purchase agreement, dated June 16, 2024, between the Company and the purchaser (the “Purchase Agreement”). Roth Capital Partners, LLC (the “Placement Agent”) acted as placement agent, pursuant to a placement agency agreement between the Company and the Placement Agent dated June 16, 2024 (the “Placement Agency Agreement”). The Company paid the Placement Agent as compensation a cash fee equal to 6.5% of the gross proceeds of the Offering plus reimbursement of certain expenses and legal fees. The net proceeds of the Offering, after deducting $456,913, the Placement Agent’s fees and expenses and other direct offering costs paid by the Company, was $4,543,089.</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calculated the fair value of the Warrants at $3.1 million at the grant date, with a relative fair value of $1.7 million after allocation of the fair value of the Shares, using the Black-Scholes Model with the following variables:</w:t>
      </w:r>
    </w:p>
    <w:p>
      <w:pPr>
        <w:spacing w:after="0" w:line="16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$2.00</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 $2.40</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104%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–5 years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4.24%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Warrant agreement, except for some fundamental transactions within the Company’s control, in no event shall the Company be required to net cash settle the Warrants. The Company considered and followed the rules and guidelines under ASC 480-10 and ASC 815 and concluded that the Warrants should be classified and recorded as equity. Further, as the warrants were issued as part of the Offering, the relative fair value of the Warrants was included in the gross proceeds and recorded as additional paid-in capital.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2024, as disclosed in Note 17 below, in order to recoup the settlement payment made to Boustead Securities, LLC, the Company’s Chief Executive Officer and co-founder, Lawrence Tan, along with co-founder Allan Huang, returned a total of 541,667 shares to the Company for cancellation (the “Share Cancellation”). The Share Cancellation was completed in June 2024 and the par value of $542 was reduced against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June 30, 2024, there were 31,359,899 shares of Common Stock issued and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March 31, 2025 and June 30, 2024, respectively, there were no shares of Preferred Stock issued and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Incentive Plan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5, 2021, the Company’s Board of Directors adopted, and its stockholders approved and ratified, the iPower Inc. Amended and Restated 2020 Equity Incentive Plan (the “Plan”). The Plan allows for the issuance of up to 5,000,000 shares of Common Stock, whether in the form of stock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 which was subsequently amended on December 6, 2022 and September 15, 2023 and November 22, 2023.</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Restricted Stock Unit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completion of the IPO on May 11, 2021, pursuant to their letter agreements, the Company awarded 46,546 restricted stock units (“RSUs”) under the Plan to its independent directors, its Chief Financial Officer, and certain other employees and consultants, all of which vested over 12 months following the grant date and were subject to other restrictions until the filing of a Registration Statement on Form S-8 registering the shares. The fair value of the RSUs was determined based on $5.00 per share, the initial listing price of the Company’s Common Stock on the grant date. During the nine months ended March 31, 2025, the Company granted an additional 71,427 shares of RSUs. For the three and nine months ended March 31, 2025, the Company recorded $22,500 and $76,788 of stock-based compensation expense. There was no forfeiture of RSUs occurred during the nine months ended March 31, 2025 and 2024. As of March 31, 2025 and June 30, 2024, the unvested number of RSUs was 11,906 and 3,250 and the unamortized expense was $15,000 and $1,788, respectively.</w:t>
      </w:r>
    </w:p>
    <w:p>
      <w:pPr>
        <w:sectPr>
          <w:pgSz w:w="11900" w:h="16838" w:orient="portrait"/>
          <w:cols w:equalWidth="0" w:num="1">
            <w:col w:w="11240"/>
          </w:cols>
          <w:pgMar w:left="320" w:top="796" w:right="33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RSU grants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RSUs 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fair value was based on the current stock price on the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r>
      <w:tr>
        <w:trPr>
          <w:trHeight w:val="216"/>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Market Value of</w:t>
            </w:r>
          </w:p>
        </w:tc>
      </w:tr>
      <w:tr>
        <w:trPr>
          <w:trHeight w:val="216"/>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RSUs Issued as</w:t>
            </w:r>
          </w:p>
        </w:tc>
      </w:tr>
      <w:tr>
        <w:trPr>
          <w:trHeight w:val="216"/>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38"/>
        </w:trPr>
        <w:tc>
          <w:tcPr>
            <w:tcW w:w="1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 RSUs Issued</w:t>
            </w:r>
          </w:p>
        </w:tc>
        <w:tc>
          <w:tcPr>
            <w:tcW w:w="140" w:type="dxa"/>
            <w:vAlign w:val="bottom"/>
          </w:tcPr>
          <w:p>
            <w:pPr>
              <w:spacing w:after="0"/>
              <w:rPr>
                <w:sz w:val="20"/>
                <w:szCs w:val="20"/>
                <w:color w:val="auto"/>
              </w:rPr>
            </w:pPr>
          </w:p>
        </w:tc>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(1)</w:t>
            </w:r>
          </w:p>
        </w:tc>
      </w:tr>
      <w:tr>
        <w:trPr>
          <w:trHeight w:val="191"/>
        </w:trPr>
        <w:tc>
          <w:tcPr>
            <w:tcW w:w="1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3,250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16"/>
        </w:trPr>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71,427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8"/>
        </w:trPr>
        <w:tc>
          <w:tcPr>
            <w:tcW w:w="1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(62,771)</w:t>
            </w: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3"/>
        </w:trPr>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611" w:lineRule="exact"/>
        <w:rPr>
          <w:sz w:val="20"/>
          <w:szCs w:val="20"/>
          <w:color w:val="auto"/>
        </w:rPr>
      </w:pPr>
    </w:p>
    <w:p>
      <w:pPr>
        <w:sectPr>
          <w:pgSz w:w="11900" w:h="16838" w:orient="portrait"/>
          <w:cols w:equalWidth="0" w:num="2">
            <w:col w:w="6840" w:space="720"/>
            <w:col w:w="3680"/>
          </w:cols>
          <w:pgMar w:left="320" w:top="796"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of the 392,924 vested RSUs, 285,869 shares of Common Stock were issued, and 107,055 shares were to be issued in the near future.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12, 2022, the Compensation Committee of the Board of Directors approved an incentive plan for the Company’s executive officers consisting of a cash performance bonus of $60,000 to be awarded to Kevin Vassily, CFO of the Company, and grants of stock option (the “Option Grants”) exercisable to purchase (i) 3,000,000 shares of Common Stock to Chenlong Tan, CEO and (ii) 330,000 shares of Common Stock to Mr. Vassily. The Option Grants, which were issued on May 13, 2022, have an exercise price of $1.12, a contractual term of 10 years, and consist of six vesting tranches with a vesting schedule based entirely on the attainment of both operational milestones (performance conditions) and market conditions, assuming continued employment of the recipients through each vesting date. Each of the six vesting tranches of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estimated achievement status of the operational milestones as of March 31, 2025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8"/>
                <w:szCs w:val="18"/>
                <w:color w:val="auto"/>
              </w:rPr>
              <w:t>Revenue in Fiscal Year</w:t>
            </w:r>
          </w:p>
        </w:tc>
        <w:tc>
          <w:tcPr>
            <w:tcW w:w="1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color w:val="auto"/>
              </w:rPr>
              <w:t>Operating Income in Fiscal Year</w:t>
            </w:r>
          </w:p>
        </w:tc>
      </w:tr>
      <w:tr>
        <w:trPr>
          <w:trHeight w:val="191"/>
        </w:trPr>
        <w:tc>
          <w:tcPr>
            <w:tcW w:w="520" w:type="dxa"/>
            <w:vAlign w:val="bottom"/>
          </w:tcPr>
          <w:p>
            <w:pPr>
              <w:spacing w:after="0"/>
              <w:rPr>
                <w:sz w:val="16"/>
                <w:szCs w:val="16"/>
                <w:color w:val="auto"/>
              </w:rPr>
            </w:pPr>
          </w:p>
        </w:tc>
        <w:tc>
          <w:tcPr>
            <w:tcW w:w="3220" w:type="dxa"/>
            <w:vAlign w:val="bottom"/>
            <w:gridSpan w:val="3"/>
          </w:tcPr>
          <w:p>
            <w:pPr>
              <w:jc w:val="center"/>
              <w:ind w:right="1580"/>
              <w:spacing w:after="0" w:line="191" w:lineRule="exact"/>
              <w:rPr>
                <w:sz w:val="20"/>
                <w:szCs w:val="20"/>
                <w:color w:val="auto"/>
              </w:rPr>
            </w:pPr>
            <w:r>
              <w:rPr>
                <w:rFonts w:ascii="Times New Roman" w:cs="Times New Roman" w:eastAsia="Times New Roman" w:hAnsi="Times New Roman"/>
                <w:sz w:val="18"/>
                <w:szCs w:val="18"/>
                <w:color w:val="auto"/>
                <w:w w:val="99"/>
              </w:rPr>
              <w:t>Milestone</w:t>
            </w:r>
          </w:p>
        </w:tc>
        <w:tc>
          <w:tcPr>
            <w:tcW w:w="1920" w:type="dxa"/>
            <w:vAlign w:val="bottom"/>
          </w:tcPr>
          <w:p>
            <w:pPr>
              <w:jc w:val="center"/>
              <w:ind w:right="750"/>
              <w:spacing w:after="0" w:line="191" w:lineRule="exact"/>
              <w:rPr>
                <w:sz w:val="20"/>
                <w:szCs w:val="20"/>
                <w:color w:val="auto"/>
              </w:rPr>
            </w:pPr>
            <w:r>
              <w:rPr>
                <w:rFonts w:ascii="Times New Roman" w:cs="Times New Roman" w:eastAsia="Times New Roman" w:hAnsi="Times New Roman"/>
                <w:sz w:val="18"/>
                <w:szCs w:val="18"/>
                <w:color w:val="auto"/>
                <w:w w:val="99"/>
              </w:rPr>
              <w:t>Achievement</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40" w:type="dxa"/>
            <w:vAlign w:val="bottom"/>
            <w:gridSpan w:val="2"/>
          </w:tcPr>
          <w:p>
            <w:pPr>
              <w:jc w:val="center"/>
              <w:ind w:right="740"/>
              <w:spacing w:after="0" w:line="191" w:lineRule="exact"/>
              <w:rPr>
                <w:sz w:val="20"/>
                <w:szCs w:val="20"/>
                <w:color w:val="auto"/>
              </w:rPr>
            </w:pPr>
            <w:r>
              <w:rPr>
                <w:rFonts w:ascii="Times New Roman" w:cs="Times New Roman" w:eastAsia="Times New Roman" w:hAnsi="Times New Roman"/>
                <w:sz w:val="18"/>
                <w:szCs w:val="18"/>
                <w:color w:val="auto"/>
                <w:w w:val="99"/>
              </w:rPr>
              <w:t>Milestone</w:t>
            </w:r>
          </w:p>
        </w:tc>
        <w:tc>
          <w:tcPr>
            <w:tcW w:w="2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Achievement</w:t>
            </w:r>
          </w:p>
        </w:tc>
      </w:tr>
      <w:tr>
        <w:trPr>
          <w:trHeight w:val="234"/>
        </w:trPr>
        <w:tc>
          <w:tcPr>
            <w:tcW w:w="520" w:type="dxa"/>
            <w:vAlign w:val="bottom"/>
          </w:tcPr>
          <w:p>
            <w:pPr>
              <w:spacing w:after="0"/>
              <w:rPr>
                <w:sz w:val="20"/>
                <w:szCs w:val="20"/>
                <w:color w:val="auto"/>
              </w:rPr>
            </w:pPr>
          </w:p>
        </w:tc>
        <w:tc>
          <w:tcPr>
            <w:tcW w:w="322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color w:val="auto"/>
              </w:rPr>
              <w:t>(in Millions)</w:t>
            </w:r>
          </w:p>
        </w:tc>
        <w:tc>
          <w:tcPr>
            <w:tcW w:w="20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Status</w:t>
            </w:r>
          </w:p>
        </w:tc>
        <w:tc>
          <w:tcPr>
            <w:tcW w:w="460" w:type="dxa"/>
            <w:vAlign w:val="bottom"/>
          </w:tcPr>
          <w:p>
            <w:pPr>
              <w:spacing w:after="0"/>
              <w:rPr>
                <w:sz w:val="20"/>
                <w:szCs w:val="20"/>
                <w:color w:val="auto"/>
              </w:rPr>
            </w:pPr>
          </w:p>
        </w:tc>
        <w:tc>
          <w:tcPr>
            <w:tcW w:w="23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(in Millions)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Status</w:t>
            </w:r>
          </w:p>
        </w:tc>
      </w:tr>
      <w:tr>
        <w:trPr>
          <w:trHeight w:val="210"/>
        </w:trPr>
        <w:tc>
          <w:tcPr>
            <w:tcW w:w="5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r>
      <w:tr>
        <w:trPr>
          <w:trHeight w:val="216"/>
        </w:trPr>
        <w:tc>
          <w:tcPr>
            <w:tcW w:w="52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EEEEEE"/>
          </w:tcPr>
          <w:p>
            <w:pPr>
              <w:jc w:val="center"/>
              <w:ind w:right="290"/>
              <w:spacing w:after="0"/>
              <w:rPr>
                <w:sz w:val="20"/>
                <w:szCs w:val="20"/>
                <w:color w:val="auto"/>
              </w:rPr>
            </w:pPr>
            <w:r>
              <w:rPr>
                <w:rFonts w:ascii="Times New Roman" w:cs="Times New Roman" w:eastAsia="Times New Roman" w:hAnsi="Times New Roman"/>
                <w:sz w:val="18"/>
                <w:szCs w:val="18"/>
                <w:color w:val="auto"/>
                <w:w w:val="99"/>
              </w:rPr>
              <w:t>90</w:t>
            </w: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center"/>
              <w:ind w:right="900"/>
              <w:spacing w:after="0"/>
              <w:rPr>
                <w:sz w:val="20"/>
                <w:szCs w:val="20"/>
                <w:color w:val="auto"/>
              </w:rPr>
            </w:pPr>
            <w:r>
              <w:rPr>
                <w:rFonts w:ascii="Times New Roman" w:cs="Times New Roman" w:eastAsia="Times New Roman" w:hAnsi="Times New Roman"/>
                <w:sz w:val="18"/>
                <w:szCs w:val="18"/>
                <w:color w:val="auto"/>
                <w:w w:val="99"/>
              </w:rPr>
              <w:t>Probable</w:t>
            </w:r>
          </w:p>
        </w:tc>
        <w:tc>
          <w:tcPr>
            <w:tcW w:w="460" w:type="dxa"/>
            <w:vAlign w:val="bottom"/>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EEEEEE"/>
          </w:tcPr>
          <w:p>
            <w:pPr>
              <w:jc w:val="center"/>
              <w:ind w:right="270"/>
              <w:spacing w:after="0"/>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shd w:val="clear" w:color="auto" w:fill="EEEEEE"/>
          </w:tcPr>
          <w:p>
            <w:pPr>
              <w:spacing w:after="0"/>
              <w:rPr>
                <w:sz w:val="18"/>
                <w:szCs w:val="18"/>
                <w:color w:val="auto"/>
              </w:rPr>
            </w:pPr>
          </w:p>
        </w:tc>
        <w:tc>
          <w:tcPr>
            <w:tcW w:w="2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6"/>
              </w:rPr>
              <w:t>100</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Probable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88"/>
              </w:rPr>
              <w:t>8</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52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EEEEEE"/>
          </w:tcPr>
          <w:p>
            <w:pPr>
              <w:jc w:val="center"/>
              <w:ind w:right="290"/>
              <w:spacing w:after="0"/>
              <w:rPr>
                <w:sz w:val="20"/>
                <w:szCs w:val="20"/>
                <w:color w:val="auto"/>
              </w:rPr>
            </w:pPr>
            <w:r>
              <w:rPr>
                <w:rFonts w:ascii="Times New Roman" w:cs="Times New Roman" w:eastAsia="Times New Roman" w:hAnsi="Times New Roman"/>
                <w:sz w:val="18"/>
                <w:szCs w:val="18"/>
                <w:color w:val="auto"/>
                <w:w w:val="96"/>
              </w:rPr>
              <w:t>125</w:t>
            </w: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center"/>
              <w:ind w:right="8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EEEEEE"/>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shd w:val="clear" w:color="auto" w:fill="EEEEEE"/>
          </w:tcPr>
          <w:p>
            <w:pPr>
              <w:spacing w:after="0"/>
              <w:rPr>
                <w:sz w:val="18"/>
                <w:szCs w:val="18"/>
                <w:color w:val="auto"/>
              </w:rPr>
            </w:pPr>
          </w:p>
        </w:tc>
        <w:tc>
          <w:tcPr>
            <w:tcW w:w="2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6"/>
              </w:rPr>
              <w:t>150</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52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EEEEEE"/>
          </w:tcPr>
          <w:p>
            <w:pPr>
              <w:jc w:val="center"/>
              <w:ind w:right="290"/>
              <w:spacing w:after="0"/>
              <w:rPr>
                <w:sz w:val="20"/>
                <w:szCs w:val="20"/>
                <w:color w:val="auto"/>
              </w:rPr>
            </w:pPr>
            <w:r>
              <w:rPr>
                <w:rFonts w:ascii="Times New Roman" w:cs="Times New Roman" w:eastAsia="Times New Roman" w:hAnsi="Times New Roman"/>
                <w:sz w:val="18"/>
                <w:szCs w:val="18"/>
                <w:color w:val="auto"/>
                <w:w w:val="96"/>
              </w:rPr>
              <w:t>200</w:t>
            </w: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center"/>
              <w:ind w:right="8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EEEEEE"/>
          </w:tcPr>
          <w:p>
            <w:pPr>
              <w:jc w:val="center"/>
              <w:ind w:right="250"/>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shd w:val="clear" w:color="auto" w:fill="EEEEEE"/>
          </w:tcPr>
          <w:p>
            <w:pPr>
              <w:spacing w:after="0"/>
              <w:rPr>
                <w:sz w:val="18"/>
                <w:szCs w:val="18"/>
                <w:color w:val="auto"/>
              </w:rPr>
            </w:pPr>
          </w:p>
        </w:tc>
        <w:tc>
          <w:tcPr>
            <w:tcW w:w="2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6"/>
              </w:rPr>
              <w:t>250</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w:t>
            </w: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that fair value is recognized over the longer of the implied service period or requisite service period if it is probable that one of the performance conditions will be met. In relation to the two awards deemed probable to vest, the recognition period ranges from 5.30 years to 5.72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the Company will achieve each operational milestone that has not previously been achieved or deemed probable of achievement and, if so, the future time when the Company expects to achieve that operational milestone. The Monte Carlo simulation utilized the following inputs:</w:t>
      </w:r>
    </w:p>
    <w:p>
      <w:pPr>
        <w:spacing w:after="0" w:line="1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$1.12</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95.65%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–10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2.93%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the Option Grants was $3.2 million of which, at December 31, 2023, $2.3 million is deemed probable of vesting.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quarter ended March 31, 2025, the Company reassessed the expected timing of meeting the performance conditions. According to ASC 718-10-55-78, since the number of awards expected to vest and the fair value had changed with the new estimate, the adjustment affected the recognition value and years to vest. Therefore, the Company had reversed $674,720 of the expenses recorded for non-vesting tranches and applied the prospective approach to record adjustment on tranches expected to be vested in future periods. As of March 31, 2025, none of the options had vested. For the three and nine months ended March 31, 2025, the Company recorded $(668,065) and $(482,381) of stock-based compensation expense related to the Option Grants. For the three and nine months ended March 31, 2024, the Company recorded $110,382 and $331,146 of stock-based compensation expense related to the Option Grants. As of March 31, 2025, unrecognized compensation cost related to tranches probable of vesting is approximately $145,144 and will be recognized over five years to six years, depending on the tranche.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29, 2024, the board of directors (the “Board”) of the Company, based on the recommendation of the compensation committee of the Board, approved a grant of 1,200,000 stock options (the “2024 Stock Options”) issuable to Chenlong Tan, the Company’s Chief Executive Officer, pursuant to the terms of the iPower Inc. Amended and Restated 2020 Equity Incentive Plan (the “Plan”). Following the Board’s approval, Mr. Tan and the Company entered into a stock option award agreement (the "Stock Option Award Agreement").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Stock Option Award Agreement, and subject to the terms and conditions of the Stock Option Award Agreement and the Plan, upon vesting of the 2024 Stock Options, Mr. Tan will have the option to purchase common stock, par value $0.001 per share of the Company, at an exercise price of $1.43 per share (which is 110% of the Fair Market Value of the stock on the grant date). The 2024 Stock Options have a term of 10 years and will vest as follows: 30,000 2024 Stock Options vested on the grant date (August 29, 2024), and 32,500 2024 Stock Options will vest on the first day of each month from September 1, 2024, to August 1, 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grant date, a Black-Scholes Model was used to determine the fair value of the 2024 Stock Options with the following inputs: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$1.30</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 $1.43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101%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–5.71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3.66%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the 2024 Stock Options was $1.22 million as of the grant date. For the three and nine months ended March 31, 2025, 97,500 and 257,500 stock options were vested and the Company recorded $99,512 and $262,813 as stock compensation expense. As of March 31, 2025, the unrecognized compensation cost of the 2024 Stock Options was approximately $0.96 million and will be recognized monthly through August 1,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Warrant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are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warrants held by the Convertible Note investors were reclassified to additional paid in capital as the terms became fixed upon closing of the IPO. Through the term of the warrants, none of the private placement investors exercised any of their warrants and the warrants expired in May 2024. As such, there were no warrants outstanding as of March 31, 2025 and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Concentration of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accounts receivable.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and June 30, 2024, $2,192,255 and $7,377,837, respectively, were deposited with various major financial institutions in the United States and PRC. Accounts at each institution in the United States are insured by the Federal Deposit Insurance Corporation (FDIC) for up to $250,000. The Company had approximately $1.4 million and $5.8 million, respectively, in excess of the FDIC insurance limit, as of March 31, 2025 and June 30,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of DHS, the Company’s VIE, may be impacted by Chinese economic conditions, changes in regulations and laws, and other uncertainties.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Customer and vendor concentration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March 31, 2025 and 2024, Amazon Vendor and Amazon Seller customers accounted for 85% and 91% of the Company's total revenues, respectively. As of March 31, 2025 and June 30, 2024, accounts receivable from Amazon Vendor and Amazon Seller accounted for 84% and 91% of the Company’s total accounts receivable.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March 31, 2025 and 2024, one supplier accounted for 12% and 10% of the Company's total purchases, respectively. As of March 31, 2025 and June 30, 2024, accounts payable to two suppliers accounted for 19% (9% and 9%) and 45% (36% and 9%) of the Company’s total accounts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commitments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 lease agreement for office and warehouse space with a lease period from December 1, 2018 until December 31, 2020. On August 24, 2020, the Company negotiated for new terms to extend the lease through December 21, 2023 at the rate of approximately $42,000 per month. On December 21, 2023, the lease expired without renewal.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 2020, in addition to the primary fulfillment center, the Company leased a second fulfillment center in City of Industry, California. The base rental fee was $27,921 to $29,910 per month through October 31, 2023. On October 31, 2023, the lease expired without renewal.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15, 2022, upon completion of the acquisition of Anivia Limited, the Company assumed an operating lease for offices located in the People’s Republic of China. In July 2023, the Company renewed the lease contract for its existing office plus additional office space. The lease term is for three years expiring on July 14, 2026. The total base rental fee for these offices is approximately $19,406 per month. In September 2024, the Company terminated the lease contract of the office space.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is for 62 months, commencing on the date on which the Landlord completes certain prescribed improvements on the property (the “Rent Commencement Date”). The Lease Agreement does not provide for an option to renew. Under the Lease Agreement, the Company is responsible for its pro rata share of certain costs, including utility costs, insurance and common area costs, as further detailed in the Lease Agreement. In addition, following the Rent Commencement Date, Base Rent for the first two months was abated.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did not start under the original agreement as the construction was not completed. On February 23, 2022, the Company entered into an amended agreement to extend the lease term to 74 months. Under the amended agreement, the lease commenced on February 10, 2022, with rent payments commencing May 11, 2022 and the lease expiring on May 31, 2028. The base rental fee was $114,249, increasing gradually over time to $140,079 per month through the expiration date of May 31, 2028.</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2022, the Company leased another fulfillment center in Duarte, California. The base rental fee is $56,000 to $59,410 per month through April 30, 2025. The lease term expired on April 30, 2025 and the Company did not renew the lease.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2024, DHS entered into a sublease agreement with a third-party entity for office space in Shenzhen. The lease term is for one year from October 1, 2024 to September 30, 2025. The lease is treated as a short-term lease and the base rental fee is approximately $10,000 per month.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commitment for the full term of the above leases is $12,651,376. The financial statements reflected $4,281,622 and $6,124,163, respectively, of operating lease right-of-use assets, and $4,659,637 and $6,549,110, respectively, of operating lease liabilities as of March 31, 2025 and June 30, 2024.</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months Ended March 31, 2025 and 2024: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Lease cost</w:t>
            </w:r>
          </w:p>
        </w:tc>
        <w:tc>
          <w:tcPr>
            <w:tcW w:w="120" w:type="dxa"/>
            <w:vAlign w:val="bottom"/>
            <w:tcBorders>
              <w:bottom w:val="single" w:sz="8" w:color="EEEEE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03/31/2025</w:t>
            </w:r>
          </w:p>
        </w:tc>
        <w:tc>
          <w:tcPr>
            <w:tcW w:w="220" w:type="dxa"/>
            <w:vAlign w:val="bottom"/>
            <w:tcBorders>
              <w:bottom w:val="single" w:sz="8" w:color="EEEEE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03/31/2024</w:t>
            </w: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 (included in G&amp;A in the Company's statement of operations)</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534,836</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592,410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20" w:type="dxa"/>
            <w:vAlign w:val="bottom"/>
            <w:tcBorders>
              <w:bottom w:val="single" w:sz="8" w:color="auto"/>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w w:val="99"/>
              </w:rPr>
              <w:t>Other information</w:t>
            </w:r>
          </w:p>
        </w:tc>
        <w:tc>
          <w:tcPr>
            <w:tcW w:w="61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4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4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552,768</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594,976</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0.08 – 3.17</w:t>
            </w:r>
          </w:p>
        </w:tc>
        <w:tc>
          <w:tcPr>
            <w:tcW w:w="2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 – 4.17</w:t>
            </w:r>
          </w:p>
        </w:tc>
        <w:tc>
          <w:tcPr>
            <w:tcW w:w="0" w:type="dxa"/>
            <w:vAlign w:val="bottom"/>
          </w:tcPr>
          <w:p>
            <w:pPr>
              <w:spacing w:after="0"/>
              <w:rPr>
                <w:sz w:val="1"/>
                <w:szCs w:val="1"/>
                <w:color w:val="auto"/>
              </w:rPr>
            </w:pP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discount rate - operating leases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5 - 6%</w:t>
            </w:r>
          </w:p>
        </w:tc>
        <w:tc>
          <w:tcPr>
            <w:tcW w:w="2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5 - 8%</w:t>
            </w:r>
          </w:p>
        </w:tc>
        <w:tc>
          <w:tcPr>
            <w:tcW w:w="0" w:type="dxa"/>
            <w:vAlign w:val="bottom"/>
          </w:tcPr>
          <w:p>
            <w:pPr>
              <w:spacing w:after="0"/>
              <w:rPr>
                <w:sz w:val="1"/>
                <w:szCs w:val="1"/>
                <w:color w:val="auto"/>
              </w:rPr>
            </w:pPr>
          </w:p>
        </w:tc>
      </w:tr>
      <w:tr>
        <w:trPr>
          <w:trHeight w:val="40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Nine months Ended March 31, 2025 and 2024: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03/31/2025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03/31/2024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Lease cost</w:t>
            </w:r>
          </w:p>
        </w:tc>
        <w:tc>
          <w:tcPr>
            <w:tcW w:w="120" w:type="dxa"/>
            <w:vAlign w:val="bottom"/>
            <w:tcBorders>
              <w:bottom w:val="single" w:sz="8" w:color="EEEEE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 (included in G&amp;A in the Company's statement of operations)</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1,798,416</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2,124,939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20" w:type="dxa"/>
            <w:vAlign w:val="bottom"/>
            <w:tcBorders>
              <w:bottom w:val="single" w:sz="8" w:color="auto"/>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w w:val="99"/>
              </w:rPr>
              <w:t>Other information</w:t>
            </w:r>
          </w:p>
        </w:tc>
        <w:tc>
          <w:tcPr>
            <w:tcW w:w="61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4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4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1,837,011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2,129,841</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0.08 – 3.17</w:t>
            </w:r>
          </w:p>
        </w:tc>
        <w:tc>
          <w:tcPr>
            <w:tcW w:w="2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 – 4.17</w:t>
            </w:r>
          </w:p>
        </w:tc>
        <w:tc>
          <w:tcPr>
            <w:tcW w:w="0" w:type="dxa"/>
            <w:vAlign w:val="bottom"/>
          </w:tcPr>
          <w:p>
            <w:pPr>
              <w:spacing w:after="0"/>
              <w:rPr>
                <w:sz w:val="1"/>
                <w:szCs w:val="1"/>
                <w:color w:val="auto"/>
              </w:rPr>
            </w:pP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discount rate - operating leases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5 - 6%</w:t>
            </w:r>
          </w:p>
        </w:tc>
        <w:tc>
          <w:tcPr>
            <w:tcW w:w="2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5 - 8%</w:t>
            </w:r>
          </w:p>
        </w:tc>
        <w:tc>
          <w:tcPr>
            <w:tcW w:w="0" w:type="dxa"/>
            <w:vAlign w:val="bottom"/>
          </w:tcPr>
          <w:p>
            <w:pPr>
              <w:spacing w:after="0"/>
              <w:rPr>
                <w:sz w:val="1"/>
                <w:szCs w:val="1"/>
                <w:color w:val="auto"/>
              </w:rPr>
            </w:pP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supplemental balance sheet information related to leases for the period is as follows:</w:t>
      </w:r>
    </w:p>
    <w:p>
      <w:pPr>
        <w:sectPr>
          <w:pgSz w:w="11900" w:h="16838" w:orient="portrait"/>
          <w:cols w:equalWidth="0" w:num="1">
            <w:col w:w="11240"/>
          </w:cols>
          <w:pgMar w:left="320" w:top="796" w:right="33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7148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use asset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Liability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Liability - 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lease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Year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(excluding the first nine months of the fiscal year ending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Imputed interest/present value discount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value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03/31/2025</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06/30/2024</w:t>
            </w:r>
          </w:p>
        </w:tc>
        <w:tc>
          <w:tcPr>
            <w:tcW w:w="60" w:type="dxa"/>
            <w:vAlign w:val="bottom"/>
          </w:tcPr>
          <w:p>
            <w:pPr>
              <w:spacing w:after="0"/>
              <w:rPr>
                <w:sz w:val="21"/>
                <w:szCs w:val="21"/>
                <w:color w:val="auto"/>
              </w:rPr>
            </w:pPr>
          </w:p>
        </w:tc>
      </w:tr>
      <w:tr>
        <w:trPr>
          <w:trHeight w:val="446"/>
        </w:trPr>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4,281,622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6,124,163</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1,392,146</w:t>
            </w:r>
          </w:p>
        </w:tc>
        <w:tc>
          <w:tcPr>
            <w:tcW w:w="2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2,039,301</w:t>
            </w:r>
          </w:p>
        </w:tc>
        <w:tc>
          <w:tcPr>
            <w:tcW w:w="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3,267,491</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4,509,809</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4,659,637</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6,549,110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4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Operating</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40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437,924</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1,533,918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1,459,409</w:t>
            </w:r>
          </w:p>
        </w:tc>
        <w:tc>
          <w:tcPr>
            <w:tcW w:w="6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(358,186)</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4,659,637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6840" w:space="720"/>
            <w:col w:w="3680"/>
          </w:cols>
          <w:pgMar w:left="320" w:top="796" w:right="33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is seeking, among other things, monetary damages against the Company and D.A. Davidson &amp; Co. (who acted as underwriter in the Company’s IPO).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 As of March 31, 2024, the Company cannot reasonably estimate the amount of potential exposure.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 2024, the Company and D.A. Davidson &amp; Co entered into a settlement agreement and mutual release (the “Settlement Agreement”) with Boustead Securities, LLC (“Boustead”) and its current and former employees, officers, directors, partners, agents and affiliates, pursuant to which all parties agreed to release all claims in exchange for the Company’s payment of $1.3 million (the “Settlement Amount”) to Boustead. The Settlement Agreement was entered into for purposes of settling in full the FINRA Arbitration (FINRA Case No. 22-01133) which had been brought by Boustead against the Company and D.A. Davidson after the Company opted not to complete its initial public offering with Boustead but instead engaged and completed its initial public offering with D.A. Davidson. Pursuant to the terms of the Settlement Agreement, the Company is required to pay the Settlement Amount in four equal installments of $325,000 on each of April 3, 2024, May 3, 2024, June 3, 2024 and July 3, 2024. Within five days of its receipt of the final payment, or by July 8, 2024, Boustead will be obligated to dismiss the FINRA Arbitration against the Company, with prejudice, after which time the Company will be required to dismiss, with prejudice, all counterclaims brought by the Company against Boustead. For the year ended June 30, 2024, the Company considered and concluded that the Settlement Amount of $1.3 million was incremental costs directly associated with the IPO under ASC 340-10-S99-1 and so recorded as offering costs against additional paid-in capital. As of June 30, 2024, the outstanding balance of the Settlement Amount was $325,000. As of March 31, 2025, the Settlement Amount had been paid off and the parties have formally withdrawn all of the complaints that were before FINRA, with prejudice, and the matter is settled in full.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entry into the Settlement Agreement, the Company’s CEO and co-founder, Chenlong Tan, and Allan Huang, also a co-founder of the Company, entered into a pledge agreement (the “Pledge Agreement”) with the Company pursuant to which they each pledged 1,300,000 shares of their iPower common stock, for a total of 2,600,000 shares (the “Pledged Shares”), in order that the Company may, from time to time, sell such Pledged Shares into the market on behalf of Messrs. Tan and Huang in order to recoup the Settlement Amount.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18, 2024, calculating the shares at $2.40, Messrs. Tan and Huang returned a total of 541,667 shares as indemnification payment to the Company for cancellation (the “Share Cancellation”). The Share Cancellation was completed in June 2024.</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present the majority of our products are sourced either in the United States or China. On April 10, 2025, the U.S. announced it would be imposing tariffs of 145% on all goods imported from China, and the Chinese government countered by imposing 125% tariffs on all goods exported from the U.S. to China. On May 12, 2025, the United States and China announced a 90-day pause on most of their recent tariffs on each other. The combined U.S. tariff rate on Chinese imports will be cut to 30% from 145%, while China’s levies on U.S. imports will fall to 10% from 125%. We anticipate general economic disruption and uncertainty surrounding trade stability during the near term. While there may be a negative impact on sales revenues, we are actively working on a cost-restructuring plan to reduce our costs and expenses in order to achieve profitability. In addition, in February 2022, the Russian Federation began conducting military operations against Ukraine, and in October 2023, an armed conflict between Hamas-led Palestinian militant groups and Israeli military forces began, both of which have since escalated into prolonged wars. While we do not do business in those regions, the military conflicts in Ukraine and the Middle East have resulted in global economic uncertainty and increased the cost of various commodities. In response to these types of events, should they directly impact our supply chain or other operations, we may experience or be exposed to supply chain disruptions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we have experienced a delay in, as well as an increase in costs in shipping, resulting in increased inventory levels in our warehouse facilities, thus resulting in reduced profits. In addition, supply chain disruptions may put upward pressure on our costs and increase the risk that we may be unable to acquire the materials and services we need to continue to acquire and distribute certain products.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On April 13, 2020, the Company entered into an agreement with Royal Business Bank (the “Lender”) for a total amount of $175,500, pursuant to a promissory note issued by the Company to the Lender (the “PPP Note”). The loan was made pursuant to the Payroll Protection Program established as part of the Coronavirus Aid, Relief and Economic Security Act (the “CARES Act”). On March 22, 2021, the $175,500 PPP Note due to Royal Business Bank was fully forgiven by the Small Business Administration (“SBA”).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retain PPP loan documentation through 2026 and permit authorized representatives of the SBA to access such files upon request. Should the SBA conduct such a review and reject all or some of the Company’s judgments pertaining to satisfying PPP loan eligibility or forgiveness conditions, the Company may be required to adjust previously reported amounts and disclosures in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unaudited condensed consolidated financial statements were available to be issued. Other than as set forth below, there were no material subsequent events that required recognition or additional disclosure in the unaudited condensed consolidated financial statements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(the “MD&amp;A”) should be read in conjunction with our unaudited financial statements and the related notes thereto included elsewhere herein. This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report. Our actual results and the timing of events could differ materially from those anticipated in these forward-looking statements as a result of several factors.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 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Driven by technology and data, iPower Inc. (“iPower,” “we,” “us,” or “the Company”) is an online supplier of consumer goods, including hydroponics equipment, general gardening supplies, and consumer home goods. Through the operations of our e-commerce platforms and channel partners, and our combined 121,000 sq. ft. fulfillment centers in Rancho Cucamonga and Los Angeles, California, we believe we are one of the leading marketers, distributors and retailers in the consumer gardening and home goods categories, based on management’s estimates. Our core strategy continues to focus on expanding our geographic reach across the United States and internationally through organic growth, both in terms of expanding customer base as well as brand and product development. iPower has developed a set of methodologies driven by proprietary data formulas to effectively bring products to market and sales.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We are actively developing our in-house branded products and through supply chain partners, which to date include the </w:t>
      </w:r>
      <w:r>
        <w:rPr>
          <w:rFonts w:ascii="Times New Roman" w:cs="Times New Roman" w:eastAsia="Times New Roman" w:hAnsi="Times New Roman"/>
          <w:sz w:val="18"/>
          <w:szCs w:val="18"/>
          <w:b w:val="1"/>
          <w:bCs w:val="1"/>
          <w:color w:val="auto"/>
        </w:rPr>
        <w:t>iPower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Simple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Deluxe </w:t>
      </w:r>
      <w:r>
        <w:rPr>
          <w:rFonts w:ascii="Times New Roman" w:cs="Times New Roman" w:eastAsia="Times New Roman" w:hAnsi="Times New Roman"/>
          <w:sz w:val="18"/>
          <w:szCs w:val="18"/>
          <w:color w:val="auto"/>
        </w:rPr>
        <w:t>brands and more, some of which have been designated as Amazon best seller product leaders and Amazon Choice products, among others.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Expectations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and Brand Development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plan to increase investments in product and brand development. We actively evaluate potential acquisition opportunities of companies and product brand names that can complement our product catalog and improve our existing products and supply chain efficiencies.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Disruption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present the majority of our products are sourced either in the United States or China. On April 10, 2025, the U.S. announced it would be imposing tariffs of 145% on all goods imported from China, and the Chinese government countered by imposing 125% tariffs on all goods exported from the U.S. to China. On May 12, 2025, the United States and China announced a 90-day pause on most of their recent tariffs on each other. The combined U.S. tariff rate on Chinese imports will be cut to 30% from 145%, while China’s levies on U.S. imports will fall to 10% from 125%. We anticipate general economic disruption and uncertainty in trade stability during the near term. This is on top of any global economic disruptions caused by the wars between Ukraine and Russia and Israel and Hamas. We have experienced a decrease in the speed with which we are able to purchase new inventory, as well as an increase in costs due to delays in shipping, as well as a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 While we are actively working on a cost-restructuring plan to reduce our costs and expenses, we anticipate that these challenges around trade and general supply chain disruption will remain uncertain in the near term and are unable to predict with certainty the effects of such disruptions on our business.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Regulatory Environment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Among our suite of products, 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Demand for our products could be impacted by changes in the regulatory environment with respect to such industries and segments.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2025 and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unaudited condensed consolidated statement of operations information and presentation of that data as a percentage of change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10"/>
        </w:trPr>
        <w:tc>
          <w:tcPr>
            <w:tcW w:w="5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 – product sales</w:t>
            </w:r>
          </w:p>
        </w:tc>
        <w:tc>
          <w:tcPr>
            <w:tcW w:w="1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15,546,233</w:t>
            </w:r>
          </w:p>
        </w:tc>
        <w:tc>
          <w:tcPr>
            <w:tcW w:w="3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22,593,081</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Revenues – service income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1,023,445</w:t>
            </w:r>
          </w:p>
        </w:tc>
        <w:tc>
          <w:tcPr>
            <w:tcW w:w="1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715,427</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43.1%</w:t>
            </w:r>
          </w:p>
        </w:tc>
      </w:tr>
      <w:tr>
        <w:trPr>
          <w:trHeight w:val="209"/>
        </w:trPr>
        <w:tc>
          <w:tcPr>
            <w:tcW w:w="52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16,569,678</w:t>
            </w:r>
          </w:p>
        </w:tc>
        <w:tc>
          <w:tcPr>
            <w:tcW w:w="3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23,308,508</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revenues – product costs</w:t>
            </w: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8,512,709</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12,360,170</w:t>
            </w:r>
          </w:p>
        </w:tc>
        <w:tc>
          <w:tcPr>
            <w:tcW w:w="14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service costs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879,995</w:t>
            </w:r>
          </w:p>
        </w:tc>
        <w:tc>
          <w:tcPr>
            <w:tcW w:w="1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581,229</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51.4%</w:t>
            </w:r>
          </w:p>
        </w:tc>
      </w:tr>
      <w:tr>
        <w:trPr>
          <w:trHeight w:val="210"/>
        </w:trPr>
        <w:tc>
          <w:tcPr>
            <w:tcW w:w="52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9,392,704</w:t>
            </w:r>
          </w:p>
        </w:tc>
        <w:tc>
          <w:tcPr>
            <w:tcW w:w="3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12,941,339</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7,176,974</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10,367,109</w:t>
            </w:r>
          </w:p>
        </w:tc>
        <w:tc>
          <w:tcPr>
            <w:tcW w:w="14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7,445,977</w:t>
            </w:r>
          </w:p>
        </w:tc>
        <w:tc>
          <w:tcPr>
            <w:tcW w:w="1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8,765,833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0"/>
        </w:trPr>
        <w:tc>
          <w:tcPr>
            <w:tcW w:w="5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(269,003)</w:t>
            </w:r>
          </w:p>
        </w:tc>
        <w:tc>
          <w:tcPr>
            <w:tcW w:w="3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1,601,276</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(47,353)</w:t>
            </w:r>
          </w:p>
        </w:tc>
        <w:tc>
          <w:tcPr>
            <w:tcW w:w="10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(211,660)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(77.63%)</w:t>
            </w:r>
          </w:p>
        </w:tc>
      </w:tr>
      <w:tr>
        <w:trPr>
          <w:trHeight w:val="210"/>
        </w:trPr>
        <w:tc>
          <w:tcPr>
            <w:tcW w:w="5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(316,356)</w:t>
            </w:r>
          </w:p>
        </w:tc>
        <w:tc>
          <w:tcPr>
            <w:tcW w:w="3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1,389,616</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26,017</w:t>
            </w:r>
          </w:p>
        </w:tc>
        <w:tc>
          <w:tcPr>
            <w:tcW w:w="1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377,147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10"/>
        </w:trPr>
        <w:tc>
          <w:tcPr>
            <w:tcW w:w="5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(342,373)</w:t>
            </w:r>
          </w:p>
        </w:tc>
        <w:tc>
          <w:tcPr>
            <w:tcW w:w="3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1,012,469</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0"/>
        </w:trPr>
        <w:tc>
          <w:tcPr>
            <w:tcW w:w="5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income attributable to iPower Inc.</w:t>
            </w:r>
          </w:p>
        </w:tc>
        <w:tc>
          <w:tcPr>
            <w:tcW w:w="1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(339,599)</w:t>
            </w:r>
          </w:p>
        </w:tc>
        <w:tc>
          <w:tcPr>
            <w:tcW w:w="3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1,016,082</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(97,556)</w:t>
            </w:r>
          </w:p>
        </w:tc>
        <w:tc>
          <w:tcPr>
            <w:tcW w:w="1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69,122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10"/>
        </w:trPr>
        <w:tc>
          <w:tcPr>
            <w:tcW w:w="5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iPower Inc.</w:t>
            </w:r>
          </w:p>
        </w:tc>
        <w:tc>
          <w:tcPr>
            <w:tcW w:w="1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(437,155)</w:t>
            </w:r>
          </w:p>
        </w:tc>
        <w:tc>
          <w:tcPr>
            <w:tcW w:w="3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1,085,204</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 % of revenues</w:t>
            </w: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44.5%</w:t>
            </w: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 % of revenues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income % of revenues</w:t>
            </w: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March 31, 2025 decreased 28.9% to $16,569,678 as compared to $23,308,508 for the three months ended March 31, 2024. While pricing remained stable and with the additional logistics service income, the decrease was mainly due to uncertainty over tariffs and reduction of Amazon vendor orders, offset by an increase of retail channel and service revenues during the three months ended March 31, 2025 as compared to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of revenues for the three months ended March 31, 2025 decreased 27.4% to $9,392,704 as compared to $12,941,399 for the three months ended March 31, 2024. The decrease was primarily due to the combination of an increase in the costs related to the logistics service income and a decrease in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was $7,176,974 for the three months ended March 31, 2025 as compared to $10,367,109 for the three months ended March 31, 2024. While the overall gross profit ratio of the total sales revenues decreased to 43.3% for the three months ended March 31, 2025 from 44.5% for the three months ended March 31, 2024, the gross profit ratio of product sales revenue for the three months ended March 31, 2025 and 2024 was 45.2% and 45.3%, respectively. The decrease in the gross profit ratio was primarily driven by the increase in the logistics service income and secondarily by increases in freight costs and product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Operating expenses for the three months ended March 31, 2025 decreased 15.1% to $7,445,977 as compared to $8,765,833 for the three months ended March 31, 2024. The decrease was mainly due to the decrease in general and administrative expenses of $1.4 million, which included payroll expenses, reversal of stock-based compensation expense of $674,720, insurance expenses, travel expenses, legal fee and other operating expenses. Specifically the decrease in merchant fees was resulted from decrease in sales to amazon vendor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Income from Operations</w:t>
      </w:r>
    </w:p>
    <w:p>
      <w:pPr>
        <w:spacing w:after="0" w:line="229"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18"/>
          <w:szCs w:val="18"/>
          <w:color w:val="auto"/>
        </w:rPr>
        <w:t>(Loss) Income from operations was $(269,003) for the three months ended March 31, 2025 as compared to $1,601,276 for the three months ended March 31, 2024. The decrease in loss resulted from the combination of decrease in sales and in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income (expenses) consist of interest expense and other non-operating income (expenses). Other income (expenses) for the three months ended March 31, 2025 was $(47,353) as compared to $(211,660) for the three months ended March 31, 2024. The decrease in other income (expenses) was mainly due to the combination of the increase in other non-operating income of $65,270, including a foreign currency exchange income of $35,601, and a decrease in interest, including amortization of debt discount, on the revolving loan of $99,231 during the three months ended March 31, 2025 resulted from the decreasing loan balance.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Attributable to iPower Inc.</w:t>
      </w:r>
    </w:p>
    <w:p>
      <w:pPr>
        <w:spacing w:after="0" w:line="22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Net (loss) income attributable to iPower Inc. for the three months ended March 31, 2025 was $(339,599) as compared to $1,016,082 for the three months ended March 31, 2024, representing an increase in net loss of $1,355,681. The increase was primarily due to the decrease in sales being greater than the decrease in operating expenses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Income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income attributable to iPower Inc. for the three months ended March 31, 2025 was $(437,155) as compared to $1,085,204 for the three months ended March 31, 2024, representing an increase in comprehensive loss of $1,522,359. The decrease was due to the reasons discussed above, along with an increase in other comprehensive loss of $166,678 as a result of foreign currency translation adjustments resulting from the translation of RMB, the functional currency of our VIE in the PRC, to USD, the reporting currency of the Company.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March 31, 2025 and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unaudited condensed consolidated statement of operations information and presentation of that data as a percentage of change from period to period.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9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 – product sales</w:t>
            </w: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51,428,534</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65,901,577</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Revenues – service income</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3,222,236</w:t>
            </w:r>
          </w:p>
        </w:tc>
        <w:tc>
          <w:tcPr>
            <w:tcW w:w="12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715,427</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350.4%</w:t>
            </w:r>
          </w:p>
        </w:tc>
      </w:tr>
      <w:tr>
        <w:trPr>
          <w:trHeight w:val="209"/>
        </w:trPr>
        <w:tc>
          <w:tcPr>
            <w:tcW w:w="490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54,650,770</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66,617,004</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revenues – product costs</w:t>
            </w:r>
          </w:p>
        </w:tc>
        <w:tc>
          <w:tcPr>
            <w:tcW w:w="1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27,891,276</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36,591,581</w:t>
            </w:r>
          </w:p>
        </w:tc>
        <w:tc>
          <w:tcPr>
            <w:tcW w:w="14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service costs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2,704,737</w:t>
            </w:r>
          </w:p>
        </w:tc>
        <w:tc>
          <w:tcPr>
            <w:tcW w:w="12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581,229</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365.3%</w:t>
            </w:r>
          </w:p>
        </w:tc>
      </w:tr>
      <w:tr>
        <w:trPr>
          <w:trHeight w:val="209"/>
        </w:trPr>
        <w:tc>
          <w:tcPr>
            <w:tcW w:w="490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30,596,013</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37,172,810</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24,054,757</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29,444,194</w:t>
            </w:r>
          </w:p>
        </w:tc>
        <w:tc>
          <w:tcPr>
            <w:tcW w:w="14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26,386,587</w:t>
            </w:r>
          </w:p>
        </w:tc>
        <w:tc>
          <w:tcPr>
            <w:tcW w:w="12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31,663,942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0"/>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(2,331,830)</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(2,219,748)</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(316,980)</w:t>
            </w:r>
          </w:p>
        </w:tc>
        <w:tc>
          <w:tcPr>
            <w:tcW w:w="1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(562,791)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09"/>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(2,648,810)</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(2,782,539)</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(489,984)</w:t>
            </w:r>
          </w:p>
        </w:tc>
        <w:tc>
          <w:tcPr>
            <w:tcW w:w="1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(587,674)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09"/>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(2,158,826)</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(2,194,865)</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(8,765)</w:t>
            </w:r>
          </w:p>
        </w:tc>
        <w:tc>
          <w:tcPr>
            <w:tcW w:w="1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(9,604)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(2,150,061)</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(2,185,261)</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3,520</w:t>
            </w:r>
          </w:p>
        </w:tc>
        <w:tc>
          <w:tcPr>
            <w:tcW w:w="1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(91,840)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10"/>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loss attributable to iPower Inc.</w:t>
            </w:r>
          </w:p>
        </w:tc>
        <w:tc>
          <w:tcPr>
            <w:tcW w:w="15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(2,146,541)</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(2,277,101)</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 % of revenues</w:t>
            </w:r>
          </w:p>
        </w:tc>
        <w:tc>
          <w:tcPr>
            <w:tcW w:w="1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44.2%</w:t>
            </w: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 of revenues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 of revenues</w:t>
            </w:r>
          </w:p>
        </w:tc>
        <w:tc>
          <w:tcPr>
            <w:tcW w:w="1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Revenues for the nine months ended March 31, 2025 decreased 18.0% to $54,650,770 as compared to $66,617,004 for the nine months ended March 31, 2024. While pricing remained stable, the decreased revenue mainly resulted from a decrease in sales volume during the nine months ended March 31, 2025 as the Company offered less promotions and clearance activities due to lower inventory level as compared to the nine months ended March 31, 2024. In addition, the Company also experienced decrease in amazon orders due to uncertainty over tariffs during the three months ended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of revenues for the nine months ended March 31, 2025 decreased 17.7% to $30,596,013 as compared to $37,172,810 for the nine months ended March 31, 2024. The decrease was primarily due to a combination of the costs related to the logistics service income and the decrease in product sales, freight costs, and lowered product costs resulted from management’s efforts on supply chain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was $24,054,757 for the nine months ended March 31, 2025 as compared to $29,444,194 for the nine months ended March 31, 2024. The gross profit ratio of the total sales revenues decreased to 44.0% for the nine months ended March 31, 2025 from 44.2% for the nine months ended March 31, 2024. The decrease in the gross profit ratio was mainly driven by the combination of the increase in the logistics service costs and decrease in costs of goods sold during the nine months ended March 31, 2025, as discussed above.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Operating expenses for the nine months ended March 31, 2025 decreased 16.7% to $26,386,587 as compared to $31,663,942 for the nine months ended March 31, 2024. The decrease was mainly due to the combination of a decrease in selling and fulfillment expenses of $6.4 million as a result of decreased costs related to advertising, merchant fees, rental expenses and delivery fees, and an increase in general and administrative expenses of $1.1 million, which included allowance for credit losses, travel expenses and other operating expenses, partly offset by reversal of stock compensation expense of $674,720. The increase in general and administrative expenses was mainly due to the expansion of our vendor network and development of the SuperSuite platform and an increased allowance for credit losses and inventory reserves of $1.9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Loss from operations was $2,331,830 for the nine months ended March 31, 2025 as compared to $2,219,748 for the nine months ended March 31, 2024. The increase in loss resulted from the decrease in sales being greater than the decrease in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expenses for the nine months ended March 31, 2025 was $316,980 as compared to $562,791 for the nine months ended March 31, 2024. The decrease in other expenses was mainly due to the increase in other non-operating income of $16,326, and the decrease in interest expenses, including amortization of debt discount, on the revolving loan of $229,574 during the nine months ended March 31, 2025 as a result of the decreasing balance on the revolving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iPower Inc.</w:t>
      </w:r>
    </w:p>
    <w:p>
      <w:pPr>
        <w:spacing w:after="0" w:line="229"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18"/>
          <w:szCs w:val="18"/>
          <w:color w:val="auto"/>
        </w:rPr>
        <w:t>Net loss attributable to iPower Inc. for the nine months ended March 31, 2025 was $2,150,061 as compared to $2,185,261 for the nine months ended March 31, 2024, representing a decrease in net loss of $35,200. The decrease was primarily due to the decrease in other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attributable to iPower Inc. for the nine months ended March 31, 2025 was $2,146,541 as compared to $2,277,101 for the nine months ended March 31, 2024, representing a decrease in comprehensive loss of $130,560. The decrease was due to the reasons discussed above, along with an increase in other comprehensive loss of $95,360 as a result of foreign currency translation adjustments resulting from the translation of RMB, the functional currency of our VIE in the PRC, to USD, the reporting currency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nine months ended March 31, 2025, we primarily funded our operations with cash and cash equivalents generated from operations, as well as through borrowing under our credit facility from JPMorgan Chase Bank (“JPM”). Additionally, on June 18, 2024, we closed on a registered direct offering of 2,083,334 shares of common stock (the “Shares”) and a concurrent private placement of warrants to purchase up to 2,083,334 shares of common stock (the “Warrants”), which Shares and Warrants were sold for aggregate gross proceeds of $5,000,002. As of March 31, 2025, we had cash and cash equivalents of $2,192,254, representing a $5,185,583 decrease from $7,377,837 in cash as of June 30, 2024. The cash decrease was primarily due to the result of cash used in operating activities, investing activities and financing activities resulting from our payments to offering cost settlement, pay down the short-term loans - related party and part of the JPM revolving line of credit.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plans, we believe that our existing cash and cash equivalents and cash flows from operations and the revolving line of credit will be sufficient to finance our operations during the next 12 months.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cash requirements consist primarily of day-to-day operating expenses and obligations with respect to warehouse leases. We lease all of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 operations normalize and new suppliers we are bringing online transition to credit terms more favorable to us. In addition, we plan to increase the size of our in-house product catalog, which will have a net beneficial impact to our margin profile and ability to generate cash. Currently, we have approximately $11.5 million in unused credit under the revolving line with JPM.</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Given our current working capital position and available funding from our revolving credit line and proceeds from our June registered direct offering, we believe we will be able to work through the current challenges by managing payment terms with customers and vendors.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and June 30, 2024, our working capital was $11.9 million and $11.2 million, respectively. The historical seasonality in our business during the year can cause cash and cash equivalents, inventory and accounts payable to fluctuate, resulting in changes in our working capital. We anticipate that past historical trends to remain in place through the balance of the fiscal year with working capital remaining near this level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Our largest source of cash provided by operations is from sales of products. Our primary uses of cash from operating activities include payments to suppliers for products, to employees for compensation, and other general expenses. Net cash (used in) provided by operating activities for the nine months ended March 31, 2025 and 2024 was $(500,214) and $5,151,956, respectively. The decrease in cash provided by operating activities mainly resulted from a decrease in cash received from customers and an increase in cash paid for costs of revenues and operating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March 31, 2025 and 2024 was $1,519,928 and $0, respectively. The increase was due to the prepayments made for software developments during the nine months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$3,168,925 and $6,100,000, respectively, for the nine months ended March 31, 2025 and 2024. The decrease in net cash used in financing activities was primarily due to decrease payments on short-terms loans and decrease in net borrowing from the revolving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or GAAP, and pursuant to the rules and regulations of the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unaudited condensed consolidated financial statements, we believe that the following accounting policies are critical to the process of making significant judgments and estimates in the preparation of our unaudited condensed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revenues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sales are recorded. Sales return allowances are estimated based on historical amounts and are recorded upon recognizing the related sales. Shipping and handling costs are recorded as selling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which includes the amount withheld by sales channel partners and refundable to the Company. Based on historical an expected loss rate and status of negotiations with the sales channel partner, management reviews its accounts receivable balances each reporting period to determine if an allowance for credit loss is required.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comply with its payment schedule;</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in serious financial difficulty;</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of its contractual obligations;</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between the customer and the Company is not active; and</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objective evidence indicates non-collectability of the accounts receivable.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overall economic conditions on our customers’ industry and businesses and their ability to pay our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 In late October 2024, the Company determined that the collectability of certain refundable amount withheld by sales channel partners was remote so the Company recorded additional allowance for credit losses of $52,092 and $1,569,031 for the three and nine months ended March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net</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Inventory consists of finished goods ready for sale and is stated at the lower of cost or market. The Company values its inventory using the weighted average costing method. The Company’s policy is to include as a part of inventory and costs of goods sold any freight incurred to ship the product from its vendors to warehouses. Outbound freight costs related to shipping costs to customers are considered period costs and reflected in selling and fulfillment expenses. The Company regularly reviews inventory and considers forecasts of future demand, market conditions and product obsolescence.</w:t>
      </w:r>
    </w:p>
    <w:p>
      <w:pPr>
        <w:spacing w:after="0" w:line="16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is provided by the Company after February 15, 2022. During the term of the agreements, which run for a term of 10 years from February 2022 to February 2032, the Company bears all the risk of loss and has the right to receive all of the benefits from DHS.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2025 and 2024, the Company performed a qualitative goodwill impairment analysis following the steps laid out in ASC 350-20-35-3C and noted no goodwill impairment. As of March 31, 2025 and 2024, the goodwill balance amounted to $3,034,110 and $3,034,110,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March 31, 2025 include a covenant not to compete, supplier relationships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6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Useful Life</w:t>
            </w:r>
          </w:p>
        </w:tc>
      </w:tr>
      <w:tr>
        <w:trPr>
          <w:trHeight w:val="216"/>
        </w:trPr>
        <w:tc>
          <w:tcPr>
            <w:tcW w:w="5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6000" w:type="dxa"/>
            <w:vAlign w:val="bottom"/>
            <w:shd w:val="clear" w:color="auto" w:fill="EEEEEE"/>
          </w:tcPr>
          <w:p>
            <w:pPr>
              <w:jc w:val="center"/>
              <w:ind w:left="1430"/>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6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5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6000" w:type="dxa"/>
            <w:vAlign w:val="bottom"/>
            <w:shd w:val="clear" w:color="auto" w:fill="EEEEEE"/>
          </w:tcPr>
          <w:p>
            <w:pPr>
              <w:jc w:val="center"/>
              <w:ind w:left="143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March 31, 2025 and 2024, there were no indicators of impairment.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 In assessing the recoverability of its deferred tax assets, the Company evaluates available positive and negative evidence to estimate whether it is more likely than not that sufficient future taxable income will be generated to permit use of the existing deferred tax assets in each taxing jurisdiction.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as set forth under Note 2 to the unaudited condensed consolidated financial statements under “Recently issued accounting pronouncements,” the Company does not believe other recently issued but not yet effective accounting standards, if currently adopted, would have a material effect on the consolidated financial position, statements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Chief Financial Officer, to allow for timely decisions regarding required disclosure.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2025, our management carried out an evaluation, under the supervision and with the participation of our Chief Executive Officer and Chief Financial Officer, of the effectiveness of the design and operation of our disclosure controls and procedures. Based on the foregoing, our management concluded that our internal controls over financial reporting were not effective because, among other things,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occurred during the quarter ended March 31, 2025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We are not presently party to any pending or threatened legal proceedings or claims that we believe will have a material adverse effect on our business, financial condition, or operating results, although from time to time, we may become involved in legal proceedings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We refer to Part I, Item 1A, Risk Factors, of our Annual Report for a detailed description of our significant risk factors. Other than the risk factors disclosed in this Item 1A below, there have been no material changes from those risk factors disclosed in our Annual Report on Form 10-K for the year ended June 30, 2024.</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Stock Market, it could result in our common stock being delisted, which could adversely affect the market price and liquidity of our securities and could have other adverse effects.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2, 2025, the Company received a letter from the Nasdaq Listing Qualifications Staff of The Nasdaq Stock Market LLC (“Nasdaq”) stating that for the 30 consecutive business day period between November 15, 2024 to December 31, 2024, the Company’s common stock had failed to maintain a minimum closing bid price of $1.00 per share, as required for continued listing on The Nasdaq Capital Market pursuant to Nasdaq Listing Rule 5550(a)(2) (the “Minimum Bid Price Requirement”). Pursuant to Nasdaq Listing Rule 5810(c)(3)(A), the Company has an initial period of 180 calendar days, or until July 1, 2025 (the “Compliance Period”), to regain compliance with the Minimum Bid Price Requirement. To regain compliance, the closing bid price of the Company’s common stock must meet or exceed $1.00 per share for a minimum of ten consecutive trading days, unless such period is extended by Nasdaq.</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does not regain compliance with the Minimum Bid Price Requirement by July 1, 2025, the Company may be eligible for additional time. To qualify, the Company will be required to meet the continued listing requirement for market value of publicly held shares and all other initial listing standards for The Nasdaq Capital Market, with the exception of the Minimum Bid Price Requirement, and will need to provide written notice of its intention to cure the deficiency during the second compliance period by effecting a reverse stock split, if necessary.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Company cannot regain compliance during the Compliance Period or any subsequently granted compliance period, Nasdaq will provide the Company with notice that its common stock will be subject to delisting. At that time, the Company may appeal the Nasdaq’s delisting determination to a Nasdaq Hearings Panel. While Nasdaq’s notice to the Company of noncompliance has no immediate effect on the listing of our common stock and our common stock will continue to be listed on The Nasdaq Capital Market under the symbol “IPW,” there can be no assurance that we will regain compliance with the Minimum Bid Price Requirement or maintain compliance with any of the other Nasdaq continued listing requirements. We will continue to monitor the closing bid price of our common stock and may, if appropriate, consider available options to regain compliance with the Minimum Bid Price Requirement.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with respect to China, could materially and adversely impact our business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of our products are manufactured and supplied by unaffiliated third parties, most of which are located in China. In addition, two of our subsidiaries are based in China. The U.S. government has made statements and taken certain actions that may lead to changes in U.S. and international trade policies towards China. It remains unclear what additional actions, if any, will be taken by the U.S. or other governments with respect to international trade agreements, the imposition of tariffs on goods imported into the United States, tax policy related to international commerce, or other trade matters.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closely monitoring the changes in international trade policy, which may be subject to rapid changes and fluctuation, and are assessing the potential impact of these and other trade policy changes on our business operations and financial performance. In February and March 2025, the U.S. administration imposed an additional 20% duty on Chinese imports. Subsequently, authorities in China announced tariffs over selected U.S. products and regulatory investigation against U.S. companies in response to the tariff imposed by the U.S. Furthermore, on April 2, 2025, President Trump announced that the United States would impose a 10% tariff on all countries, effective on April 5, 2025, and an individualized reciprocal higher tariff on countries with which the United States has the largest trade deficits, including a 34% additional reciprocal tariff on goods imported from China that brings the total tariff rate to 54%. On April 4, 2025, the Foreign Ministry of China announced that China would impose a retaliatory 34% tariff on goods imported from the United States starting on April 10, 2025. Then on April 10, the U.S. announced it would charge 145% tariffs on goods imported from China, while the Chinese government announced that it would impose 125% tariffs on U.S. exports to China. As of the date of this filing, the U.S. and China have agreed to lower the tariffs for a period of 90 days, with the U.S. lowering the base tariff rate on most Chinese goods to 30% from 145% and China lowering the base tariff rate to 10% from 125%, with the goal of negotiating a more permanent trade agreement during the 90 day period. Any unfavorable government policies on international trade, such as capital controls or tariffs, and any uncertainty resulting from the changing nature of such policies, may affect the demand for our products and services, impact the competitive position of our products or prevent us from selling products in certain countries. If any new tariffs, legislation and/or regulations are implemented, or if existing trade agreements are renegotiated or, in particular, if the U.S. government takes additional retaliatory trade actions due to the recent U.S.-China trade tension, such changes could have an adverse effect on our business, financial condition and results of operations.</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extent and duration of any tariffs and the resulting impact on general economic conditions and on our business are uncertain and depend on various factors, such as negotiations between the United States and China and/or other countries, the response of such countries, exemptions or exclusions that may be granted, availability and cost of alternative sources of supply of materials we purchase from companies in China or other countries targeted with tariffs.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our fiscal quarter ended March 31, 2025, none of our directors or officers informed us of the adoption or termination of a “Rule 10b5-1 trading arrangement” or “non-Rule 10b5-1 trading arrangement” as those terms are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spacing w:after="0" w:line="185" w:lineRule="auto"/>
        <w:framePr w:w="700" w:h="160" w:wrap="auto" w:vAnchor="page" w:hAnchor="page" w:x="280" w:y="448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101.INS</w:t>
      </w:r>
    </w:p>
    <w:p>
      <w:pPr>
        <w:spacing w:after="0" w:line="185" w:lineRule="auto"/>
        <w:framePr w:w="400" w:h="160" w:wrap="auto" w:vAnchor="page" w:hAnchor="page" w:x="280" w:y="405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w:t>
      </w:r>
    </w:p>
    <w:p>
      <w:pPr>
        <w:spacing w:after="0" w:line="185" w:lineRule="auto"/>
        <w:framePr w:w="400" w:h="160" w:wrap="auto" w:vAnchor="page" w:hAnchor="page" w:x="280" w:y="297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w:t>
      </w:r>
    </w:p>
    <w:p>
      <w:pPr>
        <w:spacing w:after="0" w:line="185" w:lineRule="auto"/>
        <w:framePr w:w="400" w:h="160" w:wrap="auto" w:vAnchor="page" w:hAnchor="page" w:x="280" w:y="319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w:t>
      </w:r>
    </w:p>
    <w:p>
      <w:pPr>
        <w:spacing w:after="0" w:line="185" w:lineRule="auto"/>
        <w:framePr w:w="400" w:h="160" w:wrap="auto" w:vAnchor="page" w:hAnchor="page" w:x="280" w:y="340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w:t>
      </w:r>
    </w:p>
    <w:p>
      <w:pPr>
        <w:spacing w:after="0" w:line="185" w:lineRule="auto"/>
        <w:framePr w:w="400" w:h="160" w:wrap="auto" w:vAnchor="page" w:hAnchor="page" w:x="280" w:y="362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w:t>
      </w:r>
    </w:p>
    <w:p>
      <w:pPr>
        <w:spacing w:after="0" w:line="185" w:lineRule="auto"/>
        <w:framePr w:w="320" w:h="160" w:wrap="auto" w:vAnchor="page" w:hAnchor="page" w:x="280" w:y="254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18" w:lineRule="auto"/>
        <w:framePr w:w="660" w:h="376" w:wrap="auto" w:vAnchor="page" w:hAnchor="page" w:x="280" w:y="1681"/>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 No.</w:t>
      </w:r>
    </w:p>
    <w:p>
      <w:pPr>
        <w:spacing w:after="0" w:line="185" w:lineRule="auto"/>
        <w:framePr w:w="320" w:h="160" w:wrap="auto" w:vAnchor="page" w:hAnchor="page" w:x="280" w:y="2113"/>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rFonts w:ascii="Times New Roman" w:cs="Times New Roman" w:eastAsia="Times New Roman" w:hAnsi="Times New Roman"/>
          <w:sz w:val="18"/>
          <w:szCs w:val="18"/>
          <w:b w:val="1"/>
          <w:bCs w:val="1"/>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or furnished with this report:</w:t>
      </w:r>
    </w:p>
    <w:p>
      <w:pPr>
        <w:spacing w:after="0" w:line="221" w:lineRule="exact"/>
        <w:rPr>
          <w:rFonts w:ascii="Times New Roman" w:cs="Times New Roman" w:eastAsia="Times New Roman" w:hAnsi="Times New Roman"/>
          <w:sz w:val="18"/>
          <w:szCs w:val="18"/>
          <w:b w:val="1"/>
          <w:bCs w:val="1"/>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29" w:lineRule="exact"/>
        <w:rPr>
          <w:rFonts w:ascii="Times New Roman" w:cs="Times New Roman" w:eastAsia="Times New Roman" w:hAnsi="Times New Roman"/>
          <w:sz w:val="18"/>
          <w:szCs w:val="18"/>
          <w:b w:val="1"/>
          <w:bCs w:val="1"/>
          <w:color w:val="auto"/>
        </w:rPr>
      </w:pPr>
    </w:p>
    <w:p>
      <w:pPr>
        <w:ind w:left="740" w:right="20"/>
        <w:spacing w:after="0" w:line="261" w:lineRule="auto"/>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u w:val="single" w:color="auto"/>
            <w:color w:val="0000EE"/>
          </w:rPr>
          <w:t>Sixth Amended and Restated Articles of Incorporation of iPower Inc.</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3 to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Registration Statement on Form S-1 filed May 5, 2021).</w:t>
      </w:r>
    </w:p>
    <w:p>
      <w:pPr>
        <w:ind w:left="740" w:right="20"/>
        <w:spacing w:after="0" w:line="250" w:lineRule="auto"/>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u w:val="single" w:color="auto"/>
            <w:color w:val="0000EE"/>
          </w:rPr>
          <w:t>Second Amended and Restated Bylaws of iPower Inc.</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2 the Registration Statement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 Form S-1 filed April 27, 2021).</w:t>
      </w:r>
    </w:p>
    <w:p>
      <w:pPr>
        <w:spacing w:after="0" w:line="1" w:lineRule="exact"/>
        <w:rPr>
          <w:rFonts w:ascii="Times New Roman" w:cs="Times New Roman" w:eastAsia="Times New Roman" w:hAnsi="Times New Roman"/>
          <w:sz w:val="18"/>
          <w:szCs w:val="18"/>
          <w:b w:val="1"/>
          <w:bCs w:val="1"/>
          <w:color w:val="auto"/>
        </w:rPr>
      </w:pPr>
    </w:p>
    <w:p>
      <w:pPr>
        <w:ind w:left="740"/>
        <w:spacing w:after="0"/>
        <w:rPr>
          <w:sz w:val="20"/>
          <w:szCs w:val="20"/>
          <w:color w:val="auto"/>
        </w:rPr>
      </w:pPr>
      <w:r>
        <w:rPr>
          <w:rFonts w:ascii="Times New Roman" w:cs="Times New Roman" w:eastAsia="Times New Roman" w:hAnsi="Times New Roman"/>
          <w:sz w:val="18"/>
          <w:szCs w:val="18"/>
          <w:u w:val="single" w:color="auto"/>
          <w:color w:val="0000EE"/>
        </w:rPr>
        <w:t>Subsidiaries of the Registrant</w:t>
      </w:r>
    </w:p>
    <w:p>
      <w:pPr>
        <w:spacing w:after="0" w:line="9" w:lineRule="exact"/>
        <w:rPr>
          <w:rFonts w:ascii="Times New Roman" w:cs="Times New Roman" w:eastAsia="Times New Roman" w:hAnsi="Times New Roman"/>
          <w:sz w:val="18"/>
          <w:szCs w:val="18"/>
          <w:b w:val="1"/>
          <w:bCs w:val="1"/>
          <w:color w:val="auto"/>
        </w:rPr>
      </w:pPr>
    </w:p>
    <w:p>
      <w:pPr>
        <w:ind w:left="740" w:right="3180"/>
        <w:spacing w:after="0" w:line="265" w:lineRule="auto"/>
        <w:rPr>
          <w:sz w:val="20"/>
          <w:szCs w:val="20"/>
          <w:color w:val="auto"/>
        </w:rPr>
      </w:pPr>
      <w:r>
        <w:rPr>
          <w:rFonts w:ascii="Times New Roman" w:cs="Times New Roman" w:eastAsia="Times New Roman" w:hAnsi="Times New Roman"/>
          <w:sz w:val="17"/>
          <w:szCs w:val="17"/>
          <w:u w:val="single" w:color="auto"/>
          <w:color w:val="0000EE"/>
        </w:rPr>
        <w:t>Certification of Chief Executive Officer pursuant to Section 302 of the Sarbanes-Oxley Act of 2002</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Certification of Chief Financial Officer pursuant to Section 302 of the Sarbanes-Oxley Act of 2002</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ind w:left="74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Pursuant to 18 U.S.C. Section 1350, As Adopted Pursuant to Section 906 of the Sarbanes-Oxley Act of 2002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1" w:lineRule="exact"/>
        <w:rPr>
          <w:rFonts w:ascii="Times New Roman" w:cs="Times New Roman" w:eastAsia="Times New Roman" w:hAnsi="Times New Roman"/>
          <w:sz w:val="18"/>
          <w:szCs w:val="18"/>
          <w:b w:val="1"/>
          <w:bCs w:val="1"/>
          <w:color w:val="auto"/>
        </w:rPr>
      </w:pPr>
    </w:p>
    <w:p>
      <w:pPr>
        <w:ind w:left="74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Sarbanes-Oxley Act of 2002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1" w:lineRule="exact"/>
        <w:rPr>
          <w:rFonts w:ascii="Times New Roman" w:cs="Times New Roman" w:eastAsia="Times New Roman" w:hAnsi="Times New Roman"/>
          <w:sz w:val="18"/>
          <w:szCs w:val="18"/>
          <w:b w:val="1"/>
          <w:bCs w:val="1"/>
          <w:color w:val="auto"/>
        </w:rPr>
      </w:pPr>
    </w:p>
    <w:p>
      <w:pPr>
        <w:ind w:left="740"/>
        <w:spacing w:after="0" w:line="250"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1"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101.SCH Inline XBRL Taxonomy Schema Document</w:t>
      </w:r>
    </w:p>
    <w:p>
      <w:pPr>
        <w:spacing w:after="0" w:line="9"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101.CAL Inline XBRL Taxonomy Calculation Linkbase Document</w:t>
      </w:r>
    </w:p>
    <w:p>
      <w:pPr>
        <w:spacing w:after="0" w:line="9"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101.DEF Inline XBRL Taxonomy Definition Linkbase Data</w:t>
      </w:r>
    </w:p>
    <w:p>
      <w:pPr>
        <w:spacing w:after="0" w:line="9"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101.LAB Inline XBRL Taxonomy Label Linkbase Document</w:t>
      </w:r>
    </w:p>
    <w:p>
      <w:pPr>
        <w:spacing w:after="0" w:line="9"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101.PRE Inline XBRL Taxonomy Presentation Linkbase Document</w:t>
      </w:r>
    </w:p>
    <w:p>
      <w:pPr>
        <w:spacing w:after="0" w:line="9" w:lineRule="exact"/>
        <w:rPr>
          <w:rFonts w:ascii="Times New Roman" w:cs="Times New Roman" w:eastAsia="Times New Roman" w:hAnsi="Times New Roman"/>
          <w:sz w:val="18"/>
          <w:szCs w:val="18"/>
          <w:b w:val="1"/>
          <w:bCs w:val="1"/>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7"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79" w:lineRule="exact"/>
        <w:rPr>
          <w:rFonts w:ascii="Times New Roman" w:cs="Times New Roman" w:eastAsia="Times New Roman" w:hAnsi="Times New Roman"/>
          <w:sz w:val="18"/>
          <w:szCs w:val="18"/>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3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iPower Inc.</w:t>
            </w:r>
          </w:p>
        </w:tc>
        <w:tc>
          <w:tcPr>
            <w:tcW w:w="4480" w:type="dxa"/>
            <w:vAlign w:val="bottom"/>
          </w:tcPr>
          <w:p>
            <w:pPr>
              <w:spacing w:after="0"/>
              <w:rPr>
                <w:sz w:val="20"/>
                <w:szCs w:val="20"/>
                <w:color w:val="auto"/>
              </w:rPr>
            </w:pPr>
          </w:p>
        </w:tc>
      </w:tr>
      <w:tr>
        <w:trPr>
          <w:trHeight w:val="43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May 15, 2025</w:t>
            </w:r>
          </w:p>
        </w:tc>
        <w:tc>
          <w:tcPr>
            <w:tcW w:w="3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/s/ Chenlong Tan</w:t>
            </w:r>
          </w:p>
        </w:tc>
      </w:tr>
      <w:tr>
        <w:trPr>
          <w:trHeight w:val="191"/>
        </w:trPr>
        <w:tc>
          <w:tcPr>
            <w:tcW w:w="30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4480" w:type="dxa"/>
            <w:vAlign w:val="bottom"/>
            <w:tcBorders>
              <w:top w:val="single" w:sz="8" w:color="auto"/>
            </w:tcBorders>
          </w:tcPr>
          <w:p>
            <w:pPr>
              <w:jc w:val="center"/>
              <w:ind w:right="1230"/>
              <w:spacing w:after="0" w:line="191" w:lineRule="exact"/>
              <w:rPr>
                <w:sz w:val="20"/>
                <w:szCs w:val="20"/>
                <w:color w:val="auto"/>
              </w:rPr>
            </w:pPr>
            <w:r>
              <w:rPr>
                <w:rFonts w:ascii="Times New Roman" w:cs="Times New Roman" w:eastAsia="Times New Roman" w:hAnsi="Times New Roman"/>
                <w:sz w:val="18"/>
                <w:szCs w:val="18"/>
                <w:color w:val="auto"/>
                <w:w w:val="97"/>
              </w:rPr>
              <w:t>Chenlong Tan</w:t>
            </w:r>
          </w:p>
        </w:tc>
      </w:tr>
      <w:tr>
        <w:trPr>
          <w:trHeight w:val="216"/>
        </w:trPr>
        <w:tc>
          <w:tcPr>
            <w:tcW w:w="3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May 15, 2025</w:t>
            </w:r>
          </w:p>
        </w:tc>
        <w:tc>
          <w:tcPr>
            <w:tcW w:w="3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8"/>
              </w:rPr>
              <w:t>/s/ Kevin Vassily</w:t>
            </w:r>
          </w:p>
        </w:tc>
      </w:tr>
      <w:tr>
        <w:trPr>
          <w:trHeight w:val="191"/>
        </w:trPr>
        <w:tc>
          <w:tcPr>
            <w:tcW w:w="30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4480" w:type="dxa"/>
            <w:vAlign w:val="bottom"/>
            <w:tcBorders>
              <w:top w:val="single" w:sz="8" w:color="auto"/>
            </w:tcBorders>
          </w:tcPr>
          <w:p>
            <w:pPr>
              <w:jc w:val="center"/>
              <w:ind w:right="1230"/>
              <w:spacing w:after="0" w:line="191" w:lineRule="exact"/>
              <w:rPr>
                <w:sz w:val="20"/>
                <w:szCs w:val="20"/>
                <w:color w:val="auto"/>
              </w:rPr>
            </w:pPr>
            <w:r>
              <w:rPr>
                <w:rFonts w:ascii="Times New Roman" w:cs="Times New Roman" w:eastAsia="Times New Roman" w:hAnsi="Times New Roman"/>
                <w:sz w:val="18"/>
                <w:szCs w:val="18"/>
                <w:color w:val="auto"/>
                <w:w w:val="97"/>
              </w:rPr>
              <w:t>Kevin Vassily</w:t>
            </w:r>
          </w:p>
        </w:tc>
      </w:tr>
      <w:tr>
        <w:trPr>
          <w:trHeight w:val="234"/>
        </w:trPr>
        <w:tc>
          <w:tcPr>
            <w:tcW w:w="3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6960" w:type="dxa"/>
            <w:vAlign w:val="bottom"/>
            <w:gridSpan w:val="2"/>
          </w:tcPr>
          <w:p>
            <w:pPr>
              <w:jc w:val="center"/>
              <w:ind w:right="419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238"/>
        </w:trPr>
        <w:tc>
          <w:tcPr>
            <w:tcW w:w="4280" w:type="dxa"/>
            <w:vAlign w:val="bottom"/>
          </w:tcPr>
          <w:p>
            <w:pPr>
              <w:spacing w:after="0"/>
              <w:rPr>
                <w:sz w:val="20"/>
                <w:szCs w:val="20"/>
                <w:color w:val="auto"/>
              </w:rPr>
            </w:pPr>
          </w:p>
        </w:tc>
        <w:tc>
          <w:tcPr>
            <w:tcW w:w="6960" w:type="dxa"/>
            <w:vAlign w:val="bottom"/>
            <w:gridSpan w:val="2"/>
          </w:tcPr>
          <w:p>
            <w:pPr>
              <w:jc w:val="center"/>
              <w:ind w:right="4190"/>
              <w:spacing w:after="0"/>
              <w:rPr>
                <w:sz w:val="20"/>
                <w:szCs w:val="20"/>
                <w:color w:val="auto"/>
              </w:rPr>
            </w:pPr>
            <w:r>
              <w:rPr>
                <w:rFonts w:ascii="Times New Roman" w:cs="Times New Roman" w:eastAsia="Times New Roman" w:hAnsi="Times New Roman"/>
                <w:sz w:val="18"/>
                <w:szCs w:val="18"/>
                <w:b w:val="1"/>
                <w:bCs w:val="1"/>
                <w:color w:val="auto"/>
              </w:rPr>
              <w:t>as of March 31, 2025</w:t>
            </w:r>
          </w:p>
        </w:tc>
      </w:tr>
      <w:tr>
        <w:trPr>
          <w:trHeight w:val="216"/>
        </w:trPr>
        <w:tc>
          <w:tcPr>
            <w:tcW w:w="4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r>
      <w:tr>
        <w:trPr>
          <w:trHeight w:val="210"/>
        </w:trPr>
        <w:tc>
          <w:tcPr>
            <w:tcW w:w="42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3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 Organization</w:t>
            </w:r>
          </w:p>
        </w:tc>
      </w:tr>
      <w:tr>
        <w:trPr>
          <w:trHeight w:val="209"/>
        </w:trPr>
        <w:tc>
          <w:tcPr>
            <w:tcW w:w="42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 Marketing Solutions Inc.</w:t>
            </w:r>
          </w:p>
        </w:tc>
        <w:tc>
          <w:tcPr>
            <w:tcW w:w="13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0"/>
        </w:trPr>
        <w:tc>
          <w:tcPr>
            <w:tcW w:w="42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Products Marketing Inc.</w:t>
            </w:r>
          </w:p>
        </w:tc>
        <w:tc>
          <w:tcPr>
            <w:tcW w:w="13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Nevada</w:t>
            </w:r>
          </w:p>
        </w:tc>
      </w:tr>
      <w:tr>
        <w:trPr>
          <w:trHeight w:val="209"/>
        </w:trPr>
        <w:tc>
          <w:tcPr>
            <w:tcW w:w="42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Anivia Limited</w:t>
            </w:r>
          </w:p>
        </w:tc>
        <w:tc>
          <w:tcPr>
            <w:tcW w:w="13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09"/>
        </w:trPr>
        <w:tc>
          <w:tcPr>
            <w:tcW w:w="42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Fly Elephant Limited</w:t>
            </w:r>
          </w:p>
        </w:tc>
        <w:tc>
          <w:tcPr>
            <w:tcW w:w="13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0"/>
        </w:trPr>
        <w:tc>
          <w:tcPr>
            <w:tcW w:w="42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Dayourenzai (Shenzhen) Technology Co., Ltd.</w:t>
            </w:r>
          </w:p>
        </w:tc>
        <w:tc>
          <w:tcPr>
            <w:tcW w:w="13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09"/>
        </w:trPr>
        <w:tc>
          <w:tcPr>
            <w:tcW w:w="42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Daheshou (Shenzhen) Information Technology Co., Ltd.</w:t>
            </w:r>
          </w:p>
        </w:tc>
        <w:tc>
          <w:tcPr>
            <w:tcW w:w="136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People’s Republic of China</w:t>
            </w:r>
          </w:p>
        </w:tc>
      </w:tr>
    </w:tbl>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Chenlong Tan, certify that:</w:t>
      </w:r>
    </w:p>
    <w:p>
      <w:pPr>
        <w:spacing w:after="0" w:line="225" w:lineRule="exact"/>
        <w:rPr>
          <w:sz w:val="20"/>
          <w:szCs w:val="20"/>
          <w:color w:val="auto"/>
        </w:rPr>
      </w:pPr>
    </w:p>
    <w:p>
      <w:pPr>
        <w:ind w:left="700" w:hanging="174"/>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iPower Inc. (the “registrant”);</w:t>
      </w:r>
    </w:p>
    <w:p>
      <w:pPr>
        <w:spacing w:after="0" w:line="225" w:lineRule="exact"/>
        <w:rPr>
          <w:rFonts w:ascii="Times New Roman" w:cs="Times New Roman" w:eastAsia="Times New Roman" w:hAnsi="Times New Roman"/>
          <w:sz w:val="18"/>
          <w:szCs w:val="18"/>
          <w:color w:val="auto"/>
        </w:rPr>
      </w:pPr>
    </w:p>
    <w:p>
      <w:pPr>
        <w:ind w:right="20" w:firstLine="526"/>
        <w:spacing w:after="0" w:line="282"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6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26"/>
        <w:spacing w:after="0" w:line="266" w:lineRule="auto"/>
        <w:tabs>
          <w:tab w:leader="none" w:pos="7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26"/>
        <w:spacing w:after="0" w:line="282" w:lineRule="auto"/>
        <w:tabs>
          <w:tab w:leader="none" w:pos="7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Chenlong Tan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Chenlong Tan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Kevin Vassily, certify that:</w:t>
      </w:r>
    </w:p>
    <w:p>
      <w:pPr>
        <w:spacing w:after="0" w:line="225" w:lineRule="exact"/>
        <w:rPr>
          <w:sz w:val="20"/>
          <w:szCs w:val="20"/>
          <w:color w:val="auto"/>
        </w:rPr>
      </w:pPr>
    </w:p>
    <w:p>
      <w:pPr>
        <w:ind w:left="700" w:hanging="174"/>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 2025 of iPower Inc. (the “registrant”);</w:t>
      </w:r>
    </w:p>
    <w:p>
      <w:pPr>
        <w:spacing w:after="0" w:line="225" w:lineRule="exact"/>
        <w:rPr>
          <w:rFonts w:ascii="Times New Roman" w:cs="Times New Roman" w:eastAsia="Times New Roman" w:hAnsi="Times New Roman"/>
          <w:sz w:val="18"/>
          <w:szCs w:val="18"/>
          <w:color w:val="auto"/>
        </w:rPr>
      </w:pPr>
    </w:p>
    <w:p>
      <w:pPr>
        <w:ind w:right="20" w:firstLine="526"/>
        <w:spacing w:after="0" w:line="282"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6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26"/>
        <w:spacing w:after="0" w:line="266" w:lineRule="auto"/>
        <w:tabs>
          <w:tab w:leader="none" w:pos="7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26"/>
        <w:spacing w:after="0" w:line="282" w:lineRule="auto"/>
        <w:tabs>
          <w:tab w:leader="none" w:pos="7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Vassily</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Vassily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iPower Inc. (the “Company”) on Form 10-Q for the period ended March 31, 2025,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500" w:lineRule="auto"/>
        <w:tabs>
          <w:tab w:leader="none" w:pos="7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15, 2025</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iPower Inc. (the “Company”) on Form 10-Q for the period ended March 31, 2025,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500" w:lineRule="auto"/>
        <w:tabs>
          <w:tab w:leader="none" w:pos="7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15, 2025</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lvl w:ilvl="1">
      <w:lvlJc w:val="left"/>
      <w:lvlText w:val="Ø"/>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74" Type="http://schemas.openxmlformats.org/officeDocument/2006/relationships/hyperlink" Target="https://www.sec.gov/Archives/edgar/data/1830072/000168316821001774/ipower_ex0303.htm" TargetMode="External"/><Relationship Id="rId75" Type="http://schemas.openxmlformats.org/officeDocument/2006/relationships/hyperlink" Target="https://www.sec.gov/Archives/edgar/data/1830072/000168316821001556/ipower_ex03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2025-05-15T15:30:22Z</dcterms:created>
  <dcterms:modified xsi:type="dcterms:W3CDTF">2025-05-15T15:30:22Z</dcterms:modified>
</cp:coreProperties>
</file>