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30,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333-299480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iPower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5200</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82-5144171</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8798 9th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Rancho Cucamonga, CA 91730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(626) 863-7344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Chenlong Tan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8798 9th Street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Rancho Cucamonga, CA 91730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(626) 863-7344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Megan J. Penick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Dorsey &amp; Whitney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 W 52nd St.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415-9200</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this registration statement is declared effective.</w:t>
      </w:r>
    </w:p>
    <w:p>
      <w:pPr>
        <w:spacing w:after="0" w:line="229" w:lineRule="exact"/>
        <w:rPr>
          <w:sz w:val="24"/>
          <w:szCs w:val="24"/>
          <w:color w:val="auto"/>
        </w:rPr>
      </w:pPr>
    </w:p>
    <w:p>
      <w:pPr>
        <w:jc w:val="both"/>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6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54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6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54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54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ectPr>
          <w:pgSz w:w="11900" w:h="16838" w:orient="portrait"/>
          <w:cols w:equalWidth="0" w:num="1">
            <w:col w:w="11240"/>
          </w:cols>
          <w:pgMar w:left="320" w:top="229" w:right="339" w:bottom="0" w:gutter="0" w:footer="0" w:header="0"/>
        </w:sectPr>
      </w:pPr>
    </w:p>
    <w:bookmarkStart w:id="1" w:name="page2"/>
    <w:bookmarkEnd w:id="1"/>
    <w:p>
      <w:pPr>
        <w:jc w:val="both"/>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FF0000"/>
        </w:rPr>
        <w:t>The information in this preliminary prospectus is not complete and may be changed. The selling stockholder may not sell these securities until the registration statement filed with the Securities and Exchange Commission is effective. This preliminary prospectus is not an offer to sell these securities and we are not soliciting an offer to buy these securities in any state or jurisdiction where the offer or sale is not permitted.</w:t>
      </w:r>
    </w:p>
    <w:p>
      <w:pPr>
        <w:spacing w:after="0" w:line="172" w:lineRule="exact"/>
        <w:rPr>
          <w:sz w:val="20"/>
          <w:szCs w:val="20"/>
          <w:color w:val="auto"/>
        </w:rPr>
      </w:pPr>
    </w:p>
    <w:p>
      <w:pPr>
        <w:spacing w:after="0"/>
        <w:tabs>
          <w:tab w:leader="none" w:pos="6500" w:val="left"/>
        </w:tabs>
        <w:rPr>
          <w:sz w:val="20"/>
          <w:szCs w:val="20"/>
          <w:color w:val="auto"/>
        </w:rPr>
      </w:pPr>
      <w:r>
        <w:rPr>
          <w:rFonts w:ascii="Times New Roman" w:cs="Times New Roman" w:eastAsia="Times New Roman" w:hAnsi="Times New Roman"/>
          <w:sz w:val="18"/>
          <w:szCs w:val="18"/>
          <w:b w:val="1"/>
          <w:bCs w:val="1"/>
          <w:color w:val="FF0000"/>
        </w:rPr>
        <w:t>PRELIMINARY PROSPECTUS</w:t>
      </w:r>
      <w:r>
        <w:rPr>
          <w:sz w:val="20"/>
          <w:szCs w:val="20"/>
          <w:color w:val="auto"/>
        </w:rPr>
        <w:tab/>
      </w:r>
      <w:r>
        <w:rPr>
          <w:rFonts w:ascii="Times New Roman" w:cs="Times New Roman" w:eastAsia="Times New Roman" w:hAnsi="Times New Roman"/>
          <w:sz w:val="17"/>
          <w:szCs w:val="17"/>
          <w:b w:val="1"/>
          <w:bCs w:val="1"/>
          <w:color w:val="FF0000"/>
        </w:rPr>
        <w:t>SUBJECT TO COMPLETION, DATED OCTOBER 30,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8,089,888 Shares of Common Stock Underlying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$3,000,000 of Series A Senior Secured Convertible Notes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iPower Inc.</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registration statement relates to the resale, from time to time, by a certain institutional investor or its permitted transferees (the “Investor” or “Selling Stockholder”) of up to an aggregate of 8,089,888 shares (the “Shares”) of common stock, par value $0.001 per share (the “common stock”), of iPower Inc. (the “Company”), upon conversion of $3,000,000 of Series A secured convertible notes, including interest due thereunder, issued pursuant to the Purchase Agreement (as defined below) (the “Series A Convertible Note”). The Shares issuable upon conversion of the Series A Convertible Notes are calculated using an assumed floor price equal to 20% of the Nasdaq closing price on October 29, 2026, or $0.445.</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22, 2025, the Company entered into the certain securities purchase agreement (the “Purchase Agreement”), by and between the Company and the Investor, providing for the purchase by the Investor of (i) up to $30,000,000 6% original issue discount convertible notes facility, with an initial closing of $5,184,024 principal amount of Series A Convertible Notes on December 23, 2025 sold in reliance on an exemption from registration statement afforded by Section 4(a)(2) of the Securities Act of 1933, as amended (the “Securities Act”), and Rule 506(b) of Regulation D of the Securities Act, and (ii) $1,815,976 principal amount of series B senior secured convertible notes sold pursuant to an effective registration statement on Form S-3 (SEC File No. 333-274655). The Company then registered $28,184,024 of shares of common stock underlying the Series A Notes on Form S-1 (File No. 333-292682), as amended pursuant to Form S-1MEF (File No. 333-295172), with such Series A Convertible Notes to be issuable from time to time upon sale to the Investor, first as an additional mandatory closing and, thereafter, additional optional closings. Thereafter, following the reverse stock splits described below, the Company filed an additional registration statement on Form S-1 (File No. 333-297399) to re-register the securities issuable under the Series A Notes issued as of August 2026. The Company is now filing this registration statement to register shares underlying the Series A Convertible Note issued on September 15, 2026.</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date, the Company has sold an aggregate total original principal amount of $15,184,024 in Series A Convertible Notes to the Investor, with $15,000,000 of aggregate original principal amount of Series A Convertible Notes remaining available for issuance. To date, the Investor has converted a total of $11,941,224 of the Series A Convertible Notes, resulting in the conversion of a total of 427,960 shares of common stock at an average per share conversion price of $27.90 on a post-reverse stock split basis (accounting for a 1-for-8 reverse stock split effectuated May 22, 2026, a 1-for-9 reverse stock split effectuated August 7, 2026, and a 1-for-12 reverse stock split effectuated October 26, 2026). During this time, we did not convert using the Floor Price, as defined in the Series A Convertible Notes, and instead converted at the Alternate Optional Conversion Price (as defined in the Series A Convertible Notes) of 95% of the lowest daily VWAP of the common stock during the seven consecutive trading days ending on the trading day immediately before the conversion notice is delivered.</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not selling any common stock under this registration statement and will not receive any of the proceeds from the sale or other disposition of shares by the Selling Stockholder, see “</w:t>
      </w:r>
      <w:r>
        <w:rPr>
          <w:rFonts w:ascii="Times New Roman" w:cs="Times New Roman" w:eastAsia="Times New Roman" w:hAnsi="Times New Roman"/>
          <w:sz w:val="18"/>
          <w:szCs w:val="18"/>
          <w:u w:val="single" w:color="auto"/>
          <w:color w:val="0000EE"/>
        </w:rPr>
        <w:t>Use of Proceeds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 or its transferees, pledgees, assignees or successors-in-interest may offer and sell or otherwise dispose of the Shares described in this registration statement from time to time through public or private transactions at prevailing market prices, at prices related to prevailing market prices or at privately negotiated prices. The Selling Stockholder will bear all costs related to commissions and discounts, if any, attributable to the sales of the Shares. We will bear all other costs, expenses and fees in connection with the registration of the Shares. See “</w:t>
      </w:r>
      <w:r>
        <w:rPr>
          <w:rFonts w:ascii="Times New Roman" w:cs="Times New Roman" w:eastAsia="Times New Roman" w:hAnsi="Times New Roman"/>
          <w:sz w:val="18"/>
          <w:szCs w:val="18"/>
          <w:u w:val="single" w:color="auto"/>
          <w:color w:val="0000EE"/>
        </w:rPr>
        <w:t>Plan of Distribution</w:t>
      </w:r>
      <w:r>
        <w:rPr>
          <w:rFonts w:ascii="Times New Roman" w:cs="Times New Roman" w:eastAsia="Times New Roman" w:hAnsi="Times New Roman"/>
          <w:sz w:val="18"/>
          <w:szCs w:val="18"/>
          <w:color w:val="auto"/>
        </w:rPr>
        <w:t>” beginning on page 29 for more information about how the Selling Stockholder may sell or dispose of the Shares.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“IPW.” On October 29, 2026, the closing price of our common stock on the Nasdaq Capital Market was $2.225 per share.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You should read this prospectus as well as the information incorporated herein by reference carefully before you make your investment decision. 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9 of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2"/>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9"/>
        </w:trPr>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4640" w:type="dxa"/>
            <w:vAlign w:val="bottom"/>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6600" w:type="dxa"/>
            <w:vAlign w:val="bottom"/>
            <w:gridSpan w:val="2"/>
            <w:shd w:val="clear" w:color="auto" w:fill="EEEEEE"/>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57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r>
      <w:tr>
        <w:trPr>
          <w:trHeight w:val="196"/>
        </w:trPr>
        <w:tc>
          <w:tcPr>
            <w:tcW w:w="4640" w:type="dxa"/>
            <w:vAlign w:val="bottom"/>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Concerning Forward Looking Statements</w:t>
            </w:r>
          </w:p>
        </w:tc>
        <w:tc>
          <w:tcPr>
            <w:tcW w:w="6600" w:type="dxa"/>
            <w:vAlign w:val="bottom"/>
            <w:gridSpan w:val="2"/>
            <w:shd w:val="clear" w:color="auto" w:fill="EEEEEE"/>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57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r>
      <w:tr>
        <w:trPr>
          <w:trHeight w:val="196"/>
        </w:trPr>
        <w:tc>
          <w:tcPr>
            <w:tcW w:w="4640" w:type="dxa"/>
            <w:vAlign w:val="bottom"/>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600" w:type="dxa"/>
            <w:vAlign w:val="bottom"/>
            <w:gridSpan w:val="2"/>
            <w:shd w:val="clear" w:color="auto" w:fill="EEEEEE"/>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57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r>
      <w:tr>
        <w:trPr>
          <w:trHeight w:val="196"/>
        </w:trPr>
        <w:tc>
          <w:tcPr>
            <w:tcW w:w="4640" w:type="dxa"/>
            <w:vAlign w:val="bottom"/>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600" w:type="dxa"/>
            <w:vAlign w:val="bottom"/>
            <w:gridSpan w:val="2"/>
            <w:shd w:val="clear" w:color="auto" w:fill="EEEEEE"/>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rPr>
              <w:t>9</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57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r>
      <w:tr>
        <w:trPr>
          <w:trHeight w:val="196"/>
        </w:trPr>
        <w:tc>
          <w:tcPr>
            <w:tcW w:w="4640" w:type="dxa"/>
            <w:vAlign w:val="bottom"/>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600" w:type="dxa"/>
            <w:vAlign w:val="bottom"/>
            <w:gridSpan w:val="2"/>
            <w:shd w:val="clear" w:color="auto" w:fill="EEEEEE"/>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57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r>
      <w:tr>
        <w:trPr>
          <w:trHeight w:val="196"/>
        </w:trPr>
        <w:tc>
          <w:tcPr>
            <w:tcW w:w="4640" w:type="dxa"/>
            <w:vAlign w:val="bottom"/>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w:t>
            </w:r>
          </w:p>
        </w:tc>
        <w:tc>
          <w:tcPr>
            <w:tcW w:w="6600" w:type="dxa"/>
            <w:vAlign w:val="bottom"/>
            <w:gridSpan w:val="2"/>
            <w:shd w:val="clear" w:color="auto" w:fill="EEEEEE"/>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57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r>
      <w:tr>
        <w:trPr>
          <w:trHeight w:val="196"/>
        </w:trPr>
        <w:tc>
          <w:tcPr>
            <w:tcW w:w="4640" w:type="dxa"/>
            <w:vAlign w:val="bottom"/>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600" w:type="dxa"/>
            <w:vAlign w:val="bottom"/>
            <w:gridSpan w:val="2"/>
            <w:shd w:val="clear" w:color="auto" w:fill="EEEEEE"/>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57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r>
      <w:tr>
        <w:trPr>
          <w:trHeight w:val="196"/>
        </w:trPr>
        <w:tc>
          <w:tcPr>
            <w:tcW w:w="4640" w:type="dxa"/>
            <w:vAlign w:val="bottom"/>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600" w:type="dxa"/>
            <w:vAlign w:val="bottom"/>
            <w:gridSpan w:val="2"/>
            <w:shd w:val="clear" w:color="auto" w:fill="EEEEEE"/>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57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r>
      <w:tr>
        <w:trPr>
          <w:trHeight w:val="196"/>
        </w:trPr>
        <w:tc>
          <w:tcPr>
            <w:tcW w:w="4640" w:type="dxa"/>
            <w:vAlign w:val="bottom"/>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6600" w:type="dxa"/>
            <w:vAlign w:val="bottom"/>
            <w:gridSpan w:val="2"/>
            <w:shd w:val="clear" w:color="auto" w:fill="EEEEEE"/>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57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r>
      <w:tr>
        <w:trPr>
          <w:trHeight w:val="196"/>
        </w:trPr>
        <w:tc>
          <w:tcPr>
            <w:tcW w:w="4640" w:type="dxa"/>
            <w:vAlign w:val="bottom"/>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600" w:type="dxa"/>
            <w:vAlign w:val="bottom"/>
            <w:gridSpan w:val="2"/>
            <w:shd w:val="clear" w:color="auto" w:fill="EEEEEE"/>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5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172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5700" w:type="dxa"/>
            <w:vAlign w:val="bottom"/>
            <w:tcBorders>
              <w:top w:val="single" w:sz="8" w:color="EEEEEE"/>
            </w:tcBorders>
          </w:tcPr>
          <w:p>
            <w:pPr>
              <w:spacing w:after="0"/>
              <w:rPr>
                <w:sz w:val="18"/>
                <w:szCs w:val="18"/>
                <w:color w:val="auto"/>
              </w:rPr>
            </w:pPr>
          </w:p>
        </w:tc>
        <w:tc>
          <w:tcPr>
            <w:tcW w:w="900" w:type="dxa"/>
            <w:vAlign w:val="bottom"/>
            <w:tcBorders>
              <w:top w:val="single" w:sz="8" w:color="EEEEEE"/>
            </w:tcBorders>
          </w:tcPr>
          <w:p>
            <w:pPr>
              <w:spacing w:after="0"/>
              <w:rPr>
                <w:sz w:val="18"/>
                <w:szCs w:val="18"/>
                <w:color w:val="auto"/>
              </w:rPr>
            </w:pPr>
          </w:p>
        </w:tc>
      </w:tr>
      <w:tr>
        <w:trPr>
          <w:trHeight w:val="175"/>
        </w:trPr>
        <w:tc>
          <w:tcPr>
            <w:tcW w:w="4640" w:type="dxa"/>
            <w:vAlign w:val="bottom"/>
            <w:gridSpan w:val="11"/>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0000EE"/>
              </w:rPr>
              <w:t>Incorporation by Reference</w:t>
            </w:r>
          </w:p>
        </w:tc>
        <w:tc>
          <w:tcPr>
            <w:tcW w:w="6600" w:type="dxa"/>
            <w:vAlign w:val="bottom"/>
            <w:gridSpan w:val="2"/>
            <w:shd w:val="clear" w:color="auto" w:fill="EEEEEE"/>
          </w:tcPr>
          <w:p>
            <w:pPr>
              <w:jc w:val="center"/>
              <w:ind w:left="561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560" w:type="dxa"/>
            <w:vAlign w:val="bottom"/>
            <w:tcBorders>
              <w:top w:val="single" w:sz="8" w:color="0000EE"/>
            </w:tcBorders>
            <w:shd w:val="clear" w:color="auto" w:fill="EEEEEE"/>
          </w:tcPr>
          <w:p>
            <w:pPr>
              <w:spacing w:after="0" w:line="20" w:lineRule="exact"/>
              <w:rPr>
                <w:sz w:val="1"/>
                <w:szCs w:val="1"/>
                <w:color w:val="auto"/>
              </w:rPr>
            </w:pPr>
          </w:p>
        </w:tc>
        <w:tc>
          <w:tcPr>
            <w:tcW w:w="3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160" w:type="dxa"/>
            <w:vAlign w:val="bottom"/>
            <w:tcBorders>
              <w:top w:val="single" w:sz="8" w:color="0000EE"/>
            </w:tcBorders>
            <w:shd w:val="clear" w:color="auto" w:fill="EEEEEE"/>
          </w:tcPr>
          <w:p>
            <w:pPr>
              <w:spacing w:after="0" w:line="20" w:lineRule="exact"/>
              <w:rPr>
                <w:sz w:val="1"/>
                <w:szCs w:val="1"/>
                <w:color w:val="auto"/>
              </w:rPr>
            </w:pPr>
          </w:p>
        </w:tc>
        <w:tc>
          <w:tcPr>
            <w:tcW w:w="260" w:type="dxa"/>
            <w:vAlign w:val="bottom"/>
            <w:tcBorders>
              <w:top w:val="single" w:sz="8" w:color="0000EE"/>
            </w:tcBorders>
            <w:shd w:val="clear" w:color="auto" w:fill="EEEEEE"/>
          </w:tcPr>
          <w:p>
            <w:pPr>
              <w:spacing w:after="0" w:line="20" w:lineRule="exact"/>
              <w:rPr>
                <w:sz w:val="1"/>
                <w:szCs w:val="1"/>
                <w:color w:val="auto"/>
              </w:rPr>
            </w:pPr>
          </w:p>
        </w:tc>
        <w:tc>
          <w:tcPr>
            <w:tcW w:w="100" w:type="dxa"/>
            <w:vAlign w:val="bottom"/>
            <w:tcBorders>
              <w:top w:val="single" w:sz="8" w:color="0000EE"/>
            </w:tcBorders>
            <w:shd w:val="clear" w:color="auto" w:fill="EEEEEE"/>
          </w:tcPr>
          <w:p>
            <w:pPr>
              <w:spacing w:after="0" w:line="20" w:lineRule="exact"/>
              <w:rPr>
                <w:sz w:val="1"/>
                <w:szCs w:val="1"/>
                <w:color w:val="auto"/>
              </w:rPr>
            </w:pPr>
          </w:p>
        </w:tc>
        <w:tc>
          <w:tcPr>
            <w:tcW w:w="40" w:type="dxa"/>
            <w:vAlign w:val="bottom"/>
            <w:tcBorders>
              <w:top w:val="single" w:sz="8" w:color="0000EE"/>
            </w:tcBorders>
            <w:shd w:val="clear" w:color="auto" w:fill="EEEEEE"/>
          </w:tcPr>
          <w:p>
            <w:pPr>
              <w:spacing w:after="0" w:line="20" w:lineRule="exact"/>
              <w:rPr>
                <w:sz w:val="1"/>
                <w:szCs w:val="1"/>
                <w:color w:val="auto"/>
              </w:rPr>
            </w:pPr>
          </w:p>
        </w:tc>
        <w:tc>
          <w:tcPr>
            <w:tcW w:w="400" w:type="dxa"/>
            <w:vAlign w:val="bottom"/>
            <w:tcBorders>
              <w:top w:val="single" w:sz="8" w:color="0000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c>
          <w:tcPr>
            <w:tcW w:w="1720" w:type="dxa"/>
            <w:vAlign w:val="bottom"/>
            <w:tcBorders>
              <w:top w:val="single" w:sz="8" w:color="EEEEEE"/>
            </w:tcBorders>
            <w:shd w:val="clear" w:color="auto" w:fill="EEEEEE"/>
          </w:tcPr>
          <w:p>
            <w:pPr>
              <w:spacing w:after="0" w:line="20" w:lineRule="exact"/>
              <w:rPr>
                <w:sz w:val="1"/>
                <w:szCs w:val="1"/>
                <w:color w:val="auto"/>
              </w:rPr>
            </w:pPr>
          </w:p>
        </w:tc>
        <w:tc>
          <w:tcPr>
            <w:tcW w:w="40" w:type="dxa"/>
            <w:vAlign w:val="bottom"/>
            <w:tcBorders>
              <w:top w:val="single" w:sz="8" w:color="EEEEEE"/>
            </w:tcBorders>
            <w:shd w:val="clear" w:color="auto" w:fill="EEEEEE"/>
          </w:tcPr>
          <w:p>
            <w:pPr>
              <w:spacing w:after="0" w:line="20" w:lineRule="exact"/>
              <w:rPr>
                <w:sz w:val="1"/>
                <w:szCs w:val="1"/>
                <w:color w:val="auto"/>
              </w:rPr>
            </w:pPr>
          </w:p>
        </w:tc>
        <w:tc>
          <w:tcPr>
            <w:tcW w:w="5700" w:type="dxa"/>
            <w:vAlign w:val="bottom"/>
            <w:tcBorders>
              <w:top w:val="single" w:sz="8" w:color="EEEEEE"/>
            </w:tcBorders>
            <w:shd w:val="clear" w:color="auto" w:fill="EEEEEE"/>
          </w:tcPr>
          <w:p>
            <w:pPr>
              <w:spacing w:after="0" w:line="20" w:lineRule="exact"/>
              <w:rPr>
                <w:sz w:val="1"/>
                <w:szCs w:val="1"/>
                <w:color w:val="auto"/>
              </w:rPr>
            </w:pPr>
          </w:p>
        </w:tc>
        <w:tc>
          <w:tcPr>
            <w:tcW w:w="900" w:type="dxa"/>
            <w:vAlign w:val="bottom"/>
            <w:tcBorders>
              <w:top w:val="single" w:sz="8" w:color="EEEEEE"/>
            </w:tcBorders>
            <w:shd w:val="clear" w:color="auto" w:fill="EEEEEE"/>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(the “SEC”). The Selling Stockholder named in this prospectus may from time to time sell the Shares described in the prospectus. You should read this prospectus together with the more detailed information regarding our company, our common stock, and our financial statements and notes to those statements that are incorporated by reference into this prospectus and any applicable amendment or supplement to this prospectus, which we describe under the heading “</w:t>
      </w:r>
      <w:r>
        <w:rPr>
          <w:rFonts w:ascii="Times New Roman" w:cs="Times New Roman" w:eastAsia="Times New Roman" w:hAnsi="Times New Roman"/>
          <w:sz w:val="18"/>
          <w:szCs w:val="18"/>
          <w:u w:val="single" w:color="auto"/>
          <w:color w:val="0000EE"/>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Information</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and in any applicable amendment or supplement to this prospectus. We have not authorized anyone to provide you with different information from that contained in, or incorporated by reference in, this prospectus. You should not assume that the information in this prospectus or any applicable amendment or supplement to this prospectus is accurate as of any date other than the date on the front of those documents or that any document incorporated by reference is accurate as of any date other than its filing date.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Neither we nor the Selling Stockholder are offering to sell or seeking offers to purchase these securities in any jurisdiction where the offer or sale is not permitted. We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as to distribution of the prospectus outside of the United States. You should not consider this prospectus to be an offer or solicitation relating to the securities in any jurisdiction in which such an offer or solicitation relating to the securities is not authorized. Furthermore, you should not consider this prospectus to be an offer or solicitation relating to the securities if the person making the offer or solicitation is not qualified to do so, or if it is unlawful for you to receive such an offer or solicitation.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in this prospectus, we frequently use the terms “iPower,” “we,” “our,” “us,” “our company,” and the “Company” to refer to iPower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ind w:left="2540"/>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 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the statements in this prospectus (including any documents incorporated by reference herein) contain forward-looking statements within the meaning of Section 27A of the Securities Act of 1933, as amended (the “Securities Act”), and Section 21E of the Securities Exchange Act of 1934, as amended (the “Exchange Act”). These statements relate to future events or our future financial performance and involve known and unknown risks, uncertainties and other factors which are, in some cases, beyond our ability to control or predict and that may cause actual results, levels of activity, performance or achievements to be materially different from any future results, levels of activity, performance or achievements expressed or implied by forward-looking statements.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“may,” “will,” “should,” “expects,” “intends,” “plans,” “anticipates,” “believes,” “estimates,” “predicts,” “potential,” “continue” or the negative of these terms or other comparable terminology, although not all forward-looking statements contain these identifying words. Our forward-looking statements may include, among other things, statements about:</w:t>
      </w:r>
    </w:p>
    <w:p>
      <w:pPr>
        <w:spacing w:after="0" w:line="17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strategies and plans regarding the acquisition and use of cryptocurrency as reserve assets;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financial and business performance, including our financial projections and business metrics;</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macroeconomic conditions, including labor disputes, depreciation of the U.S. dollar, volatility in the capital markets, U.S.-China relations, inflationary impacts and disruptions to the global supply chain;</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imposition of duties and tariffs and other trade barriers and retaliatory countermeasures implemented by the U.S. and other governments;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our strategy, future operations, financial position, estimated revenues and losses, forecasts, projected costs, prospects and plans;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increase in supply chain costs, including raw materials, sourcing, and transportation;</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inability to anticipate the future market demands and future needs of our customers;</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impact of component shortages, suppliers’ lack of production capacity, natural disasters or pandemics on our sourcing operations and supply chain;</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meet the prospective delivery time for our products and fulfill customer orders;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future capital requirements and sources and uses of cash;</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cover our future capital expenditures and to pay down our near-term debt obligations;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obtain funding and raise capital for our operations;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access the capital markets and credit markets;</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anticipated financial performance, including gross margin, and the expectation that our future results of operations will fluctuate on a quarterly basis for the foreseeable future;</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expected capital expenditures, cost of revenue and other future expenses, and the sources of funds to satisfy the liquidity needs of the Company;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ability to maintain the listing of our common stock on the Nasdaq;</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technology, cybersecurity, and data privacy risks;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intense market competition;</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geopolitical conditions, including political instability in the U.S. and China, unrest and sanctions, war, conflict, including the ongoing conflicts between Russia and Ukraine, conflicts in the Middle East, and increasing tensions between China and Taiwan;</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legislative and regulatory risks, including those relating to the recent enactment of the One Big Beautiful Bill Act;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uncertainties and risks relating to new trade regulations, including tariffs and export control regulations;</w:t>
      </w:r>
    </w:p>
    <w:p>
      <w:pPr>
        <w:spacing w:after="0" w:line="224"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market price and value of digital assets are highly volatile, which may materially and adversely affect the value of our digital asset holdings and our financial condition;</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regulatory environment governing digital assets is evolving, uncertain, and subject to change, which could adversely affect our business, financial condition, and results of operations;</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reputational risks; and</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other risks and uncertainties described in the registration statement of which this prospectus forms a part, including those under the section entitled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and those incorporated by reference herein.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caution readers not to place undue reliance upon any such forward-looking statements, which speak only as of the date they are made. We disclaim any obligation, except as specifically required by law and the rules of the SEC, to publicly update or revise any such statements to reflect any change in company expectations or in events, conditions or circumstances on which any such statements may be based, or that may affect the likelihood that actual results will differ from those set forth in the forward-looking statements.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read this registration statement and the documents that we incorporate by reference herein and therein and have filed as exhibits to the registration statement of which this prospectus is part, completely and with the understanding that our actual future results may be materially different from what we expect. You should assume that the information appearing in this prospectus is accurate as of the date on the cover of this prospectus only. Our business, financial condition, results of operations and prospects may change. We may not update these forward-looking statements, even though our situation may change in the future, unless we have obligations under the federal securities laws to update and disclose material developments related to previously disclosed information. We qualify all of the information presented in this prospectus, and particularly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of our business highlights some of the information contained elsewhere in or incorporated by reference into this prospectus. Because this is only a summary, however, it does not contain all of the information that may be important to you. You should carefully read this prospectus, including the documents incorporated by reference, which are described under “</w:t>
      </w:r>
      <w:r>
        <w:rPr>
          <w:rFonts w:ascii="Times New Roman" w:cs="Times New Roman" w:eastAsia="Times New Roman" w:hAnsi="Times New Roman"/>
          <w:sz w:val="18"/>
          <w:szCs w:val="18"/>
          <w:i w:val="1"/>
          <w:iCs w:val="1"/>
          <w:u w:val="single" w:color="auto"/>
          <w:color w:val="0000EE"/>
        </w:rPr>
        <w:t>Information Incorporated by Reference</w:t>
      </w:r>
      <w:r>
        <w:rPr>
          <w:rFonts w:ascii="Times New Roman" w:cs="Times New Roman" w:eastAsia="Times New Roman" w:hAnsi="Times New Roman"/>
          <w:sz w:val="18"/>
          <w:szCs w:val="18"/>
          <w:i w:val="1"/>
          <w:iCs w:val="1"/>
          <w:color w:val="auto"/>
        </w:rPr>
        <w:t>” and “</w:t>
      </w:r>
      <w:r>
        <w:rPr>
          <w:rFonts w:ascii="Times New Roman" w:cs="Times New Roman" w:eastAsia="Times New Roman" w:hAnsi="Times New Roman"/>
          <w:sz w:val="18"/>
          <w:szCs w:val="18"/>
          <w:i w:val="1"/>
          <w:iCs w:val="1"/>
          <w:u w:val="single" w:color="auto"/>
          <w:color w:val="0000EE"/>
        </w:rPr>
        <w:t>Where You Can Find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0000EE"/>
        </w:rPr>
        <w:t>Information</w:t>
      </w:r>
      <w:r>
        <w:rPr>
          <w:rFonts w:ascii="Times New Roman" w:cs="Times New Roman" w:eastAsia="Times New Roman" w:hAnsi="Times New Roman"/>
          <w:sz w:val="18"/>
          <w:szCs w:val="18"/>
          <w:i w:val="1"/>
          <w:iCs w:val="1"/>
          <w:color w:val="000000"/>
        </w:rPr>
        <w:t>” in this prospectus. You should also carefully consider the matters discussed in the section entitled “</w:t>
      </w:r>
      <w:r>
        <w:rPr>
          <w:rFonts w:ascii="Times New Roman" w:cs="Times New Roman" w:eastAsia="Times New Roman" w:hAnsi="Times New Roman"/>
          <w:sz w:val="18"/>
          <w:szCs w:val="18"/>
          <w:i w:val="1"/>
          <w:iCs w:val="1"/>
          <w:u w:val="single" w:color="auto"/>
          <w:color w:val="0000EE"/>
        </w:rPr>
        <w:t>Risk Factors</w:t>
      </w:r>
      <w:r>
        <w:rPr>
          <w:rFonts w:ascii="Times New Roman" w:cs="Times New Roman" w:eastAsia="Times New Roman" w:hAnsi="Times New Roman"/>
          <w:sz w:val="18"/>
          <w:szCs w:val="18"/>
          <w:i w:val="1"/>
          <w:iCs w:val="1"/>
          <w:color w:val="000000"/>
        </w:rPr>
        <w:t>” in this prospectus, and in</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other periodic reports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iPower is a technology- and data-driven infrastructure company with a foundation in supply chain services, real-world commerce, and partner-based logistics and fulfillment capabilities. The Company leverages its internal software, data, and operational experience, together with a network of procurement, logistics, fulfillment, warehousing, and commerce partners, to support supply chain services, commerce infrastructure, and related business opportunities.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Building on our supply chain, software and operating foundation, iPower is pursuing AI infrastructure acquisition, financing, equipment leasing and related opportunities as a current strategic focus. The Company also maintains a limited digital asset treasury (“DAT”) position that we began implementing through digital asset purchases beginning in December 2025. Management is currently reducing certain digital asset exposure and prioritizing direct AI infrastructure and related operating opportunities, subject to the restrictions applicable to assets held in the Company's controlled collateral account.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 Treasury and Capital Allocation Strategy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iPower adopted an initial Digital Asset Treasury (“DAT”) strategy in June 2025 and began implementing the DAT strategy through purchases beginning in December 2025. The DAT strategy was initially intended to provide limited balance-sheet exposure to potential appreciation in digital assets and to diversify a portion of our treasury assets. This overall strategy serves to govern our corporate treasury and capital-allocation activity. The strategy, which is overseen by Company management within board-approved policies, is intended to be flexible while helping us manage our capital allocation. Our purpose is not to operate a digital asset investment fund, exchange, broker-dealer, investment advisory business or customer custody business. We do not presently engage an external investment manager to oversee or advise on our investments. Our DAT assets are held with BitGo Trust Company, Inc., a South Dakota chartered trust company, which is a full service digital asset infrastructure company.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we acquired approximately 15.1 Bitcoin for approximately $1.325 million and approximately 301.1 Ethereum for approximately $0.884 million. In June 2026, we acquired approximately $1.0 million of USDai and subsequently converted or staked the USDai into sUSDai, a yield-bearing vault/share token associated with the USD.AI protocol, in order to obtain exposure to potential returns associated with AI infrastructure financing. We sold all sUSDAI for approximately $1,002,381 and all Ethereum for approximately $563,391 on August 14, 2026.</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maintain fixed target percentages or minimum allocations for Bitcoin, Ethereum, USDai, sUSDai, other digital assets or cash. The allocation percentages contained in our original financing documents were contractual use-of-proceeds and collateral requirements and were not permanent treasury allocation targets. Subject to our board-approved policy, applicable law and our financing documents, management determines the desired composition of approved asset classes based on operating liquidity, debt servicing and collateral requirements, market volatility and liquidity, custody and protocol risk, expected risk-adjusted returns and available operating opportunities.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digital assets, cash and other property held in the applicable controlled accounts, together with related proceeds, are pledged to the Collateral Agent, an affiliate of the Convertible Note Investor, for the benefit of the holders of the Convertible Notes.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both"/>
        <w:spacing w:after="0" w:line="258" w:lineRule="auto"/>
        <w:rPr>
          <w:sz w:val="20"/>
          <w:szCs w:val="20"/>
          <w:color w:val="auto"/>
        </w:rPr>
      </w:pPr>
      <w:r>
        <w:rPr>
          <w:rFonts w:ascii="Times New Roman" w:cs="Times New Roman" w:eastAsia="Times New Roman" w:hAnsi="Times New Roman"/>
          <w:sz w:val="18"/>
          <w:szCs w:val="18"/>
          <w:color w:val="auto"/>
        </w:rPr>
        <w:t>On July 6, 2026, we amended the Purchase Agreement with the Investor to permit proceeds from future Additional Optional Closings (as defined in the Purchase Agreement) to be used for any general corporate purpose determined by management. Accordingly, proceeds raised from Additional Optional Closings are not subject to a fixed digital asset allocation and may be used for working capital, repayment of indebtedness, AI infrastructure and other corporate purposes. Assets already held in the controlled collateral account remain subject to the applicable custody-control arrangements and first-priority security interest.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determines the desired asset composition within the controlled account and may request purchases, sales, redemptions and rebalancing involving approved assets. The Collateral Agent has contractual control over the blocked account, and the custodian acts on instructions of the Collateral Agent in accordance with the custody-control arrangement. A sale or redemption within the account changes the form of the collateral but does not release it. Cash or other proceeds remain pledged unless released in accordance with the financing documents.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reviewing the performance, liquidity and risks of our digital asset holdings and the availability of direct AI infrastructure opportunities, management has shifted our current capital-allocation priority away from additional passive digital asset accumulation and toward AI infrastructure acquisition, financing, equipment leasing and related operating opportunities. We do not have an automatic or recurring digital asset purchase program and are not committed to maintaining a minimum amount of digital assets.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continue to hold Bitcoin as of October 29, 2026, but may retain, reduce or sell that position in the future in accordance with our policy and financing documents.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29, 2026, we held the digital assets and controlled-account cash amounts set forth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Indicative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Indicative</w:t>
            </w:r>
          </w:p>
        </w:tc>
        <w:tc>
          <w:tcPr>
            <w:tcW w:w="2240" w:type="dxa"/>
            <w:vAlign w:val="bottom"/>
          </w:tcPr>
          <w:p>
            <w:pPr>
              <w:spacing w:after="0"/>
              <w:rPr>
                <w:sz w:val="18"/>
                <w:szCs w:val="18"/>
                <w:color w:val="auto"/>
              </w:rPr>
            </w:pPr>
          </w:p>
        </w:tc>
      </w:tr>
      <w:tr>
        <w:trPr>
          <w:trHeight w:val="238"/>
        </w:trPr>
        <w:tc>
          <w:tcPr>
            <w:tcW w:w="270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Asset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60" w:type="dxa"/>
            <w:vAlign w:val="bottom"/>
          </w:tcPr>
          <w:p>
            <w:pPr>
              <w:spacing w:after="0"/>
              <w:rPr>
                <w:sz w:val="20"/>
                <w:szCs w:val="20"/>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4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Status</w:t>
            </w:r>
          </w:p>
        </w:tc>
      </w:tr>
      <w:tr>
        <w:trPr>
          <w:trHeight w:val="209"/>
        </w:trPr>
        <w:tc>
          <w:tcPr>
            <w:tcW w:w="27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U.S. dollars</w:t>
            </w: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4,817,911.37</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w w:val="97"/>
              </w:rPr>
              <w:t>4,817,911.37</w:t>
            </w:r>
          </w:p>
        </w:tc>
        <w:tc>
          <w:tcPr>
            <w:tcW w:w="220" w:type="dxa"/>
            <w:vAlign w:val="bottom"/>
            <w:tcBorders>
              <w:top w:val="single" w:sz="8" w:color="EEEEEE"/>
            </w:tcBorders>
            <w:shd w:val="clear" w:color="auto" w:fill="EEEEEE"/>
          </w:tcPr>
          <w:p>
            <w:pPr>
              <w:spacing w:after="0"/>
              <w:rPr>
                <w:sz w:val="18"/>
                <w:szCs w:val="18"/>
                <w:color w:val="auto"/>
              </w:rPr>
            </w:pPr>
          </w:p>
        </w:tc>
        <w:tc>
          <w:tcPr>
            <w:tcW w:w="22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Held in controlled account</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Bitcoin</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1,325,400</w:t>
            </w:r>
          </w:p>
        </w:tc>
        <w:tc>
          <w:tcPr>
            <w:tcW w:w="160" w:type="dxa"/>
            <w:vAlign w:val="bottom"/>
          </w:tcPr>
          <w:p>
            <w:pPr>
              <w:spacing w:after="0"/>
              <w:rPr>
                <w:sz w:val="18"/>
                <w:szCs w:val="18"/>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15.11524045 BTC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78,750.05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1,190,325.88</w:t>
            </w: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Held</w:t>
            </w:r>
          </w:p>
        </w:tc>
      </w:tr>
      <w:tr>
        <w:trPr>
          <w:trHeight w:val="194"/>
        </w:trPr>
        <w:tc>
          <w:tcPr>
            <w:tcW w:w="2700" w:type="dxa"/>
            <w:vAlign w:val="bottom"/>
            <w:shd w:val="clear" w:color="auto" w:fill="EEEEEE"/>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Total- assets held in controlled</w:t>
            </w:r>
          </w:p>
        </w:tc>
        <w:tc>
          <w:tcPr>
            <w:tcW w:w="1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1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4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08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106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240" w:type="dxa"/>
            <w:vAlign w:val="bottom"/>
            <w:shd w:val="clear" w:color="auto" w:fill="EEEEEE"/>
          </w:tcPr>
          <w:p>
            <w:pPr>
              <w:spacing w:after="0" w:line="194" w:lineRule="exact"/>
              <w:rPr>
                <w:sz w:val="20"/>
                <w:szCs w:val="20"/>
                <w:color w:val="auto"/>
              </w:rPr>
            </w:pPr>
            <w:r>
              <w:rPr>
                <w:rFonts w:ascii="Times New Roman" w:cs="Times New Roman" w:eastAsia="Times New Roman" w:hAnsi="Times New Roman"/>
                <w:sz w:val="18"/>
                <w:szCs w:val="18"/>
                <w:color w:val="auto"/>
              </w:rPr>
              <w:t>Includes cash and digital</w:t>
            </w:r>
          </w:p>
        </w:tc>
      </w:tr>
      <w:tr>
        <w:trPr>
          <w:trHeight w:val="238"/>
        </w:trPr>
        <w:tc>
          <w:tcPr>
            <w:tcW w:w="2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account</w:t>
            </w:r>
          </w:p>
        </w:tc>
        <w:tc>
          <w:tcPr>
            <w:tcW w:w="1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520" w:type="dxa"/>
            <w:vAlign w:val="bottom"/>
            <w:gridSpan w:val="3"/>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6,008,237.25*</w:t>
            </w:r>
          </w:p>
        </w:tc>
        <w:tc>
          <w:tcPr>
            <w:tcW w:w="22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assets</w:t>
            </w:r>
          </w:p>
        </w:tc>
      </w:tr>
    </w:tbl>
    <w:p>
      <w:pPr>
        <w:spacing w:after="0" w:line="196" w:lineRule="exact"/>
        <w:rPr>
          <w:sz w:val="20"/>
          <w:szCs w:val="20"/>
          <w:color w:val="auto"/>
        </w:rPr>
      </w:pPr>
    </w:p>
    <w:p>
      <w:pPr>
        <w:ind w:right="7460" w:firstLine="8"/>
        <w:spacing w:after="0" w:line="502" w:lineRule="auto"/>
        <w:tabs>
          <w:tab w:leader="none" w:pos="13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Company-provided values as of October 29, 2026. Global Economic Disruption</w:t>
      </w:r>
    </w:p>
    <w:p>
      <w:pPr>
        <w:jc w:val="both"/>
        <w:spacing w:after="0" w:line="255" w:lineRule="auto"/>
        <w:rPr>
          <w:sz w:val="20"/>
          <w:szCs w:val="20"/>
          <w:color w:val="auto"/>
        </w:rPr>
      </w:pPr>
      <w:r>
        <w:rPr>
          <w:rFonts w:ascii="Times New Roman" w:cs="Times New Roman" w:eastAsia="Times New Roman" w:hAnsi="Times New Roman"/>
          <w:sz w:val="18"/>
          <w:szCs w:val="18"/>
          <w:color w:val="auto"/>
        </w:rPr>
        <w:t>While at present the majority of our products are sourced either in the United States or China, the military conflict between Russia and Ukraine, as well as the ongoing conflict in the Middle East, may nonetheless increase the likelihood of supply chain interruptions and hinder our ability to find the materials we need to make our products. Thus far, as a result of the general global economic disruption, we have experienced a decrease in the speed with which we have been able to purchase new inventory, as well as an increase in costs due to delays in shipping, resulting increase in time with which products remain in our warehouse facilities, thus resulting in reduced profits. In addition, supply chain disruptions may make it harder for us to find favorable pricing and reliable sources for the materials we need, putting upward pressure on our costs and increasing the risk that we may be unable to acquire the materials and services we need to continue to make certain products.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212529"/>
        </w:rPr>
        <w:t>Recent Developments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22, 2025, the Company entered into the Purchase Agreement with the Investor providing for the purchase by the Investor of a 6% original issue discount (OID) convertible note facility in the aggregate original principal amount of $30,000,000 (the “Convertible Note Facility”), in which the Investor agreed to initially purchase (i) a Series A Convertible Note in the aggregate original principal amount of $5,184,024, and shares of common stock issuable pursuant to the terms of the Series A Convertible Notes in reliance upon the exemption from securities registration afforded by Section 4(a)(2) of the Securities Act, and Rule 506(b) of Regulation D as promulgated thereunder, and (ii) $1,815,976 aggregate principal amount of a Series B Convertible Note, and shares of common stock issuable pursuant to the terms of the Series B Convertible Notes in a registered direct offering pursuant to a currently effective shelf registration statement on Form S-3 (File No. 333-274665), which was declared effective by the SEC on September 29, 2023. In addition, pursuant to the Purchase Agreement, the parties closed on an additional $5,000,000 of Series A Convertible Notes (the “Additional Series A Notes”) upon effectiveness of a resale registration statement. On July 6, 2026, the Company and the Investor entered into an amendment to the Purchase Agreement for purposes of (i) increasing funds available under the facility by an additional original principal amount of $2,000,000 and (ii) removing restrictions on the use of proceeds for any additional funds obtained through the facility. To date, in addition to the Series B convertible note sold in December 2025, the Company has sold a total of $12,184,024 in Series A convertible notes, with an additional $18,000,000 in Additional Series A Notes remaining available for issuance under the Convertible Note Facility. Digital Offering LLC has acted as placement agent and receives a 6% cash commission for each closing consummated under the Convertible Note Facility. As of October 15, 2026, the Investor has converted a total of $11,366,224 of the Series A Notes, resulting in the conversion of a total of 3,151,026 shares at an average conversion per share conversion price of $3.61 on a post-reverse stock split basis (accounting for a 1-for-8 reverse stock split effectuated May 22, 2026 and a 1-for-9 reverse stock split effectuated August 7, 2026).</w:t>
      </w:r>
    </w:p>
    <w:p>
      <w:pPr>
        <w:spacing w:after="0" w:line="1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 2026, the Company entered into a software asset transfer agreement (the “Software Asset Transfer Agreement”) with its then-wholly owned subsidiary, Global Product Marketing, Inc., a Nevada corporation (“GPM”), pursuant to which GPM assigned, transferred and conveyed to the Company all of GPM’s right, title and interest in its Software Assets (as defined in the agreement), and iPower assumed all outstanding vendor payables related to the Software Assets. In addition, the Software Asset Transfer Agreement granted GPM a non-exclusive worldwide, perpetual, irrevocable and royalty free license to use, reproduce and modify the licensed software, thus allowing iPower and GPM to collaborate in the software development on a going forward basis. Further, in the event GPM resells the Original Software code (as defined in the agreement), GPM shall pay iPower 50% of the proceeds received in relation to such sale. Thereafter, on February 1, 2026, the Company entered into a stock purchase agreement with ETTS AI Investment LLC, a Nevada limited liability company (“ETTS AI”), pursuant to which the Company sold all of its equity interest in GPM and its underlying entities to ETTS AI in exchange for a $2.3 million promissory note (the “Promissory Note”). The Promissory Note is repayable in full in seven years, may be prepaid at any time, and repayment may be credited from time to time by purchase orders (as described below) made under a supply and distribution agreement, dated February 1, 2026 (the “Supply and Distribution Agreement”), between the Company, GPM and ETTS AI.</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Supply and Distribution Agreement, the Company and GPM agreed that the Company would act as exclusive supplier in the United States, Canada and Mexico for all existing SKUs that have historically been distributed from iPower to GPM, thus allowing iPower to continue in its role of supplier to GPM while divesting of the cost center associated with GPM’s sales function. As supplier, iPower will charge GPM, as distributor, a price mutually agreed on for each product and has the right to add up to 15% margin on top of the net cost. In addition, GPM will charge iPower a cooperative marketing fee, which will be defined in a subsequent agreement between the parties. Under the Supply and Distribution Agreement, payment on all purchase orders are due within seven days of GPM’s receipt of payment from its customers and amounts identified as “Margin” (i.e., the Company’s cost x margin on the SKUs purchased by GPM) may be applied on a dollar-for-dollar as a credit/offset against the outstanding amounts owed under the Promissory Note. The Supply and Distribution Agreement has a term of five years and automatically renews thereafter for subsequent two year terms, unless 90 days’ notice is provided prior to the expiration of such term. In addition, the Supply and Distribution Agreement contains standard limitation on liability, indemnification and other provisions standard for an agreement of this nature.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2026, the Company, GPM and ETTS AI entered into a supplement to the Supply and Distribution Agreement (the “Supplement”) pursuant to which GPM assumed $2,007,366.86 of accounts payable owed to the Company’s suppliers in exchange for acquiring an equal amount of the Company’s existing inventory. Additionally, the Supplement releases the Company and GPM from exclusive sourcing and distribution obligations owed to one another under the Supply and Distribution Agreement.</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Effective May 22, 2026, the Company implemented a 1-for-8 reverse stock split of its common stock, under which every eight issued and outstanding pre-split shares were automatically reclassified into one post-split share with no change in par value, resulting in a proportionate adjustment to outstanding equity awards, warrants, and exercise prices (the “May Reverse Split”).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August 7, 2026, the Company implemented a 1-for-9 reverse split of its common stock, under which every nine issued and outstanding pre-split shares were automatically reclassified into one post-split share with no change in par value, resulting in a proportionate adjustment to outstanding equity awards, warrants and exercise prices (the “August Reverse Split”).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October 26, 2026, the Company implemented a 1-for 12 reverse split of its common stock, under which every 12 issued and outstanding pre-split shares were automatically reclassified into one post-split share with no change in par value, resulting in a proportionate adjustment to outstanding equity awards, warrants and exercise prices (the “October Reverse Split,” and together with the August Reverse Split and May Reverse Split referred to as the “Reverse Splits”). Unless otherwise noted, all information contained in this prospectus has been adjusted to reflect the Reverse Splits. The Reverse Splits had no effect on the total number of authorized shares of common stock or preferred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was formed on April 11, 2018 in the State of Nevada under the name BZRTH Inc. On September 4, 2020, we filed a Certificate of Amendment with the State of Nevada changing our name to iPower Inc. Our principal offices are located at 8798 9th Street, Rancho Cucamonga, CA 91730 and our phone number is (626) 863-7344. Our business website is www.meetipower.com. The website addresses referenced herein are not intended to function as hyperlinks, and the information contained in our websites is not incorporated by reference into this registration statement and should not be considered to be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summary below contains basic information about the Series A Convertible Notes and is not intended to be complete. It does not contain all the information that is important to you. For a more complete understanding of the Series A Convertible Notes, please refer to the section of this registration statement entitled “</w:t>
      </w:r>
      <w:r>
        <w:rPr>
          <w:rFonts w:ascii="Times New Roman" w:cs="Times New Roman" w:eastAsia="Times New Roman" w:hAnsi="Times New Roman"/>
          <w:sz w:val="18"/>
          <w:szCs w:val="18"/>
          <w:u w:val="single" w:color="auto"/>
          <w:color w:val="0000EE"/>
        </w:rPr>
        <w:t>Description of the Series A Convertible Notes</w:t>
      </w:r>
      <w:r>
        <w:rPr>
          <w:rFonts w:ascii="Times New Roman" w:cs="Times New Roman" w:eastAsia="Times New Roman" w:hAnsi="Times New Roman"/>
          <w:sz w:val="18"/>
          <w:szCs w:val="18"/>
          <w:color w:val="auto"/>
        </w:rPr>
        <w:t>” on page 24.</w:t>
      </w:r>
    </w:p>
    <w:p>
      <w:pPr>
        <w:sectPr>
          <w:pgSz w:w="11900" w:h="16838" w:orient="portrait"/>
          <w:cols w:equalWidth="0" w:num="1">
            <w:col w:w="11240"/>
          </w:cols>
          <w:pgMar w:left="320" w:top="792" w:right="339" w:bottom="1440" w:gutter="0" w:footer="0" w:header="0"/>
        </w:sectPr>
      </w:pP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Securities Offered: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Up to 8,089,888 shares of common stock issuable upon conversion of the $3,000,000 aggregate principal amount, plus interest, of the Series A Convertible Notes.</w:t>
      </w:r>
    </w:p>
    <w:p>
      <w:pPr>
        <w:spacing w:after="0" w:line="158" w:lineRule="exact"/>
        <w:rPr>
          <w:sz w:val="20"/>
          <w:szCs w:val="20"/>
          <w:color w:val="auto"/>
        </w:rPr>
      </w:pPr>
    </w:p>
    <w:p>
      <w:pPr>
        <w:sectPr>
          <w:pgSz w:w="11900" w:h="16838" w:orient="portrait"/>
          <w:cols w:equalWidth="0" w:num="2">
            <w:col w:w="2440" w:space="720"/>
            <w:col w:w="8080"/>
          </w:cols>
          <w:pgMar w:left="320" w:top="79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Original Principal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$3,000,000.</w:t>
      </w:r>
    </w:p>
    <w:p>
      <w:pPr>
        <w:spacing w:after="0" w:line="207" w:lineRule="exact"/>
        <w:rPr>
          <w:sz w:val="20"/>
          <w:szCs w:val="20"/>
          <w:color w:val="auto"/>
        </w:rPr>
      </w:pPr>
    </w:p>
    <w:p>
      <w:pPr>
        <w:sectPr>
          <w:pgSz w:w="11900" w:h="16838" w:orient="portrait"/>
          <w:cols w:equalWidth="0" w:num="2">
            <w:col w:w="2440" w:space="720"/>
            <w:col w:w="8080"/>
          </w:cols>
          <w:pgMar w:left="320" w:top="792"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Interest Rate: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Series A Convertible Notes bear interest at the rate of 10% per annum.</w:t>
      </w:r>
    </w:p>
    <w:p>
      <w:pPr>
        <w:spacing w:after="0" w:line="207" w:lineRule="exact"/>
        <w:rPr>
          <w:sz w:val="20"/>
          <w:szCs w:val="20"/>
          <w:color w:val="auto"/>
        </w:rPr>
      </w:pPr>
    </w:p>
    <w:p>
      <w:pPr>
        <w:sectPr>
          <w:pgSz w:w="11900" w:h="16838" w:orient="portrait"/>
          <w:cols w:equalWidth="0" w:num="2">
            <w:col w:w="2440" w:space="720"/>
            <w:col w:w="8080"/>
          </w:cols>
          <w:pgMar w:left="320" w:top="792"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Ranking:</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Senior secured obligations of the Company, ranking senior to all of the Company’s outstanding and future indebtedness, subject to certain exceptions.</w:t>
      </w:r>
    </w:p>
    <w:p>
      <w:pPr>
        <w:spacing w:after="0" w:line="158" w:lineRule="exact"/>
        <w:rPr>
          <w:sz w:val="20"/>
          <w:szCs w:val="20"/>
          <w:color w:val="auto"/>
        </w:rPr>
      </w:pPr>
    </w:p>
    <w:p>
      <w:pPr>
        <w:sectPr>
          <w:pgSz w:w="11900" w:h="16838" w:orient="portrait"/>
          <w:cols w:equalWidth="0" w:num="2">
            <w:col w:w="2440" w:space="720"/>
            <w:col w:w="8080"/>
          </w:cols>
          <w:pgMar w:left="320" w:top="79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Maturity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Each Series A Convertible Note matures on the 24-month anniversary of the applicable issuance date.</w:t>
      </w:r>
    </w:p>
    <w:p>
      <w:pPr>
        <w:spacing w:after="0" w:line="207" w:lineRule="exact"/>
        <w:rPr>
          <w:sz w:val="20"/>
          <w:szCs w:val="20"/>
          <w:color w:val="auto"/>
        </w:rPr>
      </w:pPr>
    </w:p>
    <w:p>
      <w:pPr>
        <w:sectPr>
          <w:pgSz w:w="11900" w:h="16838" w:orient="portrait"/>
          <w:cols w:equalWidth="0" w:num="2">
            <w:col w:w="2440" w:space="720"/>
            <w:col w:w="8080"/>
          </w:cols>
          <w:pgMar w:left="320" w:top="792" w:right="3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Common Stock Outstanding Immediately </w:t>
      </w:r>
      <w:r>
        <w:rPr>
          <w:rFonts w:ascii="Times New Roman" w:cs="Times New Roman" w:eastAsia="Times New Roman" w:hAnsi="Times New Roman"/>
          <w:sz w:val="18"/>
          <w:szCs w:val="18"/>
          <w:color w:val="auto"/>
        </w:rPr>
        <w:t>596,808 shares (only giving effect to shares converted to date under the Series B Convertible Notes in</w:t>
      </w:r>
    </w:p>
    <w:p>
      <w:pPr>
        <w:spacing w:after="0" w:line="31" w:lineRule="exact"/>
        <w:rPr>
          <w:sz w:val="20"/>
          <w:szCs w:val="20"/>
          <w:color w:val="auto"/>
        </w:rPr>
      </w:pPr>
    </w:p>
    <w:p>
      <w:pPr>
        <w:ind w:left="3160" w:right="20" w:hanging="3144"/>
        <w:spacing w:after="0" w:line="260" w:lineRule="auto"/>
        <w:tabs>
          <w:tab w:leader="none" w:pos="3140" w:val="left"/>
        </w:tabs>
        <w:rPr>
          <w:sz w:val="20"/>
          <w:szCs w:val="20"/>
          <w:color w:val="auto"/>
        </w:rPr>
      </w:pPr>
      <w:r>
        <w:rPr>
          <w:rFonts w:ascii="Times New Roman" w:cs="Times New Roman" w:eastAsia="Times New Roman" w:hAnsi="Times New Roman"/>
          <w:sz w:val="18"/>
          <w:szCs w:val="18"/>
          <w:b w:val="1"/>
          <w:bCs w:val="1"/>
          <w:i w:val="1"/>
          <w:iCs w:val="1"/>
          <w:color w:val="auto"/>
        </w:rPr>
        <w:t>Prior to This Offering:</w:t>
      </w:r>
      <w:r>
        <w:rPr>
          <w:sz w:val="20"/>
          <w:szCs w:val="20"/>
          <w:color w:val="auto"/>
        </w:rPr>
        <w:tab/>
      </w:r>
      <w:r>
        <w:rPr>
          <w:rFonts w:ascii="Times New Roman" w:cs="Times New Roman" w:eastAsia="Times New Roman" w:hAnsi="Times New Roman"/>
          <w:sz w:val="18"/>
          <w:szCs w:val="18"/>
          <w:color w:val="auto"/>
        </w:rPr>
        <w:t>conjunction with a registered direct offering and to shares converted to date under the Series A Convertible Notes).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Common Stock Outstanding Immediately </w:t>
      </w:r>
      <w:r>
        <w:rPr>
          <w:rFonts w:ascii="Times New Roman" w:cs="Times New Roman" w:eastAsia="Times New Roman" w:hAnsi="Times New Roman"/>
          <w:sz w:val="18"/>
          <w:szCs w:val="18"/>
          <w:color w:val="auto"/>
        </w:rPr>
        <w:t>8,686,696 shares (giving effect only to the shares being registered herein and issuable upon conversion of the</w:t>
      </w:r>
    </w:p>
    <w:p>
      <w:pPr>
        <w:spacing w:after="0" w:line="31" w:lineRule="exact"/>
        <w:rPr>
          <w:sz w:val="20"/>
          <w:szCs w:val="20"/>
          <w:color w:val="auto"/>
        </w:rPr>
      </w:pPr>
    </w:p>
    <w:p>
      <w:pPr>
        <w:ind w:left="3160" w:hanging="3144"/>
        <w:spacing w:after="0" w:line="260" w:lineRule="auto"/>
        <w:tabs>
          <w:tab w:leader="none" w:pos="3140" w:val="left"/>
        </w:tabs>
        <w:rPr>
          <w:sz w:val="20"/>
          <w:szCs w:val="20"/>
          <w:color w:val="auto"/>
        </w:rPr>
      </w:pPr>
      <w:r>
        <w:rPr>
          <w:rFonts w:ascii="Times New Roman" w:cs="Times New Roman" w:eastAsia="Times New Roman" w:hAnsi="Times New Roman"/>
          <w:sz w:val="18"/>
          <w:szCs w:val="18"/>
          <w:b w:val="1"/>
          <w:bCs w:val="1"/>
          <w:i w:val="1"/>
          <w:iCs w:val="1"/>
          <w:color w:val="auto"/>
        </w:rPr>
        <w:t>after This Offering:</w:t>
      </w:r>
      <w:r>
        <w:rPr>
          <w:sz w:val="20"/>
          <w:szCs w:val="20"/>
          <w:color w:val="auto"/>
        </w:rPr>
        <w:tab/>
      </w:r>
      <w:r>
        <w:rPr>
          <w:rFonts w:ascii="Times New Roman" w:cs="Times New Roman" w:eastAsia="Times New Roman" w:hAnsi="Times New Roman"/>
          <w:sz w:val="18"/>
          <w:szCs w:val="18"/>
          <w:color w:val="auto"/>
        </w:rPr>
        <w:t>Series A Convertible Note, and not including shares issuable upon conversion of Series A convertible Notes registered elsewhere).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The holder may convert at (i) a fixed conversion price or (ii) an alternate conversion price equal to the lower of</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(A) the conversion price or (B) the greater of the floor price or 95% of the lowest VWAP during the seven (7)</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trading day period preceding conversion (or 90% of the lowest VWAP during the ten (10) trading day period</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during an event of default).</w:t>
            </w:r>
          </w:p>
        </w:tc>
        <w:tc>
          <w:tcPr>
            <w:tcW w:w="0" w:type="dxa"/>
            <w:vAlign w:val="bottom"/>
          </w:tcPr>
          <w:p>
            <w:pPr>
              <w:spacing w:after="0"/>
              <w:rPr>
                <w:sz w:val="1"/>
                <w:szCs w:val="1"/>
                <w:color w:val="auto"/>
              </w:rPr>
            </w:pPr>
          </w:p>
        </w:tc>
      </w:tr>
      <w:tr>
        <w:trPr>
          <w:trHeight w:val="414"/>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Ownership Limitation:</w:t>
            </w: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Conversions are prohibited to the extent they would cause the Investor (together with its affiliates) to</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beneficially own more than 4.99% of our outstanding common stock. The Investor may elect to increase this</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limit to 9.99% with 61 days’ prior written notice to us.</w:t>
            </w:r>
          </w:p>
        </w:tc>
        <w:tc>
          <w:tcPr>
            <w:tcW w:w="0" w:type="dxa"/>
            <w:vAlign w:val="bottom"/>
          </w:tcPr>
          <w:p>
            <w:pPr>
              <w:spacing w:after="0"/>
              <w:rPr>
                <w:sz w:val="1"/>
                <w:szCs w:val="1"/>
                <w:color w:val="auto"/>
              </w:rPr>
            </w:pPr>
          </w:p>
        </w:tc>
      </w:tr>
      <w:tr>
        <w:trPr>
          <w:trHeight w:val="414"/>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Issuer Redemption Rights:</w:t>
            </w: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The Company may redeem all or any portion of the Series A Convertible Notes at 10% premium on the</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conversion amount being redeemed (or 15% premium during an event of default).</w:t>
            </w:r>
          </w:p>
        </w:tc>
        <w:tc>
          <w:tcPr>
            <w:tcW w:w="0" w:type="dxa"/>
            <w:vAlign w:val="bottom"/>
          </w:tcPr>
          <w:p>
            <w:pPr>
              <w:spacing w:after="0"/>
              <w:rPr>
                <w:sz w:val="1"/>
                <w:szCs w:val="1"/>
                <w:color w:val="auto"/>
              </w:rPr>
            </w:pPr>
          </w:p>
        </w:tc>
      </w:tr>
      <w:tr>
        <w:trPr>
          <w:trHeight w:val="414"/>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We will not receive any proceeds in connection with the Selling Stockholder’s sale of the shares of common</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18"/>
                <w:szCs w:val="18"/>
                <w:color w:val="auto"/>
              </w:rPr>
            </w:pP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stock underlying the Series A Convertible Notes. For a more detailed description of the use of proceeds, see</w:t>
            </w:r>
          </w:p>
        </w:tc>
        <w:tc>
          <w:tcPr>
            <w:tcW w:w="0" w:type="dxa"/>
            <w:vAlign w:val="bottom"/>
          </w:tcPr>
          <w:p>
            <w:pPr>
              <w:spacing w:after="0"/>
              <w:rPr>
                <w:sz w:val="1"/>
                <w:szCs w:val="1"/>
                <w:color w:val="auto"/>
              </w:rPr>
            </w:pPr>
          </w:p>
        </w:tc>
      </w:tr>
      <w:tr>
        <w:trPr>
          <w:trHeight w:val="194"/>
        </w:trPr>
        <w:tc>
          <w:tcPr>
            <w:tcW w:w="2840" w:type="dxa"/>
            <w:vAlign w:val="bottom"/>
          </w:tcPr>
          <w:p>
            <w:pPr>
              <w:spacing w:after="0"/>
              <w:rPr>
                <w:sz w:val="16"/>
                <w:szCs w:val="16"/>
                <w:color w:val="auto"/>
              </w:rPr>
            </w:pPr>
          </w:p>
        </w:tc>
        <w:tc>
          <w:tcPr>
            <w:tcW w:w="8400" w:type="dxa"/>
            <w:vAlign w:val="bottom"/>
            <w:gridSpan w:val="5"/>
          </w:tcPr>
          <w:p>
            <w:pPr>
              <w:ind w:left="320"/>
              <w:spacing w:after="0" w:line="194"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Use of Proceeds</w:t>
            </w:r>
            <w:r>
              <w:rPr>
                <w:rFonts w:ascii="Times New Roman" w:cs="Times New Roman" w:eastAsia="Times New Roman" w:hAnsi="Times New Roman"/>
                <w:sz w:val="18"/>
                <w:szCs w:val="18"/>
                <w:color w:val="auto"/>
              </w:rPr>
              <w:t>” in this registration statement.</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w:t>
            </w:r>
          </w:p>
        </w:tc>
        <w:tc>
          <w:tcPr>
            <w:tcW w:w="4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40" w:type="dxa"/>
            <w:vAlign w:val="bottom"/>
            <w:vMerge w:val="continue"/>
          </w:tcPr>
          <w:p>
            <w:pPr>
              <w:spacing w:after="0"/>
              <w:rPr>
                <w:sz w:val="24"/>
                <w:szCs w:val="24"/>
                <w:color w:val="auto"/>
              </w:rPr>
            </w:pP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Investing in our securities involves significant risks. See “</w:t>
            </w:r>
            <w:r>
              <w:rPr>
                <w:rFonts w:ascii="Times New Roman" w:cs="Times New Roman" w:eastAsia="Times New Roman" w:hAnsi="Times New Roman"/>
                <w:sz w:val="18"/>
                <w:szCs w:val="18"/>
                <w:color w:val="0000EE"/>
              </w:rPr>
              <w:t>Risk Factors</w:t>
            </w:r>
            <w:r>
              <w:rPr>
                <w:rFonts w:ascii="Times New Roman" w:cs="Times New Roman" w:eastAsia="Times New Roman" w:hAnsi="Times New Roman"/>
                <w:sz w:val="18"/>
                <w:szCs w:val="18"/>
                <w:color w:val="auto"/>
              </w:rPr>
              <w:t>” on page 9 of this registration statement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840" w:type="dxa"/>
            <w:vAlign w:val="bottom"/>
          </w:tcPr>
          <w:p>
            <w:pPr>
              <w:spacing w:after="0"/>
              <w:rPr>
                <w:sz w:val="18"/>
                <w:szCs w:val="18"/>
                <w:color w:val="auto"/>
              </w:rPr>
            </w:pP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and in the documents incorporated by reference herein for a discussion of factors you should consider carefully</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before deciding to invest in our securities.</w:t>
            </w:r>
          </w:p>
        </w:tc>
        <w:tc>
          <w:tcPr>
            <w:tcW w:w="0" w:type="dxa"/>
            <w:vAlign w:val="bottom"/>
          </w:tcPr>
          <w:p>
            <w:pPr>
              <w:spacing w:after="0"/>
              <w:rPr>
                <w:sz w:val="1"/>
                <w:szCs w:val="1"/>
                <w:color w:val="auto"/>
              </w:rPr>
            </w:pPr>
          </w:p>
        </w:tc>
      </w:tr>
      <w:tr>
        <w:trPr>
          <w:trHeight w:val="432"/>
        </w:trPr>
        <w:tc>
          <w:tcPr>
            <w:tcW w:w="28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Nasdaq Trading Symbol:</w:t>
            </w:r>
          </w:p>
        </w:tc>
        <w:tc>
          <w:tcPr>
            <w:tcW w:w="84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IPW</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common stock outstanding after the offering is based on 596,808 shares of our common stock outstanding as of October 30, 2026, and excludes the following:</w:t>
      </w:r>
    </w:p>
    <w:p>
      <w:pPr>
        <w:spacing w:after="0" w:line="162" w:lineRule="exact"/>
        <w:rPr>
          <w:sz w:val="20"/>
          <w:szCs w:val="20"/>
          <w:color w:val="auto"/>
        </w:rPr>
      </w:pPr>
    </w:p>
    <w:p>
      <w:pPr>
        <w:jc w:val="both"/>
        <w:ind w:left="660" w:hanging="328"/>
        <w:spacing w:after="0" w:line="265"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50,000,000 shares of common stock which are reserved for issuance under our Third Amended and Restated 2020 Equity Incentive Plan, of which a total of 381,706 shares have been granted and 296 shares remain subject to vesting conditions including (i) 167 restricted stock units, and (ii) options to purchase 162 shares of common stock, of which 36 shares are vested and the remainder of which remain subject to vesting conditions;</w:t>
      </w:r>
    </w:p>
    <w:p>
      <w:pPr>
        <w:spacing w:after="0" w:line="177" w:lineRule="exact"/>
        <w:rPr>
          <w:rFonts w:ascii="Arial" w:cs="Arial" w:eastAsia="Arial" w:hAnsi="Arial"/>
          <w:sz w:val="18"/>
          <w:szCs w:val="18"/>
          <w:b w:val="1"/>
          <w:bCs w:val="1"/>
          <w:color w:val="auto"/>
        </w:rPr>
      </w:pPr>
    </w:p>
    <w:p>
      <w:pPr>
        <w:ind w:left="660" w:hanging="328"/>
        <w:spacing w:after="0"/>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81 shares of common stock underlying the warrants issued on June 18, 2024, in a registered direct offering; and</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excludes all shares issuable upon conversion of the Series A Convertible Notes registered elsewhere, other than shares under the Series A Convertible Notes that have been converted to date.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making an investment decision, you should carefully consider the risks described below and under the section titled “Risk Factors” in our most recent Annual Report on Form 10-K, Quarterly Reports on Form 10-Q and Current Reports on Form 8-K incorporated by reference in this registration statement, any amendment or update thereto reflected in our subsequent filings with the SEC, and all of the other information in this registration statement and the documents that we have incorporated by reference herein and therein, including our financial statements and related notes incorporated by reference in this registration statement.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think are immaterial may also materially harm our business, operating results and financial condition and could result in a complete loss of your investment.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the price of our common stock to decline.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its price. We have registered shares of our common stock that we have issued and may in the future issue under our employee equity incentive plans. These shares may be sold freely in the public market upon issuance, subject to relevant vesting schedules, and applicable securities laws. In addition, we may in the future issue equity securities as consideration for various types of corporate transactions, including acquisitions, strategic partnerships and licensing transactions, which results in dilution to our existing stockholders and may result in additional sales of our common stock. 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its price.</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shares issuable upon conversion of the Convertible Notes may depress the price of our common stock and encourage short sales by third parties, which could further depress the price of our common stock.</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that one or more investors in the Convertible Notes sell shares of our common stock issued upon conversion of the Convertible Notes, the market price of such shares may decrease due to the additional selling pressure in the market. In addition, the risk of dilution from issuances of such shares may cause stockholders to sell their shares of our common stock, which could further contribute to any decline in the price of our common stock. Any downward pressure on the price of our common stock caused by the sale or potential sale of such shares could encourage short sales by third parties. Such sales could place downward pressure on the price of our common stock by increasing the number of shares of our common stock being sold, which could further contribute to any decline in the market price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dividends in the foreseeable future.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paid dividends on any of our capital stock and currently intend to retain any future earnings to fund the growth of our business.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we are unable to convert the Series A Convertible Notes, servicing our debt may require a significant amount of cash, and we may not have sufficient cash flow from our business to pay our obligations under the Convertible Note Facility.</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make payments of principal or to pay interest on or to refinance the Series A Convertible Notes issued under the Convertible Note Facility depends on our future performance, which is subject to economic, financial, competitive and other factors, some of which are beyond our control. Our business may not continue to generate cash flow from operations in the future sufficient to satisfy our obligations under the Series A Convertible Notes.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the Series A Convertible Notes, should we be unable to timely repay our debt thereunder, will depend on the capital markets and our financial condition at such time. We may not be able to engage in any of these activities or engage in these activities on desirable terms, which could result in a default on the Series A Convertible Notes.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an investor, you may lose all of your investment.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As an investor, you may never recoup all, or even part, of your investment and you may never realize any return on your investment. You must be prepared to lose all of your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as a result of future equity offerings.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shares or other securities convertible into or exchangeable for our common stock at prices that may not be the same as the price per share in this offering. The price per share at which we sell additional shares of common stock, or securities convertible or exchangeable into shares of common stock, in future transactions may be lower than the price per share paid by investors in this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maintained.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currently traded on The Nasdaq Capital Market, but we can provide no assurance that we will be able to maintain an active trading market on this or any other exchange in the future. If an active market for our common stock is not maintained, it may be difficult for our stockholders to sell or purchase shares. An inactive market may also impair our ability to raise capital to continue to fund operations by selling shares.</w:t>
      </w:r>
    </w:p>
    <w:p>
      <w:pPr>
        <w:spacing w:after="0" w:line="17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Risks Related to Our Digital Asset Treasury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DAT Strategy exposes us to various risks, including risks associated with bitcoin.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DAT Strategy exposes us to various risks, including the following:</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Our digital assets are subject to a first priority security interest and are not freely available for our use or for use by our stockholders. </w:t>
      </w:r>
      <w:r>
        <w:rPr>
          <w:rFonts w:ascii="Times New Roman" w:cs="Times New Roman" w:eastAsia="Times New Roman" w:hAnsi="Times New Roman"/>
          <w:sz w:val="18"/>
          <w:szCs w:val="18"/>
          <w:color w:val="auto"/>
        </w:rPr>
        <w:t>Our digital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controlled-account cash and related proceeds are subject to a first-priority security interest and are not freely available to us or our common stockholders. Substantially all digital assets, cash and other property held in the applicable controlled accounts, together with related proceeds, are pledged to the Collateral Agent, an affiliate of the Convertible Note Investor, for the benefit of the holders of the Convertible Notes. The Collateral Agent has contractual control over the blocked custodial account. A sale, redemption or conversion of a digital asset into cash within the account does not release the collateral; the resulting cash remains pledged. We may withdraw or use collateral only if the applicable release conditions are satisfied or the required consent is obtained. If an Event of Default occurs, as defined in the Convertible Notes, the Collateral Agent may take control of and dispose of the collateral and apply the proceeds to the secured obligations before any residual value is available to holders of our common stock. Accordingly, the gross value of our controlled-account assets should not be viewed as unrestricted cash or net asset value available to common stockholders.</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Bitcoin and other digital assets are highly volatile assets. </w:t>
      </w:r>
      <w:r>
        <w:rPr>
          <w:rFonts w:ascii="Times New Roman" w:cs="Times New Roman" w:eastAsia="Times New Roman" w:hAnsi="Times New Roman"/>
          <w:sz w:val="18"/>
          <w:szCs w:val="18"/>
          <w:color w:val="auto"/>
        </w:rPr>
        <w:t>Bitcoin (or BTC) and Ethereum (or ETH) are highly volatile assets. BTC has traded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$57,725 per bitcoin and above $126,279 per bitcoin on the Coinbase exchange (a principal market for bitcoin) in the 12 months preceding the date of this Offering. The trading price of bitcoin significantly decreased during prior periods, and such declines may occur again in the future.</w:t>
      </w:r>
    </w:p>
    <w:p>
      <w:pPr>
        <w:spacing w:after="0" w:line="17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Bitcoin does not pay interest or dividends. </w:t>
      </w:r>
      <w:r>
        <w:rPr>
          <w:rFonts w:ascii="Times New Roman" w:cs="Times New Roman" w:eastAsia="Times New Roman" w:hAnsi="Times New Roman"/>
          <w:sz w:val="18"/>
          <w:szCs w:val="18"/>
          <w:color w:val="auto"/>
        </w:rPr>
        <w:t>Bitcoin does not pay interest or other returns and we can only generate cash from our bitcoin holdings if we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bitcoin or implement strategies to create income streams or otherwise generate cash by using our bitcoin holdings. Even if we pursue any such strategies, we may be unable to create income streams or otherwise generate cash from our bitcoin holdings, and any such strategies may subject us to additional risks.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While our DAT Strategy is new, our bitcoin holdings could significantly impact our financial results and the market price of our listed securities. </w:t>
      </w:r>
      <w:r>
        <w:rPr>
          <w:rFonts w:ascii="Times New Roman" w:cs="Times New Roman" w:eastAsia="Times New Roman" w:hAnsi="Times New Roman"/>
          <w:sz w:val="18"/>
          <w:szCs w:val="18"/>
          <w:color w:val="auto"/>
        </w:rPr>
        <w:t>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bitcoin holdings we purchase could significantly affect our financial results. If we continue to invest in bitcoin and increase our overall holdings of bitcoin in the future, they will have an even greater impact on our financial results and the market price of our listed securities.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We intend to purchase bitcoin primarily using proceeds from equity and debt financings. </w:t>
      </w:r>
      <w:r>
        <w:rPr>
          <w:rFonts w:ascii="Times New Roman" w:cs="Times New Roman" w:eastAsia="Times New Roman" w:hAnsi="Times New Roman"/>
          <w:sz w:val="18"/>
          <w:szCs w:val="18"/>
          <w:color w:val="auto"/>
        </w:rPr>
        <w:t>Our ability to achieve the objectives of our DAT Strategy depends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significant part on our ability to obtain equity and debt financing. If we are unable to obtain equity or debt financing on favorable terms or at all, we may not be able to successfully execute on our DAT Strategy</w:t>
      </w:r>
      <w:r>
        <w:rPr>
          <w:rFonts w:ascii="Times New Roman" w:cs="Times New Roman" w:eastAsia="Times New Roman" w:hAnsi="Times New Roman"/>
          <w:sz w:val="18"/>
          <w:szCs w:val="18"/>
          <w:i w:val="1"/>
          <w:iCs w:val="1"/>
          <w:color w:val="auto"/>
        </w:rPr>
        <w:t>.</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Our DAT Strategy has not been tested and we cannot be certain it will be successful. </w:t>
      </w:r>
      <w:r>
        <w:rPr>
          <w:rFonts w:ascii="Times New Roman" w:cs="Times New Roman" w:eastAsia="Times New Roman" w:hAnsi="Times New Roman"/>
          <w:sz w:val="18"/>
          <w:szCs w:val="18"/>
          <w:color w:val="auto"/>
        </w:rPr>
        <w:t>As we roll out our new DAT Strategy, we will need to continually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examine the risks and rewards of our strategy to acquire and hold BTC and ETH. This strategy has not been tested over an extended period of time or under different market conditions. For example, although we believe BTC, due to its limited supply, has the potential to serve as a hedge against inflation in the long term, the short-term price of BTC declined in recent periods during which the inflation rate increased. If BTC or ETH prices were to decrease or our DAT Strategy otherwise proves unsuccessful, our financial condition, results of operations, and the market price of our listed securities would be materially adversely impacted.</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We will be subject to counterparty risks, including in particular risks relating to our custodians. </w:t>
      </w:r>
      <w:r>
        <w:rPr>
          <w:rFonts w:ascii="Times New Roman" w:cs="Times New Roman" w:eastAsia="Times New Roman" w:hAnsi="Times New Roman"/>
          <w:sz w:val="18"/>
          <w:szCs w:val="18"/>
          <w:color w:val="auto"/>
        </w:rPr>
        <w:t>Although we will implement various measures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mitigate our counterparty risks, including by storing substantially all of the digital assets we own in custody accounts at institutional-grade custodians and negotiating contractual arrangements intended to establish that our property interest in custodially-held bitcoin is not subject to claims of our custodians’ creditors, applicable insolvency law is not fully developed with respect to the holding of digital assets in custodial accounts. If our custodially-held BTC or ETH were nevertheless considered to be the property of our custodians’ estates in the event that any such custodians were to enter bankruptcy, receivership or similar insolvency proceedings, we could be treated as a general unsecured creditor of such custodians, inhibiting our ability to exercise ownership rights with respect to such digital assets, or delaying or hindering our access to our digital asset holdings, and this may ultimately result in the loss of the value related to some or all of such bitcoin, which could have a material adverse effect on our financial condition as well as the market price of our listed securities.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broader digital assets industry is subject to counterparty risks, which could adversely impact the adoption rate, price, and use of BTC, ETH or stablecoins. </w:t>
      </w:r>
      <w:r>
        <w:rPr>
          <w:rFonts w:ascii="Times New Roman" w:cs="Times New Roman" w:eastAsia="Times New Roman" w:hAnsi="Times New Roman"/>
          <w:sz w:val="18"/>
          <w:szCs w:val="18"/>
          <w:color w:val="auto"/>
        </w:rPr>
        <w:t>A series of recent high-profile bankruptcies, closures, liquidations, regulatory enforcement actions and other events relating to companies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in the digital asset industry have highlighted the counterparty risks applicable to owning and transacting in digital assets. Although these bankruptcies, closures, liquidations and other events have not resulted in any loss or misappropriation of our bitcoin, nor have such events adversely impacted our access to our BTC or ETH, they have, in the short-term, likely negatively impacted the adoption rate and use of bitcoin. Additional bankruptcies, closures, liquidations, regulatory enforcement actions or other events involving participants in the digital assets industry in the future may further negatively impact the adoption rate, price, and use of BTC or ETH, limit the availability to us of financing collateralized by BTC or ETH or create or expose additional counterparty risks.</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Changes in the accounting treatment of our bitcoin holdings could have significant accounting impacts, including increasing the volatility of our results. </w:t>
      </w:r>
      <w:r>
        <w:rPr>
          <w:rFonts w:ascii="Times New Roman" w:cs="Times New Roman" w:eastAsia="Times New Roman" w:hAnsi="Times New Roman"/>
          <w:sz w:val="18"/>
          <w:szCs w:val="18"/>
          <w:color w:val="auto"/>
        </w:rPr>
        <w:t>Our digital asset holdings and related transactions may create significant volatility in our reported results and our historical financial statements do not reflect all recent developments. Our financial statements through March 31, 2026 reflected our BTC and ETH acquisitions and related fair-value changes. They do not reflect our June 2026 USDai acquisition, subsequent conversion or staking into sUSDai, or our August 2026 instructions to redeem sUSDai and sell ETH. We adopted ASU 2023-08 on July 1, 2025 and record qualifying digital assets at fair value, with realized and unrealized changes recognized in earnings. As a result, changes in digital asset values and any sale or redemption may materially increase volatility in our reported earnings. The accounting and valuation treatment of sUSDai and related redemption proceeds may involve judgment and may differ from the value displayed by the custodian or protocol dashboard.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The broader digital assets industry, including the technology associated with digital assets, the rate of adoption and development of, and use cases for, digital assets, market perception of digital assets, and the legal, regulatory, and accounting treatment of digital assets are constantly developing and changing, and there may be additional risks in the future that are not possible to predict.</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Digital assets can be highly volatile assets, and, in the event we develop significant digital asset holdings, fluctuations in the price are likely to influence our financial results and the market price of our listed securities.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Digital assets can be highly volatile assets, and, in the event we develop significant holdings, fluctuations in the price are likely to influence our financial results and the market price of our listed securities. Our financial results and the market price of our listed securities would be adversely affected, and our business and financial condition would be negatively impacted, if we hold substantial digital assets and the price decreased substantially, including as a result of:</w:t>
      </w:r>
    </w:p>
    <w:p>
      <w:pPr>
        <w:spacing w:after="0" w:line="18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decreased user and investor confidence in our digital asset holdings, including due to the various factors described herein;</w:t>
      </w:r>
    </w:p>
    <w:p>
      <w:pPr>
        <w:spacing w:after="0" w:line="26" w:lineRule="exact"/>
        <w:rPr>
          <w:rFonts w:ascii="Arial" w:cs="Arial" w:eastAsia="Arial" w:hAnsi="Arial"/>
          <w:sz w:val="18"/>
          <w:szCs w:val="18"/>
          <w:b w:val="1"/>
          <w:bCs w:val="1"/>
          <w:color w:val="auto"/>
        </w:rPr>
      </w:pPr>
    </w:p>
    <w:p>
      <w:pPr>
        <w:jc w:val="both"/>
        <w:ind w:left="980" w:hanging="324"/>
        <w:spacing w:after="0" w:line="250" w:lineRule="auto"/>
        <w:tabs>
          <w:tab w:leader="none" w:pos="98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investment and trading activities, such as (i) trading activities of highly active retail and institutional users, speculators, miners and investors; (ii) actual or expected significant dispositions of digital assets by large holders, including the expected liquidation of digital assets associated with entities that have filed for bankruptcy protection and the transfer and sale of digital assets associated with significant hacks, seizures, or forfeitures, such as the transfers of BTC to (a) creditors of the hacked cryptocurrency exchange Mt. Gox which distribution began in July 2024, (b) claimants following proceedings related to a 2016 hack of Bitfinex—which claims are currently being adjudicated, (c) the German government following the seizure of about 50,000 bitcoin in January 2024 from the operator of Movie2k.to, or (d) the Northern District Court of California granting the U.S. Department of Justice in January 2025 the right to liquidate 69,370 bitcoin seized from the Silk Road marketplace; and (iii) actual or perceived manipulation of the spot or derivative markets for bitcoin or spot bitcoin exchange-traded products (“ETPs”);</w:t>
      </w:r>
    </w:p>
    <w:p>
      <w:pPr>
        <w:spacing w:after="0" w:line="2" w:lineRule="exact"/>
        <w:rPr>
          <w:rFonts w:ascii="Arial" w:cs="Arial" w:eastAsia="Arial" w:hAnsi="Arial"/>
          <w:sz w:val="18"/>
          <w:szCs w:val="18"/>
          <w:b w:val="1"/>
          <w:bCs w:val="1"/>
          <w:color w:val="auto"/>
        </w:rPr>
      </w:pPr>
    </w:p>
    <w:p>
      <w:pPr>
        <w:jc w:val="both"/>
        <w:ind w:left="980" w:hanging="324"/>
        <w:spacing w:after="0" w:line="250" w:lineRule="auto"/>
        <w:tabs>
          <w:tab w:leader="none" w:pos="98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negative publicity, media or social media coverage, or sentiment due to events in or relating to, or perception of, digital asset or the broader digital assets industry, for example, (i) public perception that bitcoin can be used as a vehicle to circumvent sanctions, including sanctions imposed on Russia or certain regions related to the ongoing conflict between Russia and Ukraine, or to fund criminal or terrorist activities, such as the purported use of digital assets by Hamas to fund its terrorist attack against Israel in October 2023; (ii) expected or pending civil, criminal, regulatory enforcement or other high profile actions against major participants in the bitcoin ecosystem, including the SEC’s enforcement actions against Coinbase, Inc. and Binance Holdings Ltd.; (iii) additional filings for bankruptcy protection or bankruptcy proceedings of major digital asset industry participants, such as the bankruptcy proceeding of FTX Trading and its affiliates; and (iv) the actual or perceived environmental impact of bitcoin and related activities, including environmental concerns raised by private individuals, governmental and non-governmental organizations, and other actors related to the energy resources consumed in the bitcoin mining process;</w:t>
      </w:r>
    </w:p>
    <w:p>
      <w:pPr>
        <w:spacing w:after="0" w:line="2" w:lineRule="exact"/>
        <w:rPr>
          <w:rFonts w:ascii="Arial" w:cs="Arial" w:eastAsia="Arial" w:hAnsi="Arial"/>
          <w:sz w:val="18"/>
          <w:szCs w:val="18"/>
          <w:b w:val="1"/>
          <w:bCs w:val="1"/>
          <w:color w:val="auto"/>
        </w:rPr>
      </w:pPr>
    </w:p>
    <w:p>
      <w:pPr>
        <w:ind w:left="980" w:hanging="324"/>
        <w:spacing w:after="0"/>
        <w:tabs>
          <w:tab w:leader="none" w:pos="98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consumer preferences and the perceived value or prospects of bitcoin;</w:t>
      </w:r>
    </w:p>
    <w:p>
      <w:pPr>
        <w:spacing w:after="0" w:line="8" w:lineRule="exact"/>
        <w:rPr>
          <w:rFonts w:ascii="Arial" w:cs="Arial" w:eastAsia="Arial" w:hAnsi="Arial"/>
          <w:sz w:val="18"/>
          <w:szCs w:val="18"/>
          <w:b w:val="1"/>
          <w:bCs w:val="1"/>
          <w:color w:val="auto"/>
        </w:rPr>
      </w:pPr>
    </w:p>
    <w:p>
      <w:pPr>
        <w:jc w:val="both"/>
        <w:ind w:left="980" w:hanging="324"/>
        <w:spacing w:after="0" w:line="250" w:lineRule="auto"/>
        <w:tabs>
          <w:tab w:leader="none" w:pos="98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competition from other digital assets that exhibit better speed, security, scalability, or energy efficiency, that feature other more favored characteristics, that are backed by governments, including the U.S. government, or reserves of fiat currencies, or that represent ownership or security interests in physical assets;</w:t>
      </w:r>
    </w:p>
    <w:p>
      <w:pPr>
        <w:jc w:val="both"/>
        <w:ind w:left="980" w:hanging="324"/>
        <w:spacing w:after="0" w:line="250" w:lineRule="auto"/>
        <w:tabs>
          <w:tab w:leader="none" w:pos="98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decrease in the price of other digital assets, including stablecoins, or the crash or unavailability of stablecoins that are used as a medium of exchange for bitcoin purchase and sale transactions, such as the crash of the stablecoin Terra USD in 2022, to the extent the decrease in the price of such other digital assets or the unavailability of such stablecoins may cause a decrease in the price of bitcoin or adversely affect investor confidence in digital assets generally;</w:t>
      </w:r>
    </w:p>
    <w:p>
      <w:pPr>
        <w:ind w:left="980" w:hanging="324"/>
        <w:spacing w:after="0" w:line="249" w:lineRule="auto"/>
        <w:tabs>
          <w:tab w:leader="none" w:pos="98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identification of Satoshi Nakamoto, the pseudonymous person or persons who developed bitcoin, or the transfer of substantial amounts of bitcoin from bitcoin wallets attributed to Mr. Nakamoto;</w:t>
      </w:r>
    </w:p>
    <w:p>
      <w:pPr>
        <w:spacing w:after="0" w:line="1" w:lineRule="exact"/>
        <w:rPr>
          <w:rFonts w:ascii="Arial" w:cs="Arial" w:eastAsia="Arial" w:hAnsi="Arial"/>
          <w:sz w:val="18"/>
          <w:szCs w:val="18"/>
          <w:b w:val="1"/>
          <w:bCs w:val="1"/>
          <w:color w:val="auto"/>
        </w:rPr>
      </w:pPr>
    </w:p>
    <w:p>
      <w:pPr>
        <w:jc w:val="both"/>
        <w:ind w:left="980" w:hanging="324"/>
        <w:spacing w:after="0" w:line="252" w:lineRule="auto"/>
        <w:tabs>
          <w:tab w:leader="none" w:pos="980" w:val="left"/>
        </w:tabs>
        <w:numPr>
          <w:ilvl w:val="0"/>
          <w:numId w:val="5"/>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developments relating to the Bitcoin protocol, including (i) changes to the Bitcoin protocol that impact its security, speed, scalability, usability, or value, such as changes to the cryptographic security protocol underpinning the Bitcoin blockchain, changes to the maximum number of bitcoin outstanding, changes to the mutability of transactions, changes relating to the size of blockchain blocks, and similar changes, (ii) failures to make upgrades to the Bitcoin protocol to adapt to security, technological, legal or other challenges, and (iii) changes to the Bitcoin protocol that introduce software bugs, security risks or other elements that adversely affect bitcoin;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both"/>
        <w:ind w:left="980" w:hanging="324"/>
        <w:spacing w:after="0" w:line="254" w:lineRule="auto"/>
        <w:tabs>
          <w:tab w:leader="none" w:pos="9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disruptions, failures, unavailability, or interruptions in service of trading venues for bitcoin, such as, for example, the announcement by the digital asset exchange FTX Trading that it would freeze withdrawals and transfers from its accounts and subsequent filing for bankruptcy protection and the SEC enforcement action brought against Binance Holdings Ltd., which has now been dropped but which initially sought to freeze all of its assets during the pendency of the enforcement action and has since resulted in Binance discontinuing all fiat deposits and withdrawals in the U.S.;</w:t>
      </w:r>
    </w:p>
    <w:p>
      <w:pPr>
        <w:spacing w:after="0" w:line="2" w:lineRule="exact"/>
        <w:rPr>
          <w:rFonts w:ascii="Arial" w:cs="Arial" w:eastAsia="Arial" w:hAnsi="Arial"/>
          <w:sz w:val="18"/>
          <w:szCs w:val="18"/>
          <w:b w:val="1"/>
          <w:bCs w:val="1"/>
          <w:color w:val="auto"/>
        </w:rPr>
      </w:pPr>
    </w:p>
    <w:p>
      <w:pPr>
        <w:jc w:val="both"/>
        <w:ind w:left="980" w:hanging="324"/>
        <w:spacing w:after="0" w:line="250" w:lineRule="auto"/>
        <w:tabs>
          <w:tab w:leader="none" w:pos="9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filing for bankruptcy protection by, liquidation of, or market concerns about the financial viability of digital asset custodians, trading venues, lending platforms, investment funds, or other digital asset industry participants, such as the filing for bankruptcy protection by digital asset trading venues FTX Trading and BlockFi and digital asset lending platforms Celsius Network and Voyager Digital Holdings in 2022, the ordered liquidation of the digital asset investment fund Three Arrows Capital in 2022, the announced liquidation of Silvergate Bank in 2023, the government-mandated closure and sale of Signature Bank in 2023, the placement of Prime Trust, LLC into receivership following a cease-and-desist order issued by the Nevada Department of Business and Industry in 2023, and the exit of Binance from the U.S. market as part of its settlement with the Department of Justice and other federal regulatory agencies;</w:t>
      </w:r>
    </w:p>
    <w:p>
      <w:pPr>
        <w:spacing w:after="0" w:line="1" w:lineRule="exact"/>
        <w:rPr>
          <w:rFonts w:ascii="Arial" w:cs="Arial" w:eastAsia="Arial" w:hAnsi="Arial"/>
          <w:sz w:val="18"/>
          <w:szCs w:val="18"/>
          <w:b w:val="1"/>
          <w:bCs w:val="1"/>
          <w:color w:val="auto"/>
        </w:rPr>
      </w:pPr>
    </w:p>
    <w:p>
      <w:pPr>
        <w:jc w:val="both"/>
        <w:ind w:left="980" w:hanging="324"/>
        <w:spacing w:after="0" w:line="250" w:lineRule="auto"/>
        <w:tabs>
          <w:tab w:leader="none" w:pos="9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regulatory, legislative, enforcement and judicial actions that adversely affect the price, ownership, transferability, trading volumes, legality or public perception of bitcoin, or that adversely affect the operations of or otherwise prevent digital asset custodians, trading venues, lending platforms or other digital assets industry participants from operating in a manner that allows them to continue to deliver services to the digital assets industry;</w:t>
      </w:r>
    </w:p>
    <w:p>
      <w:pPr>
        <w:jc w:val="both"/>
        <w:ind w:left="980" w:hanging="324"/>
        <w:spacing w:after="0" w:line="250" w:lineRule="auto"/>
        <w:tabs>
          <w:tab w:leader="none" w:pos="9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further reductions in mining rewards of bitcoin, including due to block reward halving events, which are events that occur after a specific period of time (approximately once every four years, the most recent of which occurred in April 2024) that reduce the block reward earned by “miners” who validate bitcoin transactions; increases in the costs associated with bitcoin mining, including increases in electricity costs and hardware and software used in mining; new or enhanced regulation or taxation of bitcoin mining, which could further increase the costs associated with bitcoin mining, any of which may cause a decline in support for the Bitcoin network;</w:t>
      </w:r>
    </w:p>
    <w:p>
      <w:pPr>
        <w:spacing w:after="0" w:line="1" w:lineRule="exact"/>
        <w:rPr>
          <w:rFonts w:ascii="Arial" w:cs="Arial" w:eastAsia="Arial" w:hAnsi="Arial"/>
          <w:sz w:val="18"/>
          <w:szCs w:val="18"/>
          <w:b w:val="1"/>
          <w:bCs w:val="1"/>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transaction congestion and fees associated with processing transactions on the Bitcoin network;</w:t>
      </w:r>
    </w:p>
    <w:p>
      <w:pPr>
        <w:spacing w:after="0" w:line="8" w:lineRule="exact"/>
        <w:rPr>
          <w:rFonts w:ascii="Arial" w:cs="Arial" w:eastAsia="Arial" w:hAnsi="Arial"/>
          <w:sz w:val="18"/>
          <w:szCs w:val="18"/>
          <w:b w:val="1"/>
          <w:bCs w:val="1"/>
          <w:color w:val="auto"/>
        </w:rPr>
      </w:pPr>
    </w:p>
    <w:p>
      <w:pPr>
        <w:ind w:left="980" w:hanging="324"/>
        <w:spacing w:after="0" w:line="249" w:lineRule="auto"/>
        <w:tabs>
          <w:tab w:leader="none" w:pos="9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macroeconomic changes, such as changes in the level of interest rates and inflation, fiscal and monetary policies of governments, trade restrictions, and fiat currency devaluations;</w:t>
      </w:r>
    </w:p>
    <w:p>
      <w:pPr>
        <w:spacing w:after="0" w:line="1" w:lineRule="exact"/>
        <w:rPr>
          <w:rFonts w:ascii="Arial" w:cs="Arial" w:eastAsia="Arial" w:hAnsi="Arial"/>
          <w:sz w:val="18"/>
          <w:szCs w:val="18"/>
          <w:b w:val="1"/>
          <w:bCs w:val="1"/>
          <w:color w:val="auto"/>
        </w:rPr>
      </w:pPr>
    </w:p>
    <w:p>
      <w:pPr>
        <w:ind w:left="980" w:hanging="324"/>
        <w:spacing w:after="0" w:line="249" w:lineRule="auto"/>
        <w:tabs>
          <w:tab w:leader="none" w:pos="9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developments in mathematics or technology, including in digital computing, algebraic geometry and quantum computing, that could result in the cryptography used by the Bitcoin blockchain becoming insecure or ineffective; and</w:t>
      </w:r>
    </w:p>
    <w:p>
      <w:pPr>
        <w:spacing w:after="0" w:line="1" w:lineRule="exact"/>
        <w:rPr>
          <w:rFonts w:ascii="Arial" w:cs="Arial" w:eastAsia="Arial" w:hAnsi="Arial"/>
          <w:sz w:val="18"/>
          <w:szCs w:val="18"/>
          <w:b w:val="1"/>
          <w:bCs w:val="1"/>
          <w:color w:val="auto"/>
        </w:rPr>
      </w:pPr>
    </w:p>
    <w:p>
      <w:pPr>
        <w:jc w:val="both"/>
        <w:ind w:left="980" w:right="20" w:hanging="324"/>
        <w:spacing w:after="0" w:line="255" w:lineRule="auto"/>
        <w:tabs>
          <w:tab w:leader="none" w:pos="980" w:val="left"/>
        </w:tabs>
        <w:numPr>
          <w:ilvl w:val="0"/>
          <w:numId w:val="6"/>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national and international economic and political conditions, including, without limitation, federal government policies, trade tariffs and trade disputes, the adverse impacts attributable to the current conflict between Russia and Ukraine and the economic sanctions adopted in response to the conflict, and the broadening of the Israel-Hamas conflict to other countries in the Middle East.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Bitcoin and other digital assets are novel assets, and are subject to significant legal, commercial, regulatory and technical uncertainty.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Bitcoin and other digital assets are relatively novel and are subject to significant uncertainty, which could adversely impact their price. The application of state and federal securities laws and other laws and regulations to digital assets is evolving, and it is possible that regulators in the United States or foreign countries may interpret or apply existing laws and regulations in a manner that adversely affects the price of bitcoin or the ability of individuals or institutions such as us to own or transfer bitcoin.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federal government, states, regulatory agencies, and foreign countries may also enact new laws and regulations, or pursue regulatory, legislative, enforcement or judicial actions, that could materially impact the price of bitcoin or the ability of individuals or institutions such as us to own or transfer bitcoin. For example, within the past several years:</w:t>
      </w:r>
    </w:p>
    <w:p>
      <w:pPr>
        <w:spacing w:after="0" w:line="176" w:lineRule="exact"/>
        <w:rPr>
          <w:sz w:val="20"/>
          <w:szCs w:val="20"/>
          <w:color w:val="auto"/>
        </w:rPr>
      </w:pPr>
    </w:p>
    <w:p>
      <w:pPr>
        <w:jc w:val="both"/>
        <w:ind w:left="980" w:hanging="324"/>
        <w:spacing w:after="0" w:line="255"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President Trump signed an executive order instructing a working group comprised of representatives from key federal agencies to evaluate measures that can be taken to provide regulatory clarity and certainty built on technology-neutral regulations for individuals and firms involved in digital assets, including through well-defined jurisdictional regulatory boundaries and the working group recently released a report outlining a proposed framework for regulating the digital asset market in the U.S.;</w:t>
      </w:r>
    </w:p>
    <w:p>
      <w:pPr>
        <w:spacing w:after="0" w:line="1" w:lineRule="exact"/>
        <w:rPr>
          <w:rFonts w:ascii="Arial" w:cs="Arial" w:eastAsia="Arial" w:hAnsi="Arial"/>
          <w:sz w:val="18"/>
          <w:szCs w:val="18"/>
          <w:b w:val="1"/>
          <w:bCs w:val="1"/>
          <w:color w:val="auto"/>
        </w:rPr>
      </w:pPr>
    </w:p>
    <w:p>
      <w:pPr>
        <w:ind w:left="980" w:hanging="324"/>
        <w:spacing w:after="0" w:line="249"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European Union adopted Markets in Crypto Assets Regulation (“MiCA”), a comprehensive digital asset regulatory framework for the issuance and use of digital assets, like bitcoin;</w:t>
      </w:r>
    </w:p>
    <w:p>
      <w:pPr>
        <w:spacing w:after="0" w:line="1" w:lineRule="exact"/>
        <w:rPr>
          <w:rFonts w:ascii="Arial" w:cs="Arial" w:eastAsia="Arial" w:hAnsi="Arial"/>
          <w:sz w:val="18"/>
          <w:szCs w:val="18"/>
          <w:b w:val="1"/>
          <w:bCs w:val="1"/>
          <w:color w:val="auto"/>
        </w:rPr>
      </w:pPr>
    </w:p>
    <w:p>
      <w:pPr>
        <w:ind w:left="980" w:hanging="324"/>
        <w:spacing w:after="0" w:line="259" w:lineRule="auto"/>
        <w:tabs>
          <w:tab w:leader="none" w:pos="980" w:val="left"/>
        </w:tabs>
        <w:numPr>
          <w:ilvl w:val="0"/>
          <w:numId w:val="7"/>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June 2023, the SEC filed complaints against Binance Holdings Ltd. (“Binance”) and Coinbase, Inc., and their respective affiliated entities, relating to, among other claims, that each party was operating as an unregistered securities exchange, broker, dealer, and clearing agency;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7" w:name="page18"/>
    <w:bookmarkEnd w:id="17"/>
    <w:p>
      <w:pPr>
        <w:ind w:left="980" w:hanging="324"/>
        <w:spacing w:after="0" w:line="260" w:lineRule="auto"/>
        <w:tabs>
          <w:tab w:leader="none" w:pos="98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November 2023, the SEC filed a complaint against Payward Inc. and Payward Ventures Inc., together known as Kraken, alleging, among other claims, that Kraken’s crypto trading platform was operating as an unregistered securities exchange, broker, dealer, and clearing agency;</w:t>
      </w:r>
    </w:p>
    <w:p>
      <w:pPr>
        <w:spacing w:after="0" w:line="1" w:lineRule="exact"/>
        <w:rPr>
          <w:rFonts w:ascii="Arial" w:cs="Arial" w:eastAsia="Arial" w:hAnsi="Arial"/>
          <w:sz w:val="18"/>
          <w:szCs w:val="18"/>
          <w:b w:val="1"/>
          <w:bCs w:val="1"/>
          <w:color w:val="auto"/>
        </w:rPr>
      </w:pPr>
    </w:p>
    <w:p>
      <w:pPr>
        <w:ind w:left="980" w:hanging="324"/>
        <w:spacing w:after="0" w:line="249" w:lineRule="auto"/>
        <w:tabs>
          <w:tab w:leader="none" w:pos="98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June 2023, the United Kingdom adopted and implemented the Financial Services and Markets Act 2023 (“FSMA 2023”), which regulates market activities in “cryptoassets”;</w:t>
      </w:r>
    </w:p>
    <w:p>
      <w:pPr>
        <w:spacing w:after="0" w:line="1" w:lineRule="exact"/>
        <w:rPr>
          <w:rFonts w:ascii="Arial" w:cs="Arial" w:eastAsia="Arial" w:hAnsi="Arial"/>
          <w:sz w:val="18"/>
          <w:szCs w:val="18"/>
          <w:b w:val="1"/>
          <w:bCs w:val="1"/>
          <w:color w:val="auto"/>
        </w:rPr>
      </w:pPr>
    </w:p>
    <w:p>
      <w:pPr>
        <w:jc w:val="both"/>
        <w:ind w:left="980" w:hanging="324"/>
        <w:spacing w:after="0" w:line="250" w:lineRule="auto"/>
        <w:tabs>
          <w:tab w:leader="none" w:pos="98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November 2023, Binance and its then chief executive officer reached a settlement with the U.S. Department of Justice, CFTC, the U.S. Department of Treasury’s Office of Foreign Asset Control, and the Financial Crimes Enforcement Network to resolve a multi-year investigation by the agencies and a civil suit brought by the CFTC, pursuant to which Binance Holdings Ltd. agreed to, among other things, pay $4.3 billion in penalties across the four agencies and to discontinue its operations in the United States;</w:t>
      </w:r>
    </w:p>
    <w:p>
      <w:pPr>
        <w:jc w:val="both"/>
        <w:ind w:left="980" w:hanging="324"/>
        <w:spacing w:after="0" w:line="250" w:lineRule="auto"/>
        <w:tabs>
          <w:tab w:leader="none" w:pos="98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May 2025, the SEC dismissed its civil enforcement action, which included charges of operating unregistered exchanges, broker-dealers and clearing agencies, as well as charges of the unregistered offer and sale of securities, against Binance, its related entities BAM Trading Services Inc. and BAM Management US Holdings Inc, and its founder, Changpeng Zhao; and</w:t>
      </w:r>
    </w:p>
    <w:p>
      <w:pPr>
        <w:ind w:left="980" w:hanging="324"/>
        <w:spacing w:after="0" w:line="259" w:lineRule="auto"/>
        <w:tabs>
          <w:tab w:leader="none" w:pos="98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China, the People’s Bank of China and the National Development and Reform Commission have outlawed cryptocurrency mining and declared all cryptocurrency transactions illegal within the country.</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not possible to predict whether, or when, new laws will be enacted that change the legal framework governing digital assets or provide additional authorities to the SEC or other regulators, or whether, or when, any other federal, state or foreign legislative bodies will take any similar actions. It is also not possible to predict the nature of any such additional laws or authorities, how additional legislation or regulatory oversight might impact the ability of digital asset markets to function, the willingness of financial and other institutions to continue to provide services to the digital assets industry, or how any new laws or regulations, or changes to existing laws or regulations, might impact the value of digital assets generally and bitcoin specifically. The consequences of any new law or regulation relating to digital assets and digital asset activities could adversely affect the market price of bitcoin, as well as our ability to hold or transact in bitcoin, and in turn adversely affect the market price of our listed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Moreover, the risks of engaging in the DAT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growth of the digital assets industry in general, and the use and acceptance of BTC or ETH in particular, may also impact the price of BTC or ETH and is subject to a high degree of uncertainty. The pace of worldwide growth in the adoption and use of BTC, ETH or other cryptocurrency may depend, for instance, on public familiarity with digital assets, ease of buying, accessing or gaining exposure to BTC, ETH or other cryptocurrency, institutional demand for cryptocurrency as an investment asset, the participation of traditional financial institutions in the digital assets industry, consumer demand for BTC or ETH as a store of value or means of payment, and the availability and popularity of alternatives to BTC or ETH. Even if growth in bitcoin adoption occurs in the near or medium-term, there is no assurance that bitcoin usage will continue to grow over the long-term.</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Because digital assets have no physical existence beyond the record of transactions on the Bitcoin or other blockchain, a variety of technical factors related to the BTC blockchain could also impact the price of BTC. For example, malicious attacks by miners, inadequate mining fees to incentivize validating of bitcoin transactions, hard “forks” of the Bitcoin blockchain into multiple blockchains, and advances in digital computing, algebraic geometry, and quantum computing could undercut the integrity of the Bitcoin blockchain and negatively affect the price of bitcoin. The liquidity of bitcoin may also be reduced and damage to the public perception of bitcoin may occur, if financial institutions were to deny or limit banking services to businesses that hold bitcoin, provide bitcoin-related services or accept bitcoin as payment, which could also decrease the price of bitcoin. Actions by U.S. banking regulators, such as the issuance in February 2023 by Federal banking agencies of the “Interagency Liquidity Risk Statement,” which cautioned banks on contagion risks posed by providing services to digital assets customers, and similar actions, have in the past resulted in or contributed to reductions in access to banking services for bitcoin-related customers and service providers, or the willingness of traditional financial institution to participate in markets for digital assets. The liquidity of bitcoin may also be impacted to the extent that changes in applicable laws and regulatory requirements negatively impact the ability of exchanges and trading venues to provide services for bitcoin and other digital assets.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we may hold USDai and sUSDai. Such holdings of USDai and sUSDai would expose us to risks specific to the USD.AI protocol and sUSDai’s yield-bearing and redemption mechanics. In addition to the risks associated with our DAT Strategy and digital asset holdings described above, our holdings of USDai and staked USDai, or sUSDai, will be subject to risks specific to the USD.AI protocol, including risks relating to the protocol’s reserve, staking, share-pricing, lending and redemption mechanics. Although USDai is intended to function as a fully backed synthetic dollar, it is not cash or an insured bank deposit, and its redeemability depends on the continued availability and operation of the protocol’s supported stablecoin reserves, swap adapters and related processes. sUSDai is a yield-bearing vault/share token rather than a stablecoin, and its value, yield and redemption proceeds depend on the performance, valuation and liquidity of underlying lending positions, unallocated USDai and protocol-administered share-pricing methodology. Redemptions of sUSDai may be asynchronous, queued, subject to timelocks and serviced periodically, and the redemption share price may be lower than the deposit share price or the value reflected in accrued yield, including if underlying loans default, collateral values are impaired, liquidity is unavailable, or the applicable position managers, administrators or governance-controlled processes do not operate as expected. Any inability to redeem USDai or sUSDai when needed, any shortfall between expected and realized redemption value or yield, or any adverse change in the USD.AI protocol, its collateral, loan performance, reserves or redemption process could reduce the value or liquidity of these holdings and adversely affect our liquidity, financial condition and results of operations.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8" w:name="page19"/>
    <w:bookmarkEnd w:id="1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historical financial statements do not reflect the potential variability in earnings that we may experience in the future relating to our bitcoin holdings.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only recently commenced our DAT Strategy. As a result, our historical financial statements do not reflect the potential variability in earnings that we may experience in the future from holding or selling significant amounts of bitcoin.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price of bitcoin has historically been subject to dramatic price fluctuations and is highly volatile. In December 2023, the FASB issued ASU 2023-08, which we will need to adopt going forward. We determine the fair value of our bitcoin based on quoted (unadjusted) prices on the Coinbase exchange (our principal market for bitcoin).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ASU 2023-08 requires us to measure our bitcoin holdings at fair value in our statement of financial position, and to recognize gains and losses from changes in the fair value of our digital assets in net income each reporting period. ASU 2023-08 also requires us to provide certain interim and annual disclosures with respect to our digital asset holdings. ASU 2023-08 does not permit retrospective restatement of prior periods. Accordingly, we expect the adoption of ASU 2023-08 to significantly affect the carrying value of our digital assets on our balance sheet.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our adoption of ASU 2023-08, we may incur greater losses during periods when we previously would have incurred smaller losses or no losses because we had already impaired the carrying value of our digital assets to a low price observed during a prior period, and we may also incur gains during periods when the market value of BTC or ETH rises, as compared to periods prior to January 1, 2025, when we would not have incurred any gains under similar circumstances. Accordingly, due in particular to the volatility in the price of bitcoin, we expect the adoption of ASU 2023-08 to increase the volatility of our financial results. Additionally, as a result of ASU 2023-08 requiring a cumulative-effect adjustment to our opening balance of retained earnings as of January 1, 2025 and not permitting retrospective restatement of prior periods, our future results will not be comparable to results from periods prior to our adoption of the guidance.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we may purchase additional bitcoin in future periods and increase our overall holdings of BTC, ETH or other digital assets, we expect that the proportion of our total assets represented by our DAT holdings will increase in the future. As a result, and in particular due to our adoption of ASU 2023-08, volatility in our earnings may be significantly more than what we experienced in prior periods.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availability of spot exchange traded products (“ETPs”) for bitcoin and other digital assets may adversely affect the market price of our listed securities.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bitcoin and other digital assets have experienced a surge of investor attention since bitcoin was invented in 2008, until recently investors in the United States had limited means to gain direct exposure to bitcoin and other digital assets through traditional investment channels, and instead generally were only able to hold bitcoin or other digital assets through “hosted” wallets provided by digital asset service providers or through “unhosted” wallets that expose the investor to risks associated with loss or hacking of their private keys. Given the relative novelty of digital assets, general lack of familiarity with the processes needed to hold bitcoin directly, as well as the potential reluctance of financial planners and advisers to recommend direct bitcoin holdings to their retail customers because of the manner in which such holdings are custodied, some investors have sought exposure to bitcoin through investment vehicles that hold bitcoin and issue shares representing fractional undivided interests in their underlying bitcoin holdings. These vehicles, which were previously offered only to “accredited investors” on a private placement basis, have in the past traded at substantial premiums to net asset value, possibly due to the relative scarcity of traditional investment vehicles providing investment exposure to bitcoin.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10, 2024, the SEC approved the listing and trading of spot bitcoin ETPs, the shares of which can be sold in public offerings and are traded on U.S. national securities exchanges. The approved ETPs commenced trading directly to the public on January 11, 2024, with a trading volume of $4.6 billion on the first trading day. Additionally, on May 23, 2024, the SEC approved rule changes permitting the listing and trading of spot ETPs that invest in ether, the main crypto asset supporting the Ethereum blockchain. The approved spot ETPs commenced trading directly to the public on July 23, 2024. The listing and trading of spot ETPs for ether offers investors another alternative to gain exposure to digital assets, which could result in a decline in the trading price of bitcoin as well as a decline in the value of our common stock relative to the value of our bitcoin.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9" w:name="page20"/>
    <w:bookmarkEnd w:id="19"/>
    <w:p>
      <w:pPr>
        <w:jc w:val="both"/>
        <w:spacing w:after="0" w:line="252" w:lineRule="auto"/>
        <w:rPr>
          <w:sz w:val="20"/>
          <w:szCs w:val="20"/>
          <w:color w:val="auto"/>
        </w:rPr>
      </w:pPr>
      <w:r>
        <w:rPr>
          <w:rFonts w:ascii="Times New Roman" w:cs="Times New Roman" w:eastAsia="Times New Roman" w:hAnsi="Times New Roman"/>
          <w:sz w:val="18"/>
          <w:szCs w:val="18"/>
          <w:color w:val="auto"/>
        </w:rPr>
        <w:t>Although we are an operating company, and we believe we offer a different value proposition than a bitcoin investment vehicle such as a spot bitcoin ETP, investors may nevertheless view our common stock as an alternative to an investment in an ETP, and choose to purchase shares of a spot bitcoin ETP instead of our common stock. They may do so for a variety of reasons, including if they believe that ETPs offer a “pure play” exposure to bitcoin that is generally not subject to federal income tax at the entity level as we are, or the other risk factors applicable to an operating business, such as ours. Additionally, unlike spot bitcoin ETPs, we (i) do not seek for our shares of common stock to track the value of the underlying bitcoin or other digital asset we hold before payment of expenses and liabilities, (ii) do not benefit from various exemptions and relief under the Securities Exchange Act of 1934, as amended, including Regulation M, and other securities laws, which enable ETPs to continuously align the value of their shares to the price of the underlying assets they hold through share creation and redemption, (iii) are a Nevada corporation rather than a statutory trust, and do not operate pursuant to a trust agreement that would require us to pursue one or more stated investment objectives, and (iv) are not required to provide daily transparency as to our bitcoin holdings or our daily net asset value. Furthermore, recommendations by broker-dealers to buy, hold, or sell complex products and non-traditional ETPs, or an investment strategy involving such products, may be subject to additional or heightened scrutiny that would not be applicable to broker-dealers making recommendations with respect to our common stock. Based on how we are viewed in the market relative to ETPs, and other vehicles which offer economic exposure to bitcoin, such as bitcoin futures exchange-traded funds (“ETFs”), leveraged bitcoin futures ETFs, and similar vehicles offered on international exchanges, any premium or discount in our common stock relative to the value of our bitcoin holdings may increase or decrease in different market conditions.</w:t>
      </w:r>
    </w:p>
    <w:p>
      <w:pPr>
        <w:spacing w:after="0" w:line="19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foregoing factors, availability of spot ETPs for bitcoin and other digital assets could have a material adverse effect on the market price of our listed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DAT Strategy subjects us to enhanced regulatory oversight.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several spot bitcoin ETPs have received approval from the SEC to list their shares on a U.S. national securities exchange with continuous share creation and redemption at net asset value. Even though we are not, and do not function in the manner of, a spot bitcoin ETP, it is possible that we nevertheless could face regulatory scrutiny from the SEC or other federal or state agencies due to our bitcoin holdings.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there has been increasing focus on the extent to which digital assets can be used to launder the proceeds of illegal activities, fund criminal or terrorist activities, or circumvent sanctions regimes, including those sanctions imposed in response to the ongoing conflict between Russia and Ukraine. While we have implemented and maintain policies and procedures reasonably designed to promote compliance with applicable anti-money laundering and sanctions laws and regulations and take care to only acquire our bitcoin through entities subject to anti-money laundering regulation and related compliance rules in the United States, if we are found to have purchased any of our bitcoin from bad actors that have used bitcoin to launder money or persons subject to sanctions, we may be subject to regulatory proceedings and any further transactions or dealings in bitcoin by us may be restricted or prohibited.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bitcoin holdings will serve as collateral securing our outstanding indebtedness to the Investor following this Offering. In addition, we may incur indebtedness or enter into other financial instruments in the future that may be collateralized by our bitcoin or other digital asset holdings. We may also consider pursuing strategies to create income streams or otherwise generate funds using our digital asset holdings. These types of bitcoin- and cryptocurrency-related transactions are the subject of enhanced regulatory oversight. These and any other bitcoin- or cryptocurrency-related transactions we may enter into, beyond simply acquiring and holding BTC or ETH, may subject us to additional regulatory compliance requirements and scrutiny, including under federal and state money services regulations, money transmitter licensing requirements and various commodity and securities laws and regulations.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 laws, guidance and policies may be issued by domestic and foreign regulators following the filing for Chapter 11 bankruptcy protection by FTX, one of the world’s largest cryptocurrency exchanges, in November 2022, which brought increased regulatory scrutiny to the digital asset industry. Increased enforcement activity and changes in the regulatory environment, including changing interpretations and the implementation of new or varying regulatory requirements by the government or any new legislation affecting bitcoin, as well as enforcement actions involving or impacting our trading venues, counterparties and custodians, may impose significant costs or significantly limit our ability to hold and transact in bitcoin or other digital assets.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private actors that are wary of bitcoin, other digital assets, or the regulatory concerns associated with digital assets in general have in the past taken and may in the future take further actions that may have an adverse effect on our business or the market price of our listed securities.</w:t>
      </w:r>
    </w:p>
    <w:p>
      <w:pPr>
        <w:spacing w:after="0" w:line="15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unregulated nature and lack of transparency surrounding the operations of many bitcoin and digital asset trading venues, such trading venues may experience greater fraud, security failures or regulatory or operational problems than trading venues for more established asset classes, which may result in a loss of confidence in bitcoin trading venues and adversely affect the value of our bitcoin.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Bitcoin and other digital asset trading venues are relatively new and, in many cases, unregulated. Furthermore, there are many digital asset trading venues which do not provide the public with significant information regarding their ownership structure, management teams, corporate practices and regulatory compliance. As a result, the marketplace may lose confidence in BTC, ETH or other digital asset trading venues, including prominent exchanges that handle a significant volume of digital asset trading and/or are subject to regulatory oversight, in the event one or more bitcoin trading venues cease or pause for a prolonged period the trading of bitcoin or other digital assets, or experience fraud, significant volumes of withdrawal, security failures or operational problems.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2019 there were reports claiming that 80-95% of bitcoin trading volume on trading venues was false or non-economic in nature, with specific focus on unregulated exchanges located outside of the United States. The SEC also alleged as part of its June 5, 2023 complaint against Binance Holdings Ltd. that Binance committed strategic and targeted “wash trading” through its affiliates to artificially inflate the volume of certain digital assets traded on its exchange. The SEC has also brought recent actions against individuals and digital asset market participants alleging that such persons artificially increased trading volumes in certain digital assets through wash trades, or repeated buying and selling of the same assets in fictitious transactions to manipulate their underlying trading price. Such reports and allegations may indicate that the bitcoin market is significantly smaller than expected and that the United States makes up a significantly larger percentage of the bitcoin market than is commonly understood. Any actual or perceived wash trading in the bitcoin market, and any other fraudulent or manipulative acts and practices, could adversely affect the value of our bitcoin. Negative perception, a lack of stability in the broader bitcoin markets and the closure, temporary shutdown or operational disruption of bitcoin trading venues, lending institutions, institutional investors, institutional miners, custodians, or other major participants in the bitcoin ecosystem, due to fraud, business failure, cybersecurity events, government-mandated regulation, bankruptcy, or for any other reason, may result in a decline in confidence in bitcoin and the broader bitcoin ecosystem and greater volatility in the price of bitcoin. For example, in 2022, each of Celsius Network, Voyager Digital, Three Arrows Capital, FTX, and BlockFi filed for bankruptcy, after which the market prices of bitcoin and other digital assets significantly declined. In addition, in June 2023, the SEC announced enforcement actions against Coinbase, Inc., and Binance Holdings Ltd., two providers of large trading venues for digital assets, which similarly was followed by a decrease in the market price of bitcoin and other digital assets. These were followed in November 2023, by an SEC enforcement action against Payward Inc. and Payward Ventures Inc., together known as Kraken, another large trading venue for digital assets. As the price of our listed securities is affected by the value of our bitcoin holdings, the failure of a major participant in the bitcoin ecosystem could have a material adverse effect on the market price of our listed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concentration of our bitcoin holdings enhances the risks inherent in our DAT Strategy.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only just recently began our acquisition of bitcoin, we anticipate that the concentration of our bitcoin holdings will limit the risk mitigation that we could achieve if we were to purchase a more diversified portfolio of treasury assets, and the absence of diversification enhances the risks inherent in our DAT Strategy. Any future significant declines in the price of bitcoin would have a pronounced impact on our financial condition than if we used our cash to purchase a more diverse portfolio of assets.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emergence or growth of other digital assets, including those with significant private or public sector backing, could have a negative impact on the price of bitcoin and adversely affect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of our DAT Strategy, our digital assets have been concentrated in BTC and ETH holdings. Accordingly, the emergence or growth of digital assets other than BTC or ETH may have a material adverse effect on our financial condition. However, there are numerous alternative digital assets and many entities, including consortiums and financial institutions, are researching and investing resources into private or permissioned blockchain platforms or digital assets that do not use proof-of-work mining like the Bitcoin network. For example, in late 2022, the Ethereum network transitioned to a “proof-of-stake” mechanism for validating transactions that requires significantly less computing power than proof-of-work mining. The Ethereum network has completed another major upgrade since then and may undertake additional upgrades in the future. If the mechanisms for validating transactions in Ethereum and other alternative digital assets are perceived as superior to proof-of-work mining, those digital assets could gain market share relative to bitcoin.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alternative digital assets that compete with bitcoin in certain ways include “stablecoins,” which are designed to maintain a constant price because of, for instance, their issuers’ promise to hold high-quality liquid assets (such as U.S. dollar deposits and short-term U.S. treasury securities) equal to the total value of stablecoins in circulation. Stablecoins have grown rapidly as an alternative to bitcoin and other digital assets as a medium of exchange and store of value, particularly on digital asset trading platforms.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central banks in some countries have started to introduce digital forms of legal tender. For example, China’s CBDC project was made available to consumers in January 2022, and governments including the United States, the United Kingdom, the European Union, and Israel have been discussing the potential creation of new CBDCs. Whether or not they incorporate blockchain or similar technology, CBDCs, as legal tender in the issuing jurisdiction, could also compete with, or replace, bitcoin and other digital assets as a medium of exchange or store of value. As a result, the emergence or growth of these or other digital assets could cause the market price of bitcoin to decrease, which could have a material adverse effect on our business, prospects, financial condition, and operating results.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When acquired, our bitcoin holdings will be less liquid than our existing cash and cash equivalents and may not be able to serve as a source of liquidity for us to the same extent as cash and cash equivalents.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the bitcoin market has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For example, a number of bitcoin trading venues temporarily halted deposits and withdrawals in 2022. As a result, our bitcoin holdings may not be able to serve as a source of liquidity for us to the same extent as cash and cash equivalents. Further, bitcoin we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bitcoin or otherwise generate funds using our bitcoin holdings, including in particular during times of market instability or when the price of bitcoin has declined significantly. If we are unable to sell our bitcoin, enter into additional capital raising transactions, including capital raising transactions using bitcoin as collateral, or otherwise generate funds using our bitcoin holdings, or if we are forced to sell our bitcoin at a significant loss, in order to meet our working capital requirements, our business and financial condition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a security breach or cyberattack and unauthorized parties obtain access to our bitcoin, or if our private keys are lost or destroyed, or other similar circumstances or events occur, we may lose some or all of our bitcoin and our financial condition and results of operations could be materially adversely affected.</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Substantially all of the bitcoin we own is held in custody accounts at institutional-grade digital asset custodians. Security breaches and cyberattacks are of particular concern with respect to our bitcoin. Bitcoin and other blockchain-based cryptocurrencies and the entities that provide services to participants in the bitcoin ecosystem have been, and may in the future be, subject to security breaches, cyberattacks, or other malicious activities. For example, in October 2021 it was reported that hackers exploited a flaw in the account recovery process and stole from the accounts of at least 6,000 customers of the Coinbase exchange, although the flaw was subsequently fixed and Coinbase reimbursed affected customers. Similarly, in November 2022, hackers exploited weaknesses in the security architecture of the FTX Trading digital asset exchange and reportedly stole over $400 million in digital assets from customers. A successful security breach or cyberattack could result in:</w:t>
      </w:r>
    </w:p>
    <w:p>
      <w:pPr>
        <w:spacing w:after="0" w:line="189" w:lineRule="exact"/>
        <w:rPr>
          <w:sz w:val="20"/>
          <w:szCs w:val="20"/>
          <w:color w:val="auto"/>
        </w:rPr>
      </w:pPr>
    </w:p>
    <w:p>
      <w:pPr>
        <w:ind w:left="980" w:hanging="324"/>
        <w:spacing w:after="0" w:line="260" w:lineRule="auto"/>
        <w:tabs>
          <w:tab w:leader="none" w:pos="9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partial or total loss of our bitcoin in a manner that may not be covered by insurance or the liability provisions of the custody agreements with the custodians who hold our bitcoin;</w:t>
      </w:r>
    </w:p>
    <w:p>
      <w:pPr>
        <w:spacing w:after="0" w:line="1" w:lineRule="exact"/>
        <w:rPr>
          <w:rFonts w:ascii="Arial" w:cs="Arial" w:eastAsia="Arial" w:hAnsi="Arial"/>
          <w:sz w:val="18"/>
          <w:szCs w:val="18"/>
          <w:b w:val="1"/>
          <w:bCs w:val="1"/>
          <w:color w:val="auto"/>
        </w:rPr>
      </w:pPr>
    </w:p>
    <w:p>
      <w:pPr>
        <w:ind w:left="980" w:hanging="324"/>
        <w:spacing w:after="0"/>
        <w:tabs>
          <w:tab w:leader="none" w:pos="9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harm to our reputation and brand;</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improper disclosure of data and violations of applicable data privacy and other laws; or</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9"/>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significant regulatory scrutiny, investigations, fines, penalties, and other legal, regulatory, contractual and financial exposure.</w:t>
      </w:r>
    </w:p>
    <w:p>
      <w:pPr>
        <w:spacing w:after="0" w:line="2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Bitcoin blockchain ecosystem or in the use of the Bitcoin network to conduct financial transactions, which could negatively impact us.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Attacks upon systems across a variety of industries, including industries related to bitcoin,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Further, there has been an increase in such activities due to the increase in work-from-home arrangements since the onset of the COVID-19 pandemic. The risk of cyberattacks could also be increased by cyberwarfare in connection with the ongoing Russia-Ukraine and Israel-Hamas conflicts, or other future conflicts, including potential proliferation of malware into systems unrelated to such conflicts. Any future breach of our operations or those of others in the bitcoin industry, including third-party services on which we rely, could materially and adversely affect our business.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relating to the custody of our bitcoin, including the loss or destruction of private keys required to access our bitcoin and cyberattacks or other data loss relating to our bitcoin.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hold, or will hold, our bitcoin with regulated custodians that have duties to safeguard our private keys. Our custodial services contracts do not restrict our ability to reallocate our bitcoin among our custodians, and our bitcoin holdings may be concentrated with a single custodian from time to time. In light of the significant amount of bitcoin we hold, we continually seek to engage additional custodians to achieve a greater degree of diversification in the custody of our bitcoin as the extent of potential risk of loss is dependent, in part, on the degree of diversification. If there is a decrease in the availability of digital asset custodians that we believe can safely custody our bitcoin, for example, due to regulatory developments or enforcement actions that cause custodians to discontinue or limit their services in the United States, we may need to enter into agreements that are less favorable than our current agreements or take other measures to custody our bitcoin, and our ability to seek a greater degree of diversification in the use of custodial services would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both"/>
        <w:spacing w:after="0" w:line="258" w:lineRule="auto"/>
        <w:rPr>
          <w:sz w:val="20"/>
          <w:szCs w:val="20"/>
          <w:color w:val="auto"/>
        </w:rPr>
      </w:pPr>
      <w:r>
        <w:rPr>
          <w:rFonts w:ascii="Times New Roman" w:cs="Times New Roman" w:eastAsia="Times New Roman" w:hAnsi="Times New Roman"/>
          <w:sz w:val="18"/>
          <w:szCs w:val="18"/>
          <w:color w:val="auto"/>
        </w:rPr>
        <w:t>The insurance that covers losses of our bitcoin holdings covers only a small fraction of the value of the entirety of our bitcoin holdings, and there can be no guarantee that such insurance will be maintained as part of the custodial services we have or that such coverage will cover losses with respect to our bitcoin. Moreover, our use of custodians exposes us to the risk that the bitcoin our custodians hold on our behalf could be subject to insolvency proceedings and we could be treated as a general unsecured creditor of the custodian, inhibiting our ability to exercise ownership rights with respect to such bitcoin. Any loss associated with such insolvency proceedings is unlikely to be covered by any insurance coverage we maintain related to our bitcoin.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Bitcoin is controllable only by the possessor of both the unique public key and private key(s) relating to the local or online digital wallet in which the bitcoin is held. While the Bitcoin blockchain ledger requires a public key relating to a digital wallet to be published when used in a transaction, private keys must be safeguarded and kept private in order to prevent a third party from accessing the bitcoin held in such wallet. To the extent the private key(s) for a digital wallet are lost, destroyed, or otherwise compromised and no backup of the private key(s) is accessible, neither we nor our custodians will be able to access the bitcoin held in the related digital wallet. Furthermore, we cannot provide assurance that our digital wallets, nor the digital wallets of our custodians held on our behalf, will not be compromised as a result of a cyberattack. The bitcoin and blockchain ledger, as well as other digital assets and blockchain technologies, have been, and may in the future be, subject to security breaches, cyberattacks, or other malicious activities.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change reclassifying bitcoin as a security could lead to our classification as an “investment company” under the Investment Company Act of 1940 and could adversely affect the market price of bitcoin and the market price of our listed securities.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are only just commencing our DAT Strategy, in the future our assets may be concentrated in bitcoin holdings. While senior SEC officials have stated their view that bitcoin is not a “security” for purposes of the federal securities laws, a contrary determination by the SEC could lead to our classification as an “investment company” under the Investment Company Act of 1940, which would subject us to significant additional regulatory controls that could have a material adverse effect on our ability to execute on our DAT Strategy, and our business and operations and may also require us to substantially change the manner in which we conduct our business.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if bitcoin is determined to constitute a security for purposes of the federal securities laws, the additional regulatory restrictions imposed by such a determination could adversely affect the market price of bitcoin and in turn adversely affect the market price of our listed securities.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monitor our assets and income in order to conduct our business activities in a manner such that we do not fall within the definition of “investment company” under the 1940 Act or would qualify under one of the exemptions or exclusions provided by the 1940 Act and corresponding SEC rules. If bitcoin is determined to be a security for purposes of the federal securities laws, we would take steps to reduce our holdings of bitcoin as a percentage of our total assets. These steps may include, among others, selling bitcoin that we might otherwise hold for the long term and deploying our cash in assets that are not considered to be investment securities under the 1940 Act, in which case we may be forced to sell our bitcoin at unattractive prices. We may also seek to acquire additional assets that are not considered to be investment securities under the 1940 Act, and we may need to incur debt, issue additional equity or enter into other financing arrangements that are not otherwise attractive to our business. Any of these actions could have a material adverse effect on our results of operations and financial condition. Moreover, we can make no assurance that we would successfully be able to take the necessary steps to avoid meeting the definition of “investment company” under the 1940 Act and becoming subject to its requirements. If bitcoin is determined to constitute a security for purposes of the federal securities laws, and if we are not able to come within an available exemption or exclusion under the 1940 Act, then we would have to register as an investment company and require us to change the manner in which we conduct our business. In addition, such a determination could adversely affect the market price of bitcoin and in turn adversely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subject to legal and regulatory obligations that apply to investment companies such as mutual funds and exchange-traded funds, or to obligations applicable to investment advisers.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Mutual funds, ETFs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 Treasury Reserve Policy or our DAT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For example, although a significant change to our DAT Strategy would require the approval of our board of directors, no shareholder or regulatory approval would be necessary. Consequently, our board of directors has broad discretion over the investment, leverage and cash management policies it authorizes, whether in respect of our bitcoin holdings or other activities we may pursue, and has the power to change our current policies, including our strategy of acquiring and holding bitcoin.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DAT Strategy exposes us to risk of non-performance by counterparties.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DAT Strategy exposes us to the risk of non-performance by counterparties, whether contractual or otherwise. Risk of non-performance includes inability or refusal of a counterparty to perform because of a deterioration in the counterparty’s financial condition and liquidity or for any other reason. For example, our execution partners, custodians, or other counterparties might fail to perform in accordance with the terms of our agreements with them, which could result in a loss of bitcoin, a loss of the opportunity to generate funds, or other losses.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primary counterparty risk with respect to our bitcoin is custodian performance obligations under the various custody arrangements we have entered into. A series of recent high-profile bankruptcies, closures, liquidations, regulatory enforcement actions and other events relating to companies operating in the digital asset industry, including the filings for bankruptcy protection by Three Arrows Capital, Celsius Network, Voyager Digital, FTX Trading and Genesis Global Capital, the closure or liquidation of certain financial institutions that provided lending and other services to the digital assets industry, including Signature Bank and Silvergate Bank, SEC enforcement actions against Coinbase, Inc., Binance Holdings Ltd., and Kraken, the placement of Prime Trust, LLC into receivership following a cease-and-desist order issued by Nevada’s Department of Business and Industry, and the filing and subsequent settlement of a civil fraud lawsuit by the New York Attorney General against Genesis Global Capital, its parent company Digital Currency Group, Inc., and former partner Gemini Trust Company have highlighted the perceived and actual counterparty risk applicable to digital asset ownership and trading. Although these bankruptcies, closures and liquidations have not resulted in any loss or misappropriation of our bitcoin, nor have such events adversely impacted our access to our bitcoin, legal precedent created in these bankruptcy and other proceedings may increase the risk of future rulings adverse to our interests in the event one or more of our custodians becomes a debtor in a bankruptcy case or is the subject of other liquidation, insolvency or similar proceedings.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our custodians are subject to regulatory regimes intended to protect customers in the event of a custodial bankruptcy, receivership or similar insolvency proceeding, no assurance can be provided that our custodially-held bitcoin will not become part of the custodian’s insolvency estate if one or more of our custodians enters bankruptcy, receivership or similar insolvency proceedings. Additionally, if we pursue any strategies to create income streams or otherwise generate funds using our bitcoin holdings, we would become subject to additional counterparty risks. Any significant non-performance by counterparties, including in particular the custodians with which we custody substantially all of our bitcoin, could have a material adverse effect on our business, prospects, financial condition,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and the market price of our common stock may be affected by the price of Bitcoin.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capital allocation strategy for assets that are not required to provide working capital for our ongoing operations, we have invested and will continue to invest in bitcoin. After closing on the sale of Series A Convertible Notes and Series B Convertibles, we intend to purchase approximately $4.4 million in BTC and ETH, which will remain in a controlled account. The price of bitcoin has historically been subject to dramatic price fluctuations and is highly volatile. Moreover, digital assets, such as bitcoin, are relatively novel and the application of securities laws and other regulations to such assets is unclear in many respects. It is possible that regulators may interpret laws in a manner that adversely affects the liquidity or value of bitcoin.</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jc w:val="both"/>
        <w:spacing w:after="0" w:line="256" w:lineRule="auto"/>
        <w:rPr>
          <w:sz w:val="20"/>
          <w:szCs w:val="20"/>
          <w:color w:val="auto"/>
        </w:rPr>
      </w:pPr>
      <w:r>
        <w:rPr>
          <w:rFonts w:ascii="Times New Roman" w:cs="Times New Roman" w:eastAsia="Times New Roman" w:hAnsi="Times New Roman"/>
          <w:sz w:val="18"/>
          <w:szCs w:val="18"/>
          <w:color w:val="auto"/>
        </w:rPr>
        <w:t>Any decrease in the fair value of bitcoin below our carrying value for such assets could require us to incur an impairment charge, and such charge could be material to our financial results for the applicable reporting period, which may create significant volatility in our reported earnings. Any decrease in reported earnings or increased volatility of such earnings could have a material adverse effect on the market price of our common stock. In addition, the application of generally accepted accounting principles in the United States with respect to bitcoin remains uncertain in some respects, and any future changes in the manner in which we account for our bitcoin assets could have a material adverse effect on our financial results and the market price of our common stock.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if investors view the value of our common stock as dependent upon or linked to the value or change in the value of our bitcoin holdings, the price of bitcoin may significantly influence the market price of our common stock.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continue to be volatile and fluctuate substantially, which could result in substantial losses for purchasers of our common stock.</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stock price has been and is likely to continue to be volatile. The stock market in general has experienced extreme volatility that has often been unrelated to the operating performance of particular companies. With the adoption of our new bitcoin treasury strategy, we expect to see additional volatility. As a result of this volatility, you may not be able to sell your common stock. The market price for our common stock may be influenced by many factors, including:</w:t>
      </w:r>
    </w:p>
    <w:p>
      <w:pPr>
        <w:spacing w:after="0" w:line="180"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our bitcoin treasury strategy;</w:t>
      </w:r>
    </w:p>
    <w:p>
      <w:pPr>
        <w:spacing w:after="0" w:line="26" w:lineRule="exact"/>
        <w:rPr>
          <w:rFonts w:ascii="Arial" w:cs="Arial" w:eastAsia="Arial" w:hAnsi="Arial"/>
          <w:sz w:val="18"/>
          <w:szCs w:val="18"/>
          <w:b w:val="1"/>
          <w:bCs w:val="1"/>
          <w:color w:val="auto"/>
        </w:rPr>
      </w:pPr>
    </w:p>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success of competitive products, services or technologies;</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recruitment or departure of key personnel;</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general economic, industry and market conditions; and</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10"/>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the other factors described in this ‘‘Risk Factors’’ section.</w:t>
      </w:r>
    </w:p>
    <w:p>
      <w:pPr>
        <w:spacing w:after="0" w:line="2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may invest or spend the proceeds of any offering by the Company in ways with which you may not agree or in ways that may not yield a return.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any offering by the Company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additional products and services our pursuit of our new DAT Strategy. Pending their use, we may invest the net proceeds from this offering in a manner that does not produce income or that loses value. We will not receive any proceeds from sales by the Selling Stockholders.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bitcoin holdings are less liquid than our existing cash and cash equivalents and may not be able to serve as a source of liquidity for us to the same extent as cash and cash equivalents.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Historically, the crypto markets have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Further, bitcoin we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digital assets or otherwise generate funds using our bitcoin holdings, including in particular during times of market instability or when the price of bitcoin has declined significantly. If we are unable to sell our bitcoin, enter into additional capital raising transactions using bitcoin as collateral, or otherwise generate funds using our bitcoin holdings, or if we are forced to sell our bitcoin at a significant loss, in order to meet our working capital requirements, our business and financial condition could be negatively impacted.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subject to legal and regulatory obligations that apply to investment companies such as mutual funds and exchange-traded funds, or to obligations applicable to investment advisers.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Mutual funds, exchange-traded funds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 DAT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For example, although a significant change to our Treasury Reserve Policy would require the approval of our board of directors, no stockholder or regulatory approval would be necessary. Consequently, our board of directors has broad discretion over the investment, leverage and cash management policies it authorizes, whether in respect of our bitcoin holdings or other activities we may pursue, and has the power to change our current policies, including our strategy of acquiring and holding digital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other risks related to our DAT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DAT Strategy exposes us to various risks, including the following:</w:t>
      </w:r>
    </w:p>
    <w:p>
      <w:pPr>
        <w:spacing w:after="0" w:line="225" w:lineRule="exact"/>
        <w:rPr>
          <w:sz w:val="20"/>
          <w:szCs w:val="20"/>
          <w:color w:val="auto"/>
        </w:rPr>
      </w:pPr>
    </w:p>
    <w:p>
      <w:pPr>
        <w:ind w:left="980" w:right="20" w:hanging="324"/>
        <w:spacing w:after="0" w:line="260" w:lineRule="auto"/>
        <w:tabs>
          <w:tab w:leader="none" w:pos="9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bitcoin and other digital assets are subject to significant legal, commercial, regulatory, and technical uncertainty, and our DAT Strategy could subject us to enhanced regulatory oversight;</w:t>
      </w:r>
    </w:p>
    <w:p>
      <w:pPr>
        <w:spacing w:after="0" w:line="1" w:lineRule="exact"/>
        <w:rPr>
          <w:rFonts w:ascii="Arial" w:cs="Arial" w:eastAsia="Arial" w:hAnsi="Arial"/>
          <w:sz w:val="18"/>
          <w:szCs w:val="18"/>
          <w:b w:val="1"/>
          <w:bCs w:val="1"/>
          <w:color w:val="auto"/>
        </w:rPr>
      </w:pPr>
    </w:p>
    <w:p>
      <w:pPr>
        <w:ind w:left="980" w:hanging="324"/>
        <w:spacing w:after="0"/>
        <w:tabs>
          <w:tab w:leader="none" w:pos="9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regulatory changes could impact our ability to operate validators or receive rewards;</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regulatory scrutiny of the Company’s activities may increase, potentially limiting our operations;</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potential litigation risks exist related to smart contract vulnerabilities, validator operations, or our business activities;</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uncertainty around bitcoin’s regulatory status may impact our ability to list on certain exchanges;</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changes in political administration may not guarantee a favorable regulatory environment for bitcoin;</w:t>
      </w:r>
    </w:p>
    <w:p>
      <w:pPr>
        <w:spacing w:after="0" w:line="8" w:lineRule="exact"/>
        <w:rPr>
          <w:rFonts w:ascii="Arial" w:cs="Arial" w:eastAsia="Arial" w:hAnsi="Arial"/>
          <w:sz w:val="18"/>
          <w:szCs w:val="18"/>
          <w:b w:val="1"/>
          <w:bCs w:val="1"/>
          <w:color w:val="auto"/>
        </w:rPr>
      </w:pPr>
    </w:p>
    <w:p>
      <w:pPr>
        <w:ind w:left="980" w:hanging="324"/>
        <w:spacing w:after="0"/>
        <w:tabs>
          <w:tab w:leader="none" w:pos="980" w:val="left"/>
        </w:tabs>
        <w:numPr>
          <w:ilvl w:val="0"/>
          <w:numId w:val="1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increased regulatory focus on Layer-1 blockchains beyond Bitcoin and Ethereum could result in new compliance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SERIES A CONVERTIBLE NOTES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registering shares of our common stock issuable upon conversion of up to $3,000,000 aggregate principal amount of our Series A senior secured convertible promissory notes, which we refer to herein as the “Series A Convertible Notes.” The Series A Convertible Notes are senior secured obligations of the Company, bear interest at 10% per annum and are convertible into shares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prospectus relates to the resale of the shares of our common stock issuable from time to time upon conversion of the Series A Convertible Notes.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the material terms of the Series A Convertible Notes and the Purchase Agreement. Capitalized terms used in this description but not otherwise defined herein have the meanings assigned to them in the Series A Convertible Notes or the Purchase Agreement, as applicable. This summary is not complete and is qualified in its entirety by reference to the Series A Convertible Notes and the Purchase Agreement. Copies of those documents are available as described under “</w:t>
      </w:r>
      <w:r>
        <w:rPr>
          <w:rFonts w:ascii="Times New Roman" w:cs="Times New Roman" w:eastAsia="Times New Roman" w:hAnsi="Times New Roman"/>
          <w:sz w:val="18"/>
          <w:szCs w:val="18"/>
          <w:u w:val="single" w:color="auto"/>
          <w:color w:val="0000EE"/>
        </w:rPr>
        <w:t>Where You Can Find More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Series A Convertible Notes bear interest at 10% per annum, are senior secured obligations of the Company, and are convertible into shares of our common stock as described below.</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any time the Series A Convertible Notes are outstanding, we are required to reserve at least 100% of the number of shares of common stock necessary to effect the conversion of all outstanding Series A Convertible Notes at the Floor Price then in effect. The Series A Convertible Notes contain customary adjustment mechanisms for stock splits, stock dividends and other similar corporate events, as well as protections in the event of a fundamental transaction, each as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Price; Principal Amount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registering for resale herein up to 8,089,888 shares of common stock issuable upon conversion of $3,000,000 aggregate principal amount of Series A Convertible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Maturity Dates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earlier converted or redeemed, each Series A Convertible Note matures on the 24-month anniversary of the Issuance Date. On the Maturity Dates, the Company is required to pay to the holder in cash all outstanding principal, accrued and unpaid interest and accrued and unpaid late charges. The Company may not prepay the Series A Convertible Notes except as specifically permitted.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Series A Convertible Notes bear interest at 10% per annum, payable monthly on the first trading day of each calendar month. Upon the occurrence and during the continuance of an event of default, the interest rate on the Series A Convertible Notes will increase by 7.0% per annum. Interest is payable in shares of common stock, so long as there has been no Equity Conditions Failure or, at the Company’s option, in cash or a combination thereof. Interest payable in shares of common stock will be calculated based on the number of shares equal to the amount of interest payable divided by the Alternate Conversion Price in effect on the applicable interest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at the Option of the Holder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 may convert all or any portion of the outstanding principal and accrued interest at any time after the issuance date.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Conversion Price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fixed Conversion Price for the Series A Convertible Note issued on September 15, 2026 is $3.156, subject to adjustment as provided in the Series A Convertible Note.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holder may elect to convert at an Alternate Conversion Price, which provides for conversion at a discounted price based on recent trading VWAP. The Alternate Optional Conversion Price is equal to the lower of (i) the Conversion Price or (ii) the greater of (x) the Floor Price or (y) 95% of the lowest VWAP during the seven (7) consecutive trading day period ending on the trading day immediately preceding delivery of the conversion notice. The Alternate Event of Default Conversion Price is equal to the lower of (i) the Conversion Price or (ii) the greater of (x) the Floor Price or (y) 90% of the lowest VWAP during the ten (10) consecutive trading day period ending on the trading day immediately preceding delivery of the conversion notice. The Floor Price is $0.388 per share for the Series A Convertible Note issued on September 15, 2026, subject to adjustment.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Limitation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Conversions are prohibited to the extent they would result in the holder beneficially owning more than 4.99% of our outstanding common stock. The holder may increase this limitation up to 9.99% upon 61 days’ prior written notice to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Redemption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redeem all or any portion of the outstanding conversion amount at any time at a premium of 10% of the conversion amount being redeemed (or a premium of 15% during an Event of Default Redemption Right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Fundamental Transactions and Change of Control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a Fundamental Transaction, the Company must either (i) cause any successor entity to assume the Company’s obligations under the Series A Convertible Notes or (ii) permit the holder to require redemption at the Change of Control Redemption Price. A Fundamental Transaction includes any transaction that would result in a change of control of the Company or a sale of substantially all of its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Anti-Dilution Adjustments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Conversion Price is subject to adjustment upon stock splits, stock dividends, stock combinations, recapitalizations and similar events, issuance of common stock, options or convertible securities at prices below 115% of the Conversion Price then in effect (subject to certain conditions), distributions to stockholders, and other dilutive events. The holder is entitled to participate in purchase rights and distributions made to common stockholders as if the holder had converted the Series A Convertible Notes.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of Shares Upon Conversion</w:t>
      </w:r>
    </w:p>
    <w:p>
      <w:pPr>
        <w:spacing w:after="0" w:line="22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Conversion shares must be delivered within one trading day after the Company’s receipt of a conversion notice. If the Company fails to deliver shares when due on more than two occasions, it is required to pay liquidated damages equal to 1% per day of the product of (i) the number of shares not delivered times</w:t>
      </w:r>
    </w:p>
    <w:p>
      <w:pPr>
        <w:spacing w:after="0" w:line="1" w:lineRule="exact"/>
        <w:rPr>
          <w:sz w:val="20"/>
          <w:szCs w:val="20"/>
          <w:color w:val="auto"/>
        </w:rPr>
      </w:pPr>
    </w:p>
    <w:p>
      <w:pPr>
        <w:ind w:firstLine="8"/>
        <w:spacing w:after="0" w:line="260" w:lineRule="auto"/>
        <w:tabs>
          <w:tab w:leader="none" w:pos="27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trading price selected by the holder during the period from the conversion date to the share delivery deadline. The holder also has buy-in rights if the Company fails to timely deliver 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Covenants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Series A Convertible Notes remain outstanding, the Company is subject to various restrictive covenants, including limitations on incurrence of additional indebtedness (other than permitted indebtedness), creation of liens (other than permitted liens), restricted payments and investments, redemption of equity securities, transfer of assets (other than in the ordinary course), transactions with affiliates, and changes in the nature of business.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Security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Series A Convertible Notes and the Series B Convertible Notes issued under the Purchase Agreement are secured obligations of the Company, secured by substantially all of the assets of the Company and certain of its subsidiaries pursuant to the Security Agreement and other security documents.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Series A Convertible Notes constitute senior secured obligations of the Company and rank senior to all of the Company’s other outstanding and future indebtedness, subject to certain exceptions for permitted indebtedness.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Series A Convertible Notes are convertible into shares of common stock, upon the conversion terms described above and as set forth in the Series A Convertible Notes. As of October 30, 2026, our authorized capital stock consists of 980,000,000 shares of common stock, par value $0.001 per share, of which 596,808 shares of common stock were issued and outstanding; and 20,000,000 shares of preferred stock, par value $0.001 per share, none of which were issued and outstanding. The authorized and unissued shares of common stock and preferred stock are available for issuance without further action by our stockholders unless such action is required by applicable law or the rules of any stock exchange on which our securities may be listed. Unless approval of our stockholders is so required, our board of directors will not seek stockholder approval for the issuance and sale of our common stock.</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the express terms of any outstanding preferred stock, dividends may be paid in cash or otherwise with respect to the holders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out of the assets of the Company legally available therefor, upon the terms, and subject to such limitations, as the board of directors may determine.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common stock are entitled to one (1) vote per share in voting or consenting to the election of directors and for all other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for which they are entitled to vote.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Subject to the express terms of any outstanding preferred stock, in the event of a Liquidation of the Corporation, the holders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shall be entitled to share in the distribution of any remaining assets available for distribution to the holders of common stock ratably in proportion to the total number of shares of common stock then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not selling any common stock under this prospectus, and we will not receive any proceeds from the sale of the common stock by the Selling Stockholder. All net proceeds from the sale of the common stock covered by this prospectus will go to the Selling Stockholder. However, the Company will receive proceeds upon the sale of the Series A Convertible Notes issued in any additional closing pursuant to the Purchase Agreement, which proceeds the Company intends to use to pay off existing loans, investing in additional digital assets, and for general corporate purposes.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the Selling Stockholder will sell their Shares as described under “</w:t>
      </w:r>
      <w:r>
        <w:rPr>
          <w:rFonts w:ascii="Times New Roman" w:cs="Times New Roman" w:eastAsia="Times New Roman" w:hAnsi="Times New Roman"/>
          <w:sz w:val="18"/>
          <w:szCs w:val="18"/>
          <w:u w:val="single" w:color="auto"/>
          <w:color w:val="0000EE"/>
        </w:rPr>
        <w:t>Plan of Distribution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shares of common stock being offered by the Selling Stockholder are those shares issuable to the Selling Stockholder upon conversion of the Series A Convertible Notes, consisting of up to 8,089,888 shares of common stock underlying $3,000,000 of outstanding principal of the Series A Convertible Note, including accrued interest through October 30, 2026. The Series A Convertible Note was issued to the Selling Stockholder in a private placement which closed on September 15, 2026. For additional information regarding the issuance of the Series A Convertible Note, see “Prospectus Summary - Recent Developments - Registered Direct Offering” above. We are registering the shares of common stock issuable upon conversion of the Series A Convertible Note in order to permit the Selling Stockholder to offer the Shares for resale from time to time. Except as noted in this prospectus, the Selling Stockholder has not had any material relationship with us within the past three years.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table below lists the Selling Stockholder and other information regarding the beneficial ownership (as determined under Section 13(d) of the Securities Exchange Act of 1934, as amended, and the rules and regulations thereunder) of shares of our common stock held by the Selling Stockholder. The second column lists the number of shares of common stock beneficially owned by the Selling Stockholder, which number includes the shares underlying the Convertible Note, as of October 30, 2026, taking into account any limitations on conversions set forth therein. The third column lists the maximum number of the shares of common stock being offered in this prospectus by the Selling Stockholder and does not take into account any limitations on conversion of the Series A Convertible Notes set forth therein. The fourth column lists the amount of the shares of common stock owned after the offering, assuming in the sale of all of the Shares of common stock offered by the Selling Stockholder pursuant to this prospectus, and without regard to any limitations on conversions.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Stockholder, this prospectus generally covers the resale of the maximum number of shares of common stock issued or issuable upon conversion of the Series A Convertible Note, including any interest due thereunder through October 30, 2026, determined as if the Series A Convertible Note was issued as of the date hereof and were converted in full (without regard to any limitations on conversion contained therein solely for the purpose of such calculation) at the floor price in effect on the date this registration statement was initially filed with the SEC. Because the conversion price and floor price of the Series A Convertible Notes may be adjusted, the number of shares that will actually be issued may be more or less than the number of shares being offered by this prospectus.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Series A Convertible Notes, the Selling Stockholder may not convert the Series A Convertible Notes to the extent such conversion would cause such Selling Stockholder, together with its affiliates, to beneficially own a number of shares of common stock which would exceed 4.99% of our then outstanding common stock following such conversion (the “Maximum Percentage”), excluding for purposes of such determination shares of common stock issuable upon conversion of such Series A Convertible Notes which have not been converted. The number of shares in the second column reflects this limitation. The Selling Stockholder may sell all, some, or none of its shares in this offering. See “</w:t>
      </w:r>
      <w:r>
        <w:rPr>
          <w:rFonts w:ascii="Times New Roman" w:cs="Times New Roman" w:eastAsia="Times New Roman" w:hAnsi="Times New Roman"/>
          <w:sz w:val="18"/>
          <w:szCs w:val="18"/>
          <w:u w:val="single" w:color="auto"/>
          <w:color w:val="0000EE"/>
        </w:rPr>
        <w:t>Plan of Distribution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Shares of</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 be Sold</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Pursuant to</w:t>
            </w:r>
          </w:p>
        </w:tc>
        <w:tc>
          <w:tcPr>
            <w:tcW w:w="25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 Shares of</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Owned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25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Owned</w:t>
            </w:r>
          </w:p>
        </w:tc>
      </w:tr>
      <w:tr>
        <w:trPr>
          <w:trHeight w:val="216"/>
        </w:trPr>
        <w:tc>
          <w:tcPr>
            <w:tcW w:w="4620" w:type="dxa"/>
            <w:vAlign w:val="bottom"/>
            <w:gridSpan w:val="2"/>
          </w:tcPr>
          <w:p>
            <w:pPr>
              <w:ind w:left="1500"/>
              <w:spacing w:after="0"/>
              <w:rPr>
                <w:sz w:val="20"/>
                <w:szCs w:val="20"/>
                <w:color w:val="auto"/>
              </w:rPr>
            </w:pPr>
            <w:r>
              <w:rPr>
                <w:rFonts w:ascii="Times New Roman" w:cs="Times New Roman" w:eastAsia="Times New Roman" w:hAnsi="Times New Roman"/>
                <w:sz w:val="18"/>
                <w:szCs w:val="18"/>
                <w:b w:val="1"/>
                <w:bCs w:val="1"/>
                <w:color w:val="auto"/>
              </w:rPr>
              <w:t>Selling Stockholder</w:t>
            </w:r>
          </w:p>
        </w:tc>
        <w:tc>
          <w:tcPr>
            <w:tcW w:w="27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 xml:space="preserve">Prior to Offering </w:t>
            </w:r>
            <w:r>
              <w:rPr>
                <w:rFonts w:ascii="Times New Roman" w:cs="Times New Roman" w:eastAsia="Times New Roman" w:hAnsi="Times New Roman"/>
                <w:sz w:val="18"/>
                <w:szCs w:val="18"/>
                <w:color w:val="auto"/>
                <w:w w:val="99"/>
              </w:rPr>
              <w:t>(2)</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 xml:space="preserve">Prospectus </w:t>
            </w:r>
            <w:r>
              <w:rPr>
                <w:rFonts w:ascii="Times New Roman" w:cs="Times New Roman" w:eastAsia="Times New Roman" w:hAnsi="Times New Roman"/>
                <w:sz w:val="18"/>
                <w:szCs w:val="18"/>
                <w:color w:val="auto"/>
              </w:rPr>
              <w:t>(3)</w:t>
            </w:r>
          </w:p>
        </w:tc>
        <w:tc>
          <w:tcPr>
            <w:tcW w:w="25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xml:space="preserve">After the Offering </w:t>
            </w:r>
            <w:r>
              <w:rPr>
                <w:rFonts w:ascii="Times New Roman" w:cs="Times New Roman" w:eastAsia="Times New Roman" w:hAnsi="Times New Roman"/>
                <w:sz w:val="18"/>
                <w:szCs w:val="18"/>
                <w:color w:val="auto"/>
                <w:w w:val="99"/>
              </w:rPr>
              <w:t>(2)(5)</w:t>
            </w:r>
          </w:p>
        </w:tc>
      </w:tr>
      <w:tr>
        <w:trPr>
          <w:trHeight w:val="238"/>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w:t>
            </w:r>
          </w:p>
        </w:tc>
      </w:tr>
      <w:tr>
        <w:trPr>
          <w:trHeight w:val="209"/>
        </w:trPr>
        <w:tc>
          <w:tcPr>
            <w:tcW w:w="45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ATW Digital Asset Opportunities XIV LLC (1)</w:t>
            </w:r>
          </w:p>
        </w:tc>
        <w:tc>
          <w:tcPr>
            <w:tcW w:w="12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ind w:right="150"/>
              <w:spacing w:after="0"/>
              <w:rPr>
                <w:sz w:val="20"/>
                <w:szCs w:val="20"/>
                <w:color w:val="auto"/>
              </w:rPr>
            </w:pPr>
            <w:r>
              <w:rPr>
                <w:rFonts w:ascii="Times New Roman" w:cs="Times New Roman" w:eastAsia="Times New Roman" w:hAnsi="Times New Roman"/>
                <w:sz w:val="18"/>
                <w:szCs w:val="18"/>
                <w:color w:val="auto"/>
              </w:rPr>
              <w:t>31,344 (4)</w:t>
            </w:r>
          </w:p>
        </w:tc>
        <w:tc>
          <w:tcPr>
            <w:tcW w:w="120" w:type="dxa"/>
            <w:vAlign w:val="bottom"/>
            <w:tcBorders>
              <w:top w:val="single" w:sz="8" w:color="EEEEEE"/>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8,089,888</w:t>
            </w:r>
          </w:p>
        </w:tc>
        <w:tc>
          <w:tcPr>
            <w:tcW w:w="12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rPr>
              <w:t>6,744</w:t>
            </w:r>
          </w:p>
        </w:tc>
        <w:tc>
          <w:tcPr>
            <w:tcW w:w="12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ind w:right="310"/>
              <w:spacing w:after="0"/>
              <w:rPr>
                <w:sz w:val="20"/>
                <w:szCs w:val="20"/>
                <w:color w:val="auto"/>
              </w:rPr>
            </w:pPr>
            <w:r>
              <w:rPr>
                <w:rFonts w:ascii="Times New Roman" w:cs="Times New Roman" w:eastAsia="Times New Roman" w:hAnsi="Times New Roman"/>
                <w:sz w:val="18"/>
                <w:szCs w:val="18"/>
                <w:color w:val="auto"/>
              </w:rPr>
              <w:t>-.08%</w:t>
            </w:r>
          </w:p>
        </w:tc>
      </w:tr>
    </w:tbl>
    <w:p>
      <w:pPr>
        <w:spacing w:after="0" w:line="198" w:lineRule="exact"/>
        <w:rPr>
          <w:sz w:val="20"/>
          <w:szCs w:val="20"/>
          <w:color w:val="auto"/>
        </w:rPr>
      </w:pPr>
    </w:p>
    <w:p>
      <w:pPr>
        <w:jc w:val="both"/>
        <w:ind w:left="340" w:hanging="332"/>
        <w:spacing w:after="0" w:line="255"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directly held by ATW Digital Asset Opportunities XIV LLC, which is wholly owned by ATW Master Fund V LP (the “Fund”), and may be deemed to be beneficially owned by: (i) ATW Partners Opportunities Management LLC, which serves as the investment manager of the Fund; and (ii) Antonio Ruiz-Gimenez and Kerry Propper, who serve as the managing members of the investment manager (the Selling Stockholder and Fund, together with (i) and (ii), the “Reporting Persons”). While the Reporting Persons may be deemed to have shared voting and dispositive power with respect to the securities beneficially owned by the Selling Stockholder, each of the Reporting Persons disclaim beneficial ownership of the Company’s securities reported herein. The address of ATW Digital Asset Opportunities XIV LLC is c/o ATW Partners Opportunities Management, LLC, 1 Pennsylvania Plaza, Suite 4810, New York, NY 10119.</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percentage ownership is based on 596,808 shares of our common stock outstanding as of October 30, 2026, and based on 8,686,696 shares of our common stock outstanding after the offering.</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8,089,888 shares issuable upon conversion of $3,000,000 of a Series A Convertible Note, plus interest, issued to the Selling Stockholder on September 15, 2026, converted at an assumed floor price of $0.445.</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lists the number of shares of our common stock beneficially owned by this Selling Stockholder as of October 30, 2026, after giving effect to the Maximum Percentage (as defined above). Without regard to the Maximum Percentage, as of October 30, 2026, assuming the conversion of all Series A secured convertible notes held by the Selling Stockholder, including both the Series A Convertible Note and the $2,000,000 Series A convertible note issued to the Selling Stockholder on July 6, 2026 (the “July Convertible Note”), the Selling Stockholder would beneficially own an aggregate of 8,96,662 shares of our common stock, consisting of (i) 8,089,888 shares of common stock underlying the Series A Convertible Note held by the Selling Stockholder (assuming the Series A Convertible Note is converted in full at the floor price of $0.445 per share), all of which are being registered under this prospectus; and (ii) 6,744 shares of common stock underlying the July Convertible Note held by the Selling Stockholder (assuming the July Convertible Note is converted in full at a floor price of $43.20 per share), none of which are being registered under this prospectus.</w:t>
      </w:r>
    </w:p>
    <w:p>
      <w:pPr>
        <w:spacing w:after="0" w:line="19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securities being offered pursuant to this prospectus and no other shares of common stock are acquired by the Selling Stockholder after giving effect to the Maximum Percentage. However, the Selling Stockholder is not obligated to sell all or any portion of the shares of our stock offered pursuant 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registering the shares of common stock issuable upon conversion of the Series A Convertible Notes to permit the resale of these shares of common stock by the holders of the Series A Convertible Notes from time to time after the date of this prospectus. We will not receive any of the proceeds from the sale by the Selling Stockholder of the shares of common stock. We will bear all fees and expenses incident to our obligation to register the shares of common stock.</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Selling Stockholder may sell all or a portion of the shares of common stock held by them and offered hereby from time to time directly or through one or more underwriters, broker-dealers or agents. If the shares of common stock are sold through underwriters or broker-dealers, the selling shareholders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spacing w:after="0" w:line="18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on any national securities exchange or quotation service on which the securities may be listed or quoted at the time of sale;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the over-the-counter market;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through the writing or settlement of options, whether such options are listed on an options exchange or otherwise;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4"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2"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privately negotiated transactions;</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short sales made after the date the Registration Statement is declared effective by the SEC;</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broker-dealers may agree with a selling security holder to sell a specified number of such shares at a stipulated price per share;</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 combination of any such methods of sale; and</w:t>
      </w:r>
    </w:p>
    <w:p>
      <w:pPr>
        <w:spacing w:after="0" w:line="224" w:lineRule="exact"/>
        <w:rPr>
          <w:rFonts w:ascii="Arial" w:cs="Arial" w:eastAsia="Arial" w:hAnsi="Arial"/>
          <w:sz w:val="18"/>
          <w:szCs w:val="18"/>
          <w:b w:val="1"/>
          <w:bCs w:val="1"/>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any other method permitted pursuant to applicable law.</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Selling Stockholder may also sell shares of common stock under Rule 144 promulgated under the Securities Act, if available, rather than under this prospectus. In addition, the Selling Stockholder may transfer the shares of common stock by other means not described in this prospectus. If the Selling Stockholder effects such transactions by selling shares of common stock to or through underwriters, broker-dealers or agents, such underwriters, broker-dealers or agents may receive commissions in the form of discounts, concessions or commissions from the Selling Stockholder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shareholders may enter into hedging transactions with broker-dealers, which may in turn engage in short sales of the shares of common stock in the course of hedging in positions they assume. The Selling Stockholder may also sell shares of common stock short and deliver shares of common stock covered by this prospectus to close out short positions and to return borrowed shares in connection with such short sales. The Selling Stockholder may also loan or pledge shares of common stock to broker-dealers that in turn may sell such shares.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3" w:name="page34"/>
    <w:bookmarkEnd w:id="33"/>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 may pledge or grant a security interest in some or all of the Series A Convertible Notes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Stockholder also may transfer and donate the shares of common stock in other circumstances in which case the transferees, donees, pledgees or other successors in interest will be the selling beneficial owners for purposes of this prospectus.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the extent required by the Securities Act and the rules and regulations thereunder, the Selling Stockholder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shareholders and any discounts, commissions or concessions allowed or re-allowed or paid to broker-dealers.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shares of common stock registered pursuant to the registration statement, of which this prospectus forms a part.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Selling Stockholder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shares of common stock by the selling shareholders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pay all expenses of the registration of the shares of common stock pursuant to the registration rights agreement, estimated to be $55,775 in total, including, without limitation, Securities and Exchange Commission filing fees and expenses of compliance with state securities or “blue sky” laws; provided, however, a selling stockholder will pay all underwriting discounts and selling commissions, if any. We will indemnify the selling shareholders against liabilities, including some liabilities under the Securities Act in accordance with the registration rights agreements or the selling shareholders will be entitled to contribution. We may be indemnified by the selling shareholders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Once sold under the registration statement, of which this prospectus forms a part, the shares of common stock will be freely tradable in the hands of persons other than our affiliates.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shares of common stock offered hereby and certain legal matters in connection with this offering relating to U.S. law will be passed upon for us by Dorsey &amp; Whitney LLP, New York, 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iPower Inc. as of June 30, 2025 and June 30, 2026 incorporated by reference in this prospectus have been audited by HTL International, LLC, independent registered public accounting firm, as set forth in their report thereon, included therein, and are included in reliance upon such report given on the authority of such firm as experts in accounting and auditing.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filed a registration statement on Form S-1 with the SEC under the Securities Act with respect to the securities offered in this prospectus. This prospectus, which is filed as part of a registration statement, does not contain all of the information set forth in the registration statement, some portions of which have been omitted in accordance with the SEC’s rules and regulations. Statements made in this prospectus as to the contents of any contract, agreement or other document referred to or incorporated in this prospectus are not necessarily complete and are qualified in their entirety by reference to each such contract, agreement or other document that is filed as an exhibit to the registration statement. You can read our SEC filings, including the registration statement, over the internet at the SEC’s website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 periodic reports, proxy statements and other information with the SEC in accordance with requirements of the Exchange Act. These periodic reports, proxy statements and other information are available at the SEC’s website address referred to above. In addition, you may request a copy of any of our periodic reports filed with the SEC at no cost, by writing or telephoning us at the following address: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iPower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8798 9th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Rancho Cucamonga, CA 91730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will not, however, send exhibits to those documents, unless the exhibits are specifically incorporated by reference in those documents. We also maintain a website at </w:t>
      </w:r>
      <w:r>
        <w:rPr>
          <w:rFonts w:ascii="Times New Roman" w:cs="Times New Roman" w:eastAsia="Times New Roman" w:hAnsi="Times New Roman"/>
          <w:sz w:val="18"/>
          <w:szCs w:val="18"/>
          <w:i w:val="1"/>
          <w:iCs w:val="1"/>
          <w:color w:val="auto"/>
        </w:rPr>
        <w:t>www.meetipower.com</w:t>
      </w:r>
      <w:r>
        <w:rPr>
          <w:rFonts w:ascii="Times New Roman" w:cs="Times New Roman" w:eastAsia="Times New Roman" w:hAnsi="Times New Roman"/>
          <w:sz w:val="18"/>
          <w:szCs w:val="18"/>
          <w:color w:val="auto"/>
        </w:rPr>
        <w:t>, at which you may access these materials free of charge as soon as reasonably practicable after they are electronically filed with, or furnished to, the SEC.</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However, the information contained in or accessible through our website is not part of this prospectus or the registration statement of which this prospectus forms a part, and investors should not rely on such information in making a decision to purchase our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contained in other documents we file with the SEC, which means that we can disclose important information to you by referring you to those documents. Any statement contained in any document incorporated or deemed to be incorporated by reference herein shall be deemed to be modified or superseded, for purposes of this prospectus, to the extent that a statement contained in or omitted from this prospectus,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 This prospectus incorporates by reference our documents listed below and any future filings we make with the SEC under Sections 13(a), 13(c), 14 or 15(d) of the Exchange Act until all of the securities are sold:</w:t>
      </w:r>
    </w:p>
    <w:p>
      <w:pPr>
        <w:spacing w:after="0" w:line="189"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w:t>
      </w:r>
      <w:hyperlink r:id="rId42">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June 30, 2026, filed with the SEC on October 2, 2026;</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43">
        <w:r>
          <w:rPr>
            <w:rFonts w:ascii="Times New Roman" w:cs="Times New Roman" w:eastAsia="Times New Roman" w:hAnsi="Times New Roman"/>
            <w:sz w:val="18"/>
            <w:szCs w:val="18"/>
            <w:u w:val="single" w:color="auto"/>
            <w:color w:val="0000EE"/>
          </w:rPr>
          <w:t>July 2, 2026</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July 6, 2026</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July 15, 2026</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July 21, 2026</w:t>
        </w:r>
      </w:hyperlink>
      <w:r>
        <w:rPr>
          <w:rFonts w:ascii="Times New Roman" w:cs="Times New Roman" w:eastAsia="Times New Roman" w:hAnsi="Times New Roman"/>
          <w:sz w:val="18"/>
          <w:szCs w:val="18"/>
          <w:color w:val="auto"/>
        </w:rPr>
        <w:t xml:space="preserve">, </w:t>
      </w:r>
      <w:hyperlink r:id="rId47">
        <w:r>
          <w:rPr>
            <w:rFonts w:ascii="Times New Roman" w:cs="Times New Roman" w:eastAsia="Times New Roman" w:hAnsi="Times New Roman"/>
            <w:sz w:val="18"/>
            <w:szCs w:val="18"/>
            <w:u w:val="single" w:color="auto"/>
            <w:color w:val="0000EE"/>
          </w:rPr>
          <w:t>July 23, 2026</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August 5, 2026</w:t>
        </w:r>
      </w:hyperlink>
      <w:r>
        <w:rPr>
          <w:rFonts w:ascii="Times New Roman" w:cs="Times New Roman" w:eastAsia="Times New Roman" w:hAnsi="Times New Roman"/>
          <w:sz w:val="18"/>
          <w:szCs w:val="18"/>
          <w:color w:val="auto"/>
        </w:rPr>
        <w:t xml:space="preserve">, </w:t>
      </w:r>
      <w:hyperlink r:id="rId49">
        <w:r>
          <w:rPr>
            <w:rFonts w:ascii="Times New Roman" w:cs="Times New Roman" w:eastAsia="Times New Roman" w:hAnsi="Times New Roman"/>
            <w:sz w:val="18"/>
            <w:szCs w:val="18"/>
            <w:u w:val="single" w:color="auto"/>
            <w:color w:val="0000EE"/>
          </w:rPr>
          <w:t>September 15,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September 22,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October 15, 2026</w:t>
        </w:r>
      </w:hyperlink>
      <w:r>
        <w:rPr>
          <w:rFonts w:ascii="Times New Roman" w:cs="Times New Roman" w:eastAsia="Times New Roman" w:hAnsi="Times New Roman"/>
          <w:sz w:val="18"/>
          <w:szCs w:val="18"/>
          <w:color w:val="000000"/>
        </w:rPr>
        <w:t>;</w:t>
      </w:r>
    </w:p>
    <w:p>
      <w:pPr>
        <w:spacing w:after="0" w:line="161" w:lineRule="exact"/>
        <w:rPr>
          <w:rFonts w:ascii="Times New Roman" w:cs="Times New Roman" w:eastAsia="Times New Roman" w:hAnsi="Times New Roman"/>
          <w:sz w:val="18"/>
          <w:szCs w:val="18"/>
          <w:color w:val="0000EE"/>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52">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001-40391) filed on May 5, 2021, and any amendments or reports filed for the purposes of updating this description;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76" w:lineRule="exact"/>
        <w:rPr>
          <w:rFonts w:ascii="Times New Roman" w:cs="Times New Roman" w:eastAsia="Times New Roman" w:hAnsi="Times New Roman"/>
          <w:sz w:val="18"/>
          <w:szCs w:val="18"/>
          <w:color w:val="0000EE"/>
        </w:rPr>
      </w:pPr>
    </w:p>
    <w:p>
      <w:pPr>
        <w:spacing w:after="0" w:line="282" w:lineRule="auto"/>
        <w:rPr>
          <w:sz w:val="20"/>
          <w:szCs w:val="20"/>
          <w:color w:val="auto"/>
        </w:rPr>
      </w:pPr>
      <w:r>
        <w:rPr>
          <w:rFonts w:ascii="Times New Roman" w:cs="Times New Roman" w:eastAsia="Times New Roman" w:hAnsi="Times New Roman"/>
          <w:sz w:val="18"/>
          <w:szCs w:val="18"/>
          <w:color w:val="auto"/>
        </w:rPr>
        <w:t>Notwithstanding the foregoing, we are not incorporating any document or portion thereof or information deemed to have been furnished and not filed in accordance with SEC rules including any information furnished under Items 2.02 or 7.01 of any Current Report on Form 8-K.</w:t>
      </w:r>
    </w:p>
    <w:p>
      <w:pPr>
        <w:spacing w:after="0" w:line="162" w:lineRule="exact"/>
        <w:rPr>
          <w:rFonts w:ascii="Times New Roman" w:cs="Times New Roman" w:eastAsia="Times New Roman" w:hAnsi="Times New Roman"/>
          <w:sz w:val="18"/>
          <w:szCs w:val="18"/>
          <w:color w:val="0000EE"/>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You may obtain documents incorporated by reference in this prospectus by requesting them in writing or by telephone at the following address:</w:t>
      </w:r>
    </w:p>
    <w:p>
      <w:pPr>
        <w:spacing w:after="0" w:line="16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iPower Inc.</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8798 9th Street</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Rancho Cucamonga, CA 91730</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Phone: (626) 863-7344</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63" w:lineRule="exact"/>
        <w:rPr>
          <w:rFonts w:ascii="Times New Roman" w:cs="Times New Roman" w:eastAsia="Times New Roman" w:hAnsi="Times New Roman"/>
          <w:sz w:val="18"/>
          <w:szCs w:val="18"/>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iPOWER INC.</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8,089,888 Shares of Common Stock Underlying</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$3,000,000 of Series A Senior Secured Convertible Notes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3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__,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2282825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costs and expenses payable by the Company in connection with this offering. All expenses incurred with respect to the registration of the common stock will be borne by the Company. All amounts are estimates, except the SEC registration fee.</w:t>
      </w:r>
    </w:p>
    <w:p>
      <w:pPr>
        <w:sectPr>
          <w:pgSz w:w="11900" w:h="16838" w:orient="portrait"/>
          <w:cols w:equalWidth="0" w:num="1">
            <w:col w:w="11240"/>
          </w:cols>
          <w:pgMar w:left="320" w:top="792"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154" w:hanging="1154"/>
        <w:spacing w:after="0"/>
        <w:tabs>
          <w:tab w:leader="none" w:pos="11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1,498</w:t>
      </w:r>
    </w:p>
    <w:p>
      <w:pPr>
        <w:spacing w:after="0" w:line="27" w:lineRule="exact"/>
        <w:rPr>
          <w:sz w:val="20"/>
          <w:szCs w:val="20"/>
          <w:color w:val="auto"/>
        </w:rPr>
      </w:pPr>
    </w:p>
    <w:p>
      <w:pPr>
        <w:ind w:left="1154" w:hanging="1154"/>
        <w:spacing w:after="0"/>
        <w:tabs>
          <w:tab w:leader="none" w:pos="11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w:t>
      </w:r>
    </w:p>
    <w:p>
      <w:pPr>
        <w:spacing w:after="0" w:line="9" w:lineRule="exact"/>
        <w:rPr>
          <w:sz w:val="20"/>
          <w:szCs w:val="20"/>
          <w:color w:val="auto"/>
        </w:rPr>
      </w:pPr>
    </w:p>
    <w:p>
      <w:pPr>
        <w:ind w:left="1074" w:hanging="1074"/>
        <w:spacing w:after="0"/>
        <w:tabs>
          <w:tab w:leader="none" w:pos="10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w:t>
      </w:r>
    </w:p>
    <w:p>
      <w:pPr>
        <w:spacing w:after="0" w:line="9" w:lineRule="exact"/>
        <w:rPr>
          <w:rFonts w:ascii="Times New Roman" w:cs="Times New Roman" w:eastAsia="Times New Roman" w:hAnsi="Times New Roman"/>
          <w:sz w:val="18"/>
          <w:szCs w:val="18"/>
          <w:color w:val="auto"/>
        </w:rPr>
      </w:pPr>
    </w:p>
    <w:p>
      <w:pPr>
        <w:ind w:left="1074" w:hanging="1074"/>
        <w:spacing w:after="0"/>
        <w:tabs>
          <w:tab w:leader="none" w:pos="10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35,000</w:t>
      </w:r>
    </w:p>
    <w:p>
      <w:pPr>
        <w:spacing w:after="0" w:line="31" w:lineRule="exact"/>
        <w:rPr>
          <w:rFonts w:ascii="Times New Roman" w:cs="Times New Roman" w:eastAsia="Times New Roman" w:hAnsi="Times New Roman"/>
          <w:sz w:val="18"/>
          <w:szCs w:val="18"/>
          <w:color w:val="auto"/>
        </w:rPr>
      </w:pPr>
    </w:p>
    <w:p>
      <w:pPr>
        <w:ind w:left="1074" w:hanging="1074"/>
        <w:spacing w:after="0"/>
        <w:tabs>
          <w:tab w:leader="none" w:pos="107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52,498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9944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8846" w:space="720"/>
            <w:col w:w="1674"/>
          </w:cols>
          <w:pgMar w:left="320" w:top="792" w:right="339" w:bottom="1440" w:gutter="0" w:footer="0" w:header="0"/>
          <w:type w:val="continuous"/>
        </w:sectPr>
      </w:pPr>
    </w:p>
    <w:p>
      <w:pPr>
        <w:spacing w:after="0" w:line="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a Nevada corporation, and accordingly, we are subject to the corporate laws under the Nevada Revised Statutes. Article 9 of our amended and restated Articles of Incorporation, Article 8 of our Bylaws and the Nevada Revised Business Statutes, contain indemnification provisions.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Articles of Incorporation provides that we will indemnify, in accordance with our Bylaws and to the fullest extent permitted by the Nevada Revised Statutes or any other applicable laws, any person who was or is a party or is threatened to be made a party to any threatened, pending or completed action, suit or proceeding, including an action by or in the right of the corporation, by reason of such person acting as a director or officer of the corporation or any of its subsidiaries against any liability or expense actually and reasonably incurred by such person. We will be required to indemnify an officer or director in connection with an action, suit or proceedings initiated by such person only if (i) such action, suit or proceeding was authorized by the board of directors and (ii) the indemnification does not relate to any liability arising under Section 16(b) of the Exchange Act, as amended, or rules or regulations promulgated thereunder. Such indemnification is not exclusive of any other right to indemnification provided by law or otherwise. Indemnification shall include payment by us of expenses in defending an action or proceeding in advance of final disposition of such action or proceeding upon receipt of an undertaking by the person indemnified to repay such payment if it’s ultimately determined that such person is not entitled to indemnification.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Please read “</w:t>
      </w:r>
      <w:r>
        <w:rPr>
          <w:rFonts w:ascii="Times New Roman" w:cs="Times New Roman" w:eastAsia="Times New Roman" w:hAnsi="Times New Roman"/>
          <w:sz w:val="18"/>
          <w:szCs w:val="18"/>
          <w:u w:val="single" w:color="auto"/>
          <w:color w:val="0000EE"/>
        </w:rPr>
        <w:t>Item 17. Undertakings</w:t>
      </w:r>
      <w:r>
        <w:rPr>
          <w:rFonts w:ascii="Times New Roman" w:cs="Times New Roman" w:eastAsia="Times New Roman" w:hAnsi="Times New Roman"/>
          <w:sz w:val="18"/>
          <w:szCs w:val="18"/>
          <w:color w:val="auto"/>
        </w:rPr>
        <w:t>” for more information on the SEC’s position regarding such indemnification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Set forth below is information regarding all securities issued by us within the past three years. Also included is the consideration received by us for such securities, if any, and information relating to the section of the Securities Act, or rule of the SEC, under which exemption from registration was claimed.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15, 2026, pursuant to the terms of a securities purchase agreement, dated December 22, 2025, between the Company and the institutional investor named therein, the Company issued and sold $3,000,000 in Series A Convertible Notes in reliance upon an exemption from registration afforded by Section 4(a)(2) of the Securities Act, and Rule 506(b) of Regulation D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6, 2026, pursuant to the terms of a securities purchase agreement, dated December 22, 2025, between the Company and the institutional investor named therein, the Company issued and sold $2,000,000 in Series A Convertible Notes in reliance upon an exemption from registration afforded by Section 4(a)(2) of the Securities Act, and Rule 506(b) of Regulation D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19, 2026, pursuant to the terms of a securities purchase agreement, dated December 22, 2025, between the Company and the institutional investor named therein, the Company issued and sold $3,000,000 in Series A Convertible Notes in reliance upon an exemption from registration afforded by Section 4(a)(2) of the Securities Act, and Rule 506(b) of Regulation D under the Securities Act.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10, 2026, pursuant to the terms of a securities purchase agreement, dated December 22, 2025, between the Company and the institutional investor named therein, the Company issued and sold $2,000,000 in Series A Convertible Notes in reliance upon an exemption from registration afforded by Section 4(a)(2) of the Securities Act, and Rule 506(b) of Regulation D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22, 2025, pursuant to the terms of a securities purchase agreement between the Company and the institutional investor named therein, the Company issued and sold $5,185,024 in Series A Convertible Notes in reliance upon an exemption from registration afforded by Section 4(a)(2) of the Securities Act, and Rule 506(b) of Regulation D under the Securities Act.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18, 2024, pursuant to the terms of a securities purchase agreement, dated June 16, 2024, between the Company and Armistice Capital Partners, LLC, we sold warrants (the “Warrants”) to purchase 2,083,334 shares of common stock. The Warrants were sold pursuant to an exemption from registration pursuant Section 4(a)(2) or Regulation D of the Securities Act, in conjunction with a registered direct offering pursuant to which we sold 2,083,334 shares of common stock for aggregate gross proceeds of $5,000,002.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other sales of unregistered securities during the period covered by this registration statement that have not previously been reported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76"/>
        </w:trPr>
        <w:tc>
          <w:tcPr>
            <w:tcW w:w="11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5"/>
                <w:szCs w:val="15"/>
                <w:color w:val="auto"/>
              </w:rPr>
            </w:pPr>
          </w:p>
        </w:tc>
        <w:tc>
          <w:tcPr>
            <w:tcW w:w="9880" w:type="dxa"/>
            <w:vAlign w:val="bottom"/>
            <w:tcBorders>
              <w:top w:val="single" w:sz="8" w:color="auto"/>
            </w:tcBorders>
            <w:gridSpan w:val="16"/>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 xml:space="preserve">Sixth Amended and Restated Articles of Incorporation of iPower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3.3 to Amendment No. 3 to</w:t>
            </w:r>
          </w:p>
        </w:tc>
      </w:tr>
      <w:tr>
        <w:trPr>
          <w:trHeight w:val="218"/>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rPr>
              <w:t>the Registration Statement on Form S-1 filed May 5, 2021).</w:t>
            </w:r>
          </w:p>
        </w:tc>
        <w:tc>
          <w:tcPr>
            <w:tcW w:w="4880" w:type="dxa"/>
            <w:vAlign w:val="bottom"/>
            <w:gridSpan w:val="7"/>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6"/>
                <w:szCs w:val="16"/>
                <w:color w:val="auto"/>
              </w:rPr>
            </w:pPr>
          </w:p>
        </w:tc>
        <w:tc>
          <w:tcPr>
            <w:tcW w:w="9880" w:type="dxa"/>
            <w:vAlign w:val="bottom"/>
            <w:gridSpan w:val="16"/>
          </w:tcPr>
          <w:p>
            <w:pPr>
              <w:spacing w:after="0" w:line="194"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 xml:space="preserve">Amendment to Articles of Incorporation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3.1 to the Current Report on Form 8-K filed October 21,</w:t>
            </w:r>
          </w:p>
        </w:tc>
      </w:tr>
      <w:tr>
        <w:trPr>
          <w:trHeight w:val="218"/>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6"/>
                <w:szCs w:val="16"/>
                <w:color w:val="auto"/>
              </w:rPr>
            </w:pPr>
          </w:p>
        </w:tc>
        <w:tc>
          <w:tcPr>
            <w:tcW w:w="9880" w:type="dxa"/>
            <w:vAlign w:val="bottom"/>
            <w:gridSpan w:val="16"/>
          </w:tcPr>
          <w:p>
            <w:pPr>
              <w:spacing w:after="0" w:line="194"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 xml:space="preserve">Third Amended and Restated Bylaws of iPower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3.1 to the Current Report on Form 8-K filed</w:t>
            </w:r>
          </w:p>
        </w:tc>
      </w:tr>
      <w:tr>
        <w:trPr>
          <w:trHeight w:val="218"/>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on June 11, 2025).</w:t>
            </w:r>
          </w:p>
        </w:tc>
        <w:tc>
          <w:tcPr>
            <w:tcW w:w="6120" w:type="dxa"/>
            <w:vAlign w:val="bottom"/>
            <w:gridSpan w:val="8"/>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6"/>
                <w:szCs w:val="16"/>
                <w:color w:val="auto"/>
              </w:rPr>
            </w:pPr>
          </w:p>
        </w:tc>
        <w:tc>
          <w:tcPr>
            <w:tcW w:w="9880" w:type="dxa"/>
            <w:vAlign w:val="bottom"/>
            <w:gridSpan w:val="16"/>
          </w:tcPr>
          <w:p>
            <w:pPr>
              <w:spacing w:after="0" w:line="194"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 xml:space="preserve">Certificate of Amendment to the Sixth Amended and Restated Articles of Incorporation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3.1 to the</w:t>
            </w:r>
          </w:p>
        </w:tc>
      </w:tr>
      <w:tr>
        <w:trPr>
          <w:trHeight w:val="218"/>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auto"/>
              </w:rPr>
              <w:t>Current Report on Form 8-K filed on May 22, 2026).</w:t>
            </w:r>
          </w:p>
        </w:tc>
        <w:tc>
          <w:tcPr>
            <w:tcW w:w="3480" w:type="dxa"/>
            <w:vAlign w:val="bottom"/>
            <w:gridSpan w:val="4"/>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6"/>
                <w:szCs w:val="16"/>
                <w:color w:val="auto"/>
              </w:rPr>
            </w:pPr>
          </w:p>
        </w:tc>
        <w:tc>
          <w:tcPr>
            <w:tcW w:w="9880" w:type="dxa"/>
            <w:vAlign w:val="bottom"/>
            <w:gridSpan w:val="16"/>
          </w:tcPr>
          <w:p>
            <w:pPr>
              <w:spacing w:after="0" w:line="194"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 xml:space="preserve">Certificate of Amendment to the Sixth Amended and Restated Articles of Incorporation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3.1 to the</w:t>
            </w:r>
          </w:p>
        </w:tc>
      </w:tr>
      <w:tr>
        <w:trPr>
          <w:trHeight w:val="218"/>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8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auto"/>
              </w:rPr>
              <w:t>Current Report on Form 8-K filed on August 5, 2026).</w:t>
            </w:r>
          </w:p>
        </w:tc>
        <w:tc>
          <w:tcPr>
            <w:tcW w:w="3500" w:type="dxa"/>
            <w:vAlign w:val="bottom"/>
            <w:gridSpan w:val="5"/>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6"/>
                <w:szCs w:val="16"/>
                <w:color w:val="auto"/>
              </w:rPr>
            </w:pPr>
          </w:p>
        </w:tc>
        <w:tc>
          <w:tcPr>
            <w:tcW w:w="9880" w:type="dxa"/>
            <w:vAlign w:val="bottom"/>
            <w:gridSpan w:val="16"/>
          </w:tcPr>
          <w:p>
            <w:pPr>
              <w:spacing w:after="0" w:line="194"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 xml:space="preserve">Certificate of Designation of Series A Convertible Preferred Stock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4.1 to the Registration</w:t>
            </w:r>
          </w:p>
        </w:tc>
      </w:tr>
      <w:tr>
        <w:trPr>
          <w:trHeight w:val="218"/>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2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rPr>
              <w:t>Statement on Form S-1 filed February 2, 2021).</w:t>
            </w:r>
          </w:p>
        </w:tc>
        <w:tc>
          <w:tcPr>
            <w:tcW w:w="4760" w:type="dxa"/>
            <w:vAlign w:val="bottom"/>
            <w:gridSpan w:val="6"/>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6"/>
                <w:szCs w:val="16"/>
                <w:color w:val="auto"/>
              </w:rPr>
            </w:pPr>
          </w:p>
        </w:tc>
        <w:tc>
          <w:tcPr>
            <w:tcW w:w="9880" w:type="dxa"/>
            <w:vAlign w:val="bottom"/>
            <w:gridSpan w:val="16"/>
          </w:tcPr>
          <w:p>
            <w:pPr>
              <w:spacing w:after="0" w:line="194"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 xml:space="preserve">Form of Warrant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4.1 to the Current Report on Form 8-K filed June 18, 2024).</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 xml:space="preserve">Form of Series A Senior Secured Convertible Notes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4.1 to the Current Report on Form 8-K/A filed</w:t>
            </w:r>
          </w:p>
        </w:tc>
      </w:tr>
      <w:tr>
        <w:trPr>
          <w:trHeight w:val="218"/>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December 23, 2025).</w:t>
            </w:r>
          </w:p>
        </w:tc>
        <w:tc>
          <w:tcPr>
            <w:tcW w:w="6140" w:type="dxa"/>
            <w:vAlign w:val="bottom"/>
            <w:gridSpan w:val="9"/>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6"/>
                <w:szCs w:val="16"/>
                <w:color w:val="auto"/>
              </w:rPr>
            </w:pPr>
          </w:p>
        </w:tc>
        <w:tc>
          <w:tcPr>
            <w:tcW w:w="9880" w:type="dxa"/>
            <w:vAlign w:val="bottom"/>
            <w:gridSpan w:val="16"/>
          </w:tcPr>
          <w:p>
            <w:pPr>
              <w:spacing w:after="0" w:line="194"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 xml:space="preserve">Form of Series B Senior Secured Convertible Notes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4.2 to the Current Report on Form 8-K/A filed</w:t>
            </w:r>
          </w:p>
        </w:tc>
      </w:tr>
      <w:tr>
        <w:trPr>
          <w:trHeight w:val="218"/>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December 23, 2025).</w:t>
            </w:r>
          </w:p>
        </w:tc>
        <w:tc>
          <w:tcPr>
            <w:tcW w:w="6140" w:type="dxa"/>
            <w:vAlign w:val="bottom"/>
            <w:gridSpan w:val="9"/>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6"/>
                <w:szCs w:val="16"/>
                <w:color w:val="auto"/>
              </w:rPr>
            </w:pPr>
          </w:p>
        </w:tc>
        <w:tc>
          <w:tcPr>
            <w:tcW w:w="988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Opinion of Dorsey &amp; Whitney LLP</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 xml:space="preserve">Form of Purchase Agreement, dated December 22, 2025, between iPower Inc. and the Investor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w:t>
            </w:r>
          </w:p>
        </w:tc>
      </w:tr>
      <w:tr>
        <w:trPr>
          <w:trHeight w:val="218"/>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8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auto"/>
              </w:rPr>
              <w:t>10.1 to the Current Report on Form 8-K/A filed December 23, 2025).</w:t>
            </w:r>
          </w:p>
        </w:tc>
        <w:tc>
          <w:tcPr>
            <w:tcW w:w="2800" w:type="dxa"/>
            <w:vAlign w:val="bottom"/>
            <w:gridSpan w:val="3"/>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6"/>
                <w:szCs w:val="16"/>
                <w:color w:val="auto"/>
              </w:rPr>
            </w:pPr>
          </w:p>
        </w:tc>
        <w:tc>
          <w:tcPr>
            <w:tcW w:w="9880" w:type="dxa"/>
            <w:vAlign w:val="bottom"/>
            <w:gridSpan w:val="16"/>
          </w:tcPr>
          <w:p>
            <w:pPr>
              <w:spacing w:after="0" w:line="194"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 xml:space="preserve">Form of Security and Pledge Agreement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10.2 to the Current Report on Form 8-K/A filed</w:t>
            </w:r>
          </w:p>
        </w:tc>
      </w:tr>
      <w:tr>
        <w:trPr>
          <w:trHeight w:val="218"/>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December 23, 2025).</w:t>
            </w:r>
          </w:p>
        </w:tc>
        <w:tc>
          <w:tcPr>
            <w:tcW w:w="6760" w:type="dxa"/>
            <w:vAlign w:val="bottom"/>
            <w:gridSpan w:val="10"/>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6"/>
                <w:szCs w:val="16"/>
                <w:color w:val="auto"/>
              </w:rPr>
            </w:pPr>
          </w:p>
        </w:tc>
        <w:tc>
          <w:tcPr>
            <w:tcW w:w="9880" w:type="dxa"/>
            <w:vAlign w:val="bottom"/>
            <w:gridSpan w:val="16"/>
          </w:tcPr>
          <w:p>
            <w:pPr>
              <w:spacing w:after="0" w:line="194"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 xml:space="preserve">Form of Guaranty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10.3 to the Current Report on Form 8-K/A filed December 23, 2025).</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840" w:type="dxa"/>
            <w:vAlign w:val="bottom"/>
            <w:gridSpan w:val="1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7"/>
                <w:szCs w:val="17"/>
                <w:color w:val="auto"/>
              </w:rPr>
            </w:pPr>
          </w:p>
        </w:tc>
        <w:tc>
          <w:tcPr>
            <w:tcW w:w="9880" w:type="dxa"/>
            <w:vAlign w:val="bottom"/>
            <w:gridSpan w:val="16"/>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 xml:space="preserve">Form of Registration Rights Agreement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10.4 to the Current Report on Form 8-K/A filed December</w:t>
            </w:r>
          </w:p>
        </w:tc>
      </w:tr>
      <w:tr>
        <w:trPr>
          <w:trHeight w:val="218"/>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23, 2025).</w:t>
            </w:r>
          </w:p>
        </w:tc>
        <w:tc>
          <w:tcPr>
            <w:tcW w:w="100" w:type="dxa"/>
            <w:vAlign w:val="bottom"/>
            <w:tcBorders>
              <w:top w:val="single" w:sz="8" w:color="0000EE"/>
            </w:tcBorders>
          </w:tcPr>
          <w:p>
            <w:pPr>
              <w:spacing w:after="0"/>
              <w:rPr>
                <w:sz w:val="18"/>
                <w:szCs w:val="18"/>
                <w:color w:val="auto"/>
              </w:rPr>
            </w:pPr>
          </w:p>
        </w:tc>
        <w:tc>
          <w:tcPr>
            <w:tcW w:w="1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10.5</w:t>
            </w:r>
          </w:p>
        </w:tc>
        <w:tc>
          <w:tcPr>
            <w:tcW w:w="220" w:type="dxa"/>
            <w:vAlign w:val="bottom"/>
          </w:tcPr>
          <w:p>
            <w:pPr>
              <w:spacing w:after="0"/>
              <w:rPr>
                <w:sz w:val="16"/>
                <w:szCs w:val="16"/>
                <w:color w:val="auto"/>
              </w:rPr>
            </w:pPr>
          </w:p>
        </w:tc>
        <w:tc>
          <w:tcPr>
            <w:tcW w:w="9880" w:type="dxa"/>
            <w:vAlign w:val="bottom"/>
            <w:gridSpan w:val="16"/>
          </w:tcPr>
          <w:p>
            <w:pPr>
              <w:spacing w:after="0" w:line="194"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 xml:space="preserve">Software Asset Transfer Agreement, dated February 1, 2026, between iPower Inc. and Global Product Marketing,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w:t>
            </w:r>
          </w:p>
        </w:tc>
      </w:tr>
      <w:tr>
        <w:trPr>
          <w:trHeight w:val="218"/>
        </w:trPr>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2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auto"/>
              </w:rPr>
              <w:t>reference to Exhibit 10.1 to the Current Report on Form 8-K filed February 2, 2026).</w:t>
            </w:r>
          </w:p>
        </w:tc>
        <w:tc>
          <w:tcPr>
            <w:tcW w:w="1260" w:type="dxa"/>
            <w:vAlign w:val="bottom"/>
          </w:tcPr>
          <w:p>
            <w:pPr>
              <w:spacing w:after="0"/>
              <w:rPr>
                <w:sz w:val="18"/>
                <w:szCs w:val="18"/>
                <w:color w:val="auto"/>
              </w:rPr>
            </w:pPr>
          </w:p>
        </w:tc>
      </w:tr>
      <w:tr>
        <w:trPr>
          <w:trHeight w:val="194"/>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16"/>
                <w:szCs w:val="16"/>
                <w:color w:val="auto"/>
              </w:rPr>
            </w:pPr>
          </w:p>
        </w:tc>
        <w:tc>
          <w:tcPr>
            <w:tcW w:w="9880" w:type="dxa"/>
            <w:vAlign w:val="bottom"/>
            <w:gridSpan w:val="16"/>
          </w:tcPr>
          <w:p>
            <w:pPr>
              <w:spacing w:after="0" w:line="194"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 xml:space="preserve">Stock Purchase Agreement, dated February 1, 2026, between iPower Inc. and ETTS AI Investment, LLC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w:t>
            </w:r>
          </w:p>
        </w:tc>
      </w:tr>
      <w:tr>
        <w:trPr>
          <w:trHeight w:val="237"/>
        </w:trPr>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70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auto"/>
              </w:rPr>
              <w:t>Exhibit 10.2 to the Current Report on Form 8-K filed February 2, 2026).</w:t>
            </w:r>
          </w:p>
        </w:tc>
        <w:tc>
          <w:tcPr>
            <w:tcW w:w="2180" w:type="dxa"/>
            <w:vAlign w:val="bottom"/>
            <w:gridSpan w:val="2"/>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880" w:type="dxa"/>
            <w:vAlign w:val="bottom"/>
            <w:gridSpan w:val="13"/>
          </w:tcPr>
          <w:p>
            <w:pPr>
              <w:spacing w:after="0"/>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 xml:space="preserve">Promissory Note, dated February 1, 2026, between iPower Inc. and ETTS AI Investment LLC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10.3</w:t>
            </w:r>
          </w:p>
        </w:tc>
      </w:tr>
      <w:tr>
        <w:trPr>
          <w:trHeight w:val="218"/>
        </w:trPr>
        <w:tc>
          <w:tcPr>
            <w:tcW w:w="1360" w:type="dxa"/>
            <w:vAlign w:val="bottom"/>
          </w:tcPr>
          <w:p>
            <w:pPr>
              <w:spacing w:after="0"/>
              <w:rPr>
                <w:sz w:val="18"/>
                <w:szCs w:val="18"/>
                <w:color w:val="auto"/>
              </w:rPr>
            </w:pPr>
          </w:p>
        </w:tc>
        <w:tc>
          <w:tcPr>
            <w:tcW w:w="680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rPr>
              <w:t>to the Current Report on Form 8-K filed February 2, 2026).</w:t>
            </w:r>
          </w:p>
        </w:tc>
        <w:tc>
          <w:tcPr>
            <w:tcW w:w="3080" w:type="dxa"/>
            <w:vAlign w:val="bottom"/>
            <w:gridSpan w:val="4"/>
          </w:tcPr>
          <w:p>
            <w:pPr>
              <w:spacing w:after="0"/>
              <w:rPr>
                <w:sz w:val="18"/>
                <w:szCs w:val="18"/>
                <w:color w:val="auto"/>
              </w:rPr>
            </w:pP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10.8</w:t>
            </w:r>
          </w:p>
        </w:tc>
        <w:tc>
          <w:tcPr>
            <w:tcW w:w="9880" w:type="dxa"/>
            <w:vAlign w:val="bottom"/>
            <w:tcBorders>
              <w:bottom w:val="single" w:sz="8" w:color="0000EE"/>
            </w:tcBorders>
            <w:gridSpan w:val="13"/>
          </w:tcPr>
          <w:p>
            <w:pPr>
              <w:spacing w:after="0" w:line="194"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Supply and Distribution Agreement, dated February 1, 2026, between iPower Inc., Global Product Marketing, Inc. and ETTS AI</w:t>
              </w:r>
            </w:hyperlink>
          </w:p>
        </w:tc>
      </w:tr>
      <w:tr>
        <w:trPr>
          <w:trHeight w:val="196"/>
        </w:trPr>
        <w:tc>
          <w:tcPr>
            <w:tcW w:w="1360" w:type="dxa"/>
            <w:vAlign w:val="bottom"/>
          </w:tcPr>
          <w:p>
            <w:pPr>
              <w:spacing w:after="0"/>
              <w:rPr>
                <w:sz w:val="17"/>
                <w:szCs w:val="17"/>
                <w:color w:val="auto"/>
              </w:rPr>
            </w:pPr>
          </w:p>
        </w:tc>
        <w:tc>
          <w:tcPr>
            <w:tcW w:w="9880" w:type="dxa"/>
            <w:vAlign w:val="bottom"/>
            <w:gridSpan w:val="13"/>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 xml:space="preserve">Investment LLC </w:t>
              </w:r>
              <w:r>
                <w:rPr>
                  <w:rFonts w:ascii="Times New Roman" w:cs="Times New Roman" w:eastAsia="Times New Roman" w:hAnsi="Times New Roman"/>
                  <w:sz w:val="18"/>
                  <w:szCs w:val="18"/>
                  <w:color w:val="000000"/>
                </w:rPr>
                <w:t>(incorporated by reference to Exhibit 10.4 to the Current Report on Form 8-K filed February 2, 2026).</w:t>
              </w:r>
            </w:hyperlink>
          </w:p>
        </w:tc>
      </w:tr>
      <w:tr>
        <w:trPr>
          <w:trHeight w:val="20"/>
        </w:trPr>
        <w:tc>
          <w:tcPr>
            <w:tcW w:w="13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9880" w:type="dxa"/>
            <w:vAlign w:val="bottom"/>
            <w:gridSpan w:val="13"/>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 xml:space="preserve">Form of Series A Senior Secured Convertible Note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 to the Current Report on Form 8-K filed</w:t>
            </w:r>
          </w:p>
        </w:tc>
      </w:tr>
      <w:tr>
        <w:trPr>
          <w:trHeight w:val="218"/>
        </w:trPr>
        <w:tc>
          <w:tcPr>
            <w:tcW w:w="1360" w:type="dxa"/>
            <w:vAlign w:val="bottom"/>
          </w:tcPr>
          <w:p>
            <w:pPr>
              <w:spacing w:after="0"/>
              <w:rPr>
                <w:sz w:val="18"/>
                <w:szCs w:val="18"/>
                <w:color w:val="auto"/>
              </w:rPr>
            </w:pPr>
          </w:p>
        </w:tc>
        <w:tc>
          <w:tcPr>
            <w:tcW w:w="37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February 10, 2026).</w:t>
            </w:r>
          </w:p>
        </w:tc>
        <w:tc>
          <w:tcPr>
            <w:tcW w:w="6160" w:type="dxa"/>
            <w:vAlign w:val="bottom"/>
            <w:gridSpan w:val="8"/>
          </w:tcPr>
          <w:p>
            <w:pPr>
              <w:spacing w:after="0"/>
              <w:rPr>
                <w:sz w:val="18"/>
                <w:szCs w:val="18"/>
                <w:color w:val="auto"/>
              </w:rPr>
            </w:pP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10.10</w:t>
            </w:r>
          </w:p>
        </w:tc>
        <w:tc>
          <w:tcPr>
            <w:tcW w:w="9880" w:type="dxa"/>
            <w:vAlign w:val="bottom"/>
            <w:gridSpan w:val="13"/>
          </w:tcPr>
          <w:p>
            <w:pPr>
              <w:spacing w:after="0" w:line="194"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 xml:space="preserve">Addendum to Promissory Note, by and between iPower Inc. and ETTS AI Investment LLC, dated March 26, 2026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w:t>
            </w:r>
          </w:p>
        </w:tc>
      </w:tr>
      <w:tr>
        <w:trPr>
          <w:trHeight w:val="218"/>
        </w:trPr>
        <w:tc>
          <w:tcPr>
            <w:tcW w:w="1360" w:type="dxa"/>
            <w:vAlign w:val="bottom"/>
          </w:tcPr>
          <w:p>
            <w:pPr>
              <w:spacing w:after="0"/>
              <w:rPr>
                <w:sz w:val="18"/>
                <w:szCs w:val="18"/>
                <w:color w:val="auto"/>
              </w:rPr>
            </w:pPr>
          </w:p>
        </w:tc>
        <w:tc>
          <w:tcPr>
            <w:tcW w:w="860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auto"/>
              </w:rPr>
              <w:t>reference to Exhibit 10.1 to the Current Report on Form 8-K filed March 31, 2026).</w:t>
            </w:r>
          </w:p>
        </w:tc>
        <w:tc>
          <w:tcPr>
            <w:tcW w:w="1280" w:type="dxa"/>
            <w:vAlign w:val="bottom"/>
            <w:gridSpan w:val="2"/>
          </w:tcPr>
          <w:p>
            <w:pPr>
              <w:spacing w:after="0"/>
              <w:rPr>
                <w:sz w:val="18"/>
                <w:szCs w:val="18"/>
                <w:color w:val="auto"/>
              </w:rPr>
            </w:pP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10.11</w:t>
            </w:r>
          </w:p>
        </w:tc>
        <w:tc>
          <w:tcPr>
            <w:tcW w:w="9880" w:type="dxa"/>
            <w:vAlign w:val="bottom"/>
            <w:gridSpan w:val="13"/>
          </w:tcPr>
          <w:p>
            <w:pPr>
              <w:spacing w:after="0" w:line="194"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 xml:space="preserve">Sublease Agreement, dated April 2, 2026, between iPower Inc. and Dezheng Logistics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 to</w:t>
            </w:r>
          </w:p>
        </w:tc>
      </w:tr>
      <w:tr>
        <w:trPr>
          <w:trHeight w:val="218"/>
        </w:trPr>
        <w:tc>
          <w:tcPr>
            <w:tcW w:w="1360" w:type="dxa"/>
            <w:vAlign w:val="bottom"/>
          </w:tcPr>
          <w:p>
            <w:pPr>
              <w:spacing w:after="0"/>
              <w:rPr>
                <w:sz w:val="18"/>
                <w:szCs w:val="18"/>
                <w:color w:val="auto"/>
              </w:rPr>
            </w:pPr>
          </w:p>
        </w:tc>
        <w:tc>
          <w:tcPr>
            <w:tcW w:w="65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the Current Report on Form 8-K filed April 17, 2026).</w:t>
            </w:r>
          </w:p>
        </w:tc>
        <w:tc>
          <w:tcPr>
            <w:tcW w:w="3300" w:type="dxa"/>
            <w:vAlign w:val="bottom"/>
            <w:gridSpan w:val="5"/>
          </w:tcPr>
          <w:p>
            <w:pPr>
              <w:spacing w:after="0"/>
              <w:rPr>
                <w:sz w:val="18"/>
                <w:szCs w:val="18"/>
                <w:color w:val="auto"/>
              </w:rPr>
            </w:pP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10.12</w:t>
            </w:r>
          </w:p>
        </w:tc>
        <w:tc>
          <w:tcPr>
            <w:tcW w:w="9880" w:type="dxa"/>
            <w:vAlign w:val="bottom"/>
            <w:gridSpan w:val="13"/>
          </w:tcPr>
          <w:p>
            <w:pPr>
              <w:spacing w:after="0" w:line="194"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 xml:space="preserve">Form of Series A Senior Secured Convertible Note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 to the Current Report on Form 8-K filed</w:t>
            </w:r>
          </w:p>
        </w:tc>
      </w:tr>
      <w:tr>
        <w:trPr>
          <w:trHeight w:val="218"/>
        </w:trPr>
        <w:tc>
          <w:tcPr>
            <w:tcW w:w="1360" w:type="dxa"/>
            <w:vAlign w:val="bottom"/>
          </w:tcPr>
          <w:p>
            <w:pPr>
              <w:spacing w:after="0"/>
              <w:rPr>
                <w:sz w:val="18"/>
                <w:szCs w:val="18"/>
                <w:color w:val="auto"/>
              </w:rPr>
            </w:pPr>
          </w:p>
        </w:tc>
        <w:tc>
          <w:tcPr>
            <w:tcW w:w="37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May 19, 2026).</w:t>
            </w:r>
          </w:p>
        </w:tc>
        <w:tc>
          <w:tcPr>
            <w:tcW w:w="6160" w:type="dxa"/>
            <w:vAlign w:val="bottom"/>
            <w:gridSpan w:val="8"/>
          </w:tcPr>
          <w:p>
            <w:pPr>
              <w:spacing w:after="0"/>
              <w:rPr>
                <w:sz w:val="18"/>
                <w:szCs w:val="18"/>
                <w:color w:val="auto"/>
              </w:rPr>
            </w:pP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10.13</w:t>
            </w:r>
          </w:p>
        </w:tc>
        <w:tc>
          <w:tcPr>
            <w:tcW w:w="9880" w:type="dxa"/>
            <w:vAlign w:val="bottom"/>
            <w:tcBorders>
              <w:bottom w:val="single" w:sz="8" w:color="0000EE"/>
            </w:tcBorders>
            <w:gridSpan w:val="13"/>
          </w:tcPr>
          <w:p>
            <w:pPr>
              <w:spacing w:after="0" w:line="194"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Supplement to Supply and Distribution Agreement, dated June 30, 2026, between iPower Inc., Global Product Marketing, Inc. and ETTS</w:t>
              </w:r>
            </w:hyperlink>
          </w:p>
        </w:tc>
      </w:tr>
      <w:tr>
        <w:trPr>
          <w:trHeight w:val="196"/>
        </w:trPr>
        <w:tc>
          <w:tcPr>
            <w:tcW w:w="1360" w:type="dxa"/>
            <w:vAlign w:val="bottom"/>
          </w:tcPr>
          <w:p>
            <w:pPr>
              <w:spacing w:after="0"/>
              <w:rPr>
                <w:sz w:val="17"/>
                <w:szCs w:val="17"/>
                <w:color w:val="auto"/>
              </w:rPr>
            </w:pPr>
          </w:p>
        </w:tc>
        <w:tc>
          <w:tcPr>
            <w:tcW w:w="9880" w:type="dxa"/>
            <w:vAlign w:val="bottom"/>
            <w:gridSpan w:val="13"/>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 xml:space="preserve">AI Investment LLC </w:t>
              </w:r>
              <w:r>
                <w:rPr>
                  <w:rFonts w:ascii="Times New Roman" w:cs="Times New Roman" w:eastAsia="Times New Roman" w:hAnsi="Times New Roman"/>
                  <w:sz w:val="18"/>
                  <w:szCs w:val="18"/>
                  <w:color w:val="000000"/>
                </w:rPr>
                <w:t>(incorporated by reference to Exhibit 10.1 to the Current Report on Form 8-K filed July 2, 2026).</w:t>
              </w:r>
            </w:hyperlink>
          </w:p>
        </w:tc>
      </w:tr>
      <w:tr>
        <w:trPr>
          <w:trHeight w:val="20"/>
        </w:trPr>
        <w:tc>
          <w:tcPr>
            <w:tcW w:w="13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9880" w:type="dxa"/>
            <w:vAlign w:val="bottom"/>
            <w:gridSpan w:val="13"/>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 xml:space="preserve">Form of Series A Senior Secured Convertible Note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 to the Current Report on Form 8-K filed</w:t>
            </w:r>
          </w:p>
        </w:tc>
      </w:tr>
      <w:tr>
        <w:trPr>
          <w:trHeight w:val="218"/>
        </w:trPr>
        <w:tc>
          <w:tcPr>
            <w:tcW w:w="1360" w:type="dxa"/>
            <w:vAlign w:val="bottom"/>
          </w:tcPr>
          <w:p>
            <w:pPr>
              <w:spacing w:after="0"/>
              <w:rPr>
                <w:sz w:val="18"/>
                <w:szCs w:val="18"/>
                <w:color w:val="auto"/>
              </w:rPr>
            </w:pPr>
          </w:p>
        </w:tc>
        <w:tc>
          <w:tcPr>
            <w:tcW w:w="37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July 6, 2026).</w:t>
            </w:r>
          </w:p>
        </w:tc>
        <w:tc>
          <w:tcPr>
            <w:tcW w:w="6160" w:type="dxa"/>
            <w:vAlign w:val="bottom"/>
            <w:gridSpan w:val="8"/>
          </w:tcPr>
          <w:p>
            <w:pPr>
              <w:spacing w:after="0"/>
              <w:rPr>
                <w:sz w:val="18"/>
                <w:szCs w:val="18"/>
                <w:color w:val="auto"/>
              </w:rPr>
            </w:pP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10.15</w:t>
            </w:r>
          </w:p>
        </w:tc>
        <w:tc>
          <w:tcPr>
            <w:tcW w:w="9880" w:type="dxa"/>
            <w:vAlign w:val="bottom"/>
            <w:gridSpan w:val="13"/>
          </w:tcPr>
          <w:p>
            <w:pPr>
              <w:spacing w:after="0" w:line="194"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Form of Amendment to Securities Purchase Agreement, dated July 6, 2026, between iPower Inc. and the investors named therein</w:t>
              </w:r>
            </w:hyperlink>
          </w:p>
        </w:tc>
      </w:tr>
      <w:tr>
        <w:trPr>
          <w:trHeight w:val="218"/>
        </w:trPr>
        <w:tc>
          <w:tcPr>
            <w:tcW w:w="1360" w:type="dxa"/>
            <w:vAlign w:val="bottom"/>
          </w:tcPr>
          <w:p>
            <w:pPr>
              <w:spacing w:after="0"/>
              <w:rPr>
                <w:sz w:val="18"/>
                <w:szCs w:val="18"/>
                <w:color w:val="auto"/>
              </w:rPr>
            </w:pPr>
          </w:p>
        </w:tc>
        <w:tc>
          <w:tcPr>
            <w:tcW w:w="986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auto"/>
              </w:rPr>
              <w:t>(incorporated by reference to Exhibit 10.2 to the Current Report on Form 8-K filed July 6, 2026).</w:t>
            </w:r>
          </w:p>
        </w:tc>
        <w:tc>
          <w:tcPr>
            <w:tcW w:w="20" w:type="dxa"/>
            <w:vAlign w:val="bottom"/>
          </w:tcPr>
          <w:p>
            <w:pPr>
              <w:spacing w:after="0"/>
              <w:rPr>
                <w:sz w:val="18"/>
                <w:szCs w:val="18"/>
                <w:color w:val="auto"/>
              </w:rPr>
            </w:pP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10.16</w:t>
            </w:r>
          </w:p>
        </w:tc>
        <w:tc>
          <w:tcPr>
            <w:tcW w:w="9880" w:type="dxa"/>
            <w:vAlign w:val="bottom"/>
            <w:gridSpan w:val="13"/>
          </w:tcPr>
          <w:p>
            <w:pPr>
              <w:spacing w:after="0" w:line="194"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 xml:space="preserve">Form of Joinder to Guaranty, dated July 21, 2026, executed by iPower AI LLC in favor of the Collateral Agent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w:t>
            </w:r>
          </w:p>
        </w:tc>
      </w:tr>
      <w:tr>
        <w:trPr>
          <w:trHeight w:val="218"/>
        </w:trPr>
        <w:tc>
          <w:tcPr>
            <w:tcW w:w="1360" w:type="dxa"/>
            <w:vAlign w:val="bottom"/>
          </w:tcPr>
          <w:p>
            <w:pPr>
              <w:spacing w:after="0"/>
              <w:rPr>
                <w:sz w:val="18"/>
                <w:szCs w:val="18"/>
                <w:color w:val="auto"/>
              </w:rPr>
            </w:pPr>
          </w:p>
        </w:tc>
        <w:tc>
          <w:tcPr>
            <w:tcW w:w="85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rPr>
              <w:t>reference to Exhibit 10.1 to the Current Report on Form 8-K filed July 21, 2026).</w:t>
            </w:r>
          </w:p>
        </w:tc>
        <w:tc>
          <w:tcPr>
            <w:tcW w:w="1300" w:type="dxa"/>
            <w:vAlign w:val="bottom"/>
            <w:gridSpan w:val="3"/>
          </w:tcPr>
          <w:p>
            <w:pPr>
              <w:spacing w:after="0"/>
              <w:rPr>
                <w:sz w:val="18"/>
                <w:szCs w:val="18"/>
                <w:color w:val="auto"/>
              </w:rPr>
            </w:pP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10.17</w:t>
            </w:r>
          </w:p>
        </w:tc>
        <w:tc>
          <w:tcPr>
            <w:tcW w:w="9880" w:type="dxa"/>
            <w:vAlign w:val="bottom"/>
            <w:gridSpan w:val="13"/>
          </w:tcPr>
          <w:p>
            <w:pPr>
              <w:spacing w:after="0" w:line="194"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 xml:space="preserve">Form of Series A Senior Secured Convertible Note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10.1 to the Current Report on Form 8-K filed</w:t>
            </w:r>
          </w:p>
        </w:tc>
      </w:tr>
      <w:tr>
        <w:trPr>
          <w:trHeight w:val="218"/>
        </w:trPr>
        <w:tc>
          <w:tcPr>
            <w:tcW w:w="1360" w:type="dxa"/>
            <w:vAlign w:val="bottom"/>
          </w:tcPr>
          <w:p>
            <w:pPr>
              <w:spacing w:after="0"/>
              <w:rPr>
                <w:sz w:val="18"/>
                <w:szCs w:val="18"/>
                <w:color w:val="auto"/>
              </w:rPr>
            </w:pPr>
          </w:p>
        </w:tc>
        <w:tc>
          <w:tcPr>
            <w:tcW w:w="37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September 15, 2026).</w:t>
            </w:r>
          </w:p>
        </w:tc>
        <w:tc>
          <w:tcPr>
            <w:tcW w:w="6160" w:type="dxa"/>
            <w:vAlign w:val="bottom"/>
            <w:gridSpan w:val="8"/>
          </w:tcPr>
          <w:p>
            <w:pPr>
              <w:spacing w:after="0"/>
              <w:rPr>
                <w:sz w:val="18"/>
                <w:szCs w:val="18"/>
                <w:color w:val="auto"/>
              </w:rPr>
            </w:pPr>
          </w:p>
        </w:tc>
      </w:tr>
      <w:tr>
        <w:trPr>
          <w:trHeight w:val="194"/>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21.1</w:t>
            </w:r>
          </w:p>
        </w:tc>
        <w:tc>
          <w:tcPr>
            <w:tcW w:w="9880" w:type="dxa"/>
            <w:vAlign w:val="bottom"/>
            <w:gridSpan w:val="13"/>
          </w:tcPr>
          <w:p>
            <w:pPr>
              <w:spacing w:after="0" w:line="194"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 xml:space="preserve">Subsidiaries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21.1 to the Registration Statement on Form S-1 filed on January 16, 2026)</w:t>
            </w:r>
          </w:p>
        </w:tc>
      </w:tr>
      <w:tr>
        <w:trPr>
          <w:trHeight w:val="20"/>
        </w:trPr>
        <w:tc>
          <w:tcPr>
            <w:tcW w:w="13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900" w:type="dxa"/>
            <w:vAlign w:val="bottom"/>
            <w:gridSpan w:val="6"/>
          </w:tcPr>
          <w:p>
            <w:pPr>
              <w:spacing w:after="0" w:line="20" w:lineRule="exact"/>
              <w:rPr>
                <w:sz w:val="1"/>
                <w:szCs w:val="1"/>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59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Consent of HTL International, LLC, independent registered public accounting firm</w:t>
            </w:r>
          </w:p>
        </w:tc>
        <w:tc>
          <w:tcPr>
            <w:tcW w:w="3900" w:type="dxa"/>
            <w:vAlign w:val="bottom"/>
            <w:gridSpan w:val="6"/>
          </w:tcPr>
          <w:p>
            <w:pPr>
              <w:spacing w:after="0"/>
              <w:rPr>
                <w:sz w:val="17"/>
                <w:szCs w:val="17"/>
                <w:color w:val="auto"/>
              </w:rPr>
            </w:pPr>
          </w:p>
        </w:tc>
      </w:tr>
      <w:tr>
        <w:trPr>
          <w:trHeight w:val="196"/>
        </w:trPr>
        <w:tc>
          <w:tcPr>
            <w:tcW w:w="13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9880" w:type="dxa"/>
            <w:vAlign w:val="bottom"/>
            <w:gridSpan w:val="13"/>
          </w:tcPr>
          <w:p>
            <w:pPr>
              <w:spacing w:after="0" w:line="19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Consent of Dorsey &amp; Whitney LLP (included in </w:t>
            </w:r>
            <w:hyperlink r:id="rId88">
              <w:r>
                <w:rPr>
                  <w:rFonts w:ascii="Times New Roman" w:cs="Times New Roman" w:eastAsia="Times New Roman" w:hAnsi="Times New Roman"/>
                  <w:sz w:val="18"/>
                  <w:szCs w:val="18"/>
                  <w:color w:val="0000EE"/>
                </w:rPr>
                <w:t>Exhibit 5.1</w:t>
              </w:r>
            </w:hyperlink>
            <w:r>
              <w:rPr>
                <w:rFonts w:ascii="Times New Roman" w:cs="Times New Roman" w:eastAsia="Times New Roman" w:hAnsi="Times New Roman"/>
                <w:sz w:val="18"/>
                <w:szCs w:val="18"/>
                <w:color w:val="auto"/>
              </w:rPr>
              <w:t>)</w:t>
            </w:r>
          </w:p>
        </w:tc>
      </w:tr>
      <w:tr>
        <w:trPr>
          <w:trHeight w:val="20"/>
        </w:trPr>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1360" w:hanging="1352"/>
        <w:spacing w:after="0"/>
        <w:tabs>
          <w:tab w:leader="none" w:pos="1360" w:val="left"/>
        </w:tabs>
        <w:numPr>
          <w:ilvl w:val="0"/>
          <w:numId w:val="19"/>
        </w:numPr>
        <w:rPr>
          <w:rFonts w:ascii="Times New Roman" w:cs="Times New Roman" w:eastAsia="Times New Roman" w:hAnsi="Times New Roman"/>
          <w:sz w:val="18"/>
          <w:szCs w:val="18"/>
          <w:u w:val="single" w:color="auto"/>
          <w:color w:val="0000EE"/>
        </w:rPr>
      </w:pPr>
      <w:hyperlink r:id="rId89">
        <w:r>
          <w:rPr>
            <w:rFonts w:ascii="Times New Roman" w:cs="Times New Roman" w:eastAsia="Times New Roman" w:hAnsi="Times New Roman"/>
            <w:sz w:val="18"/>
            <w:szCs w:val="18"/>
            <w:u w:val="single" w:color="auto"/>
            <w:color w:val="0000EE"/>
          </w:rPr>
          <w:t>Filing Fee Table</w:t>
        </w:r>
      </w:hyperlink>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16"/>
        </w:trPr>
        <w:tc>
          <w:tcPr>
            <w:tcW w:w="1020" w:type="dxa"/>
            <w:vAlign w:val="bottom"/>
          </w:tcPr>
          <w:p>
            <w:pPr>
              <w:spacing w:after="0"/>
              <w:rPr>
                <w:sz w:val="18"/>
                <w:szCs w:val="18"/>
                <w:color w:val="auto"/>
              </w:rPr>
            </w:pPr>
          </w:p>
        </w:tc>
        <w:tc>
          <w:tcPr>
            <w:tcW w:w="10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Schema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bl>
    <w:p>
      <w:pPr>
        <w:spacing w:after="0" w:line="198"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1620" w:hanging="640"/>
        <w:spacing w:after="0" w:line="255" w:lineRule="auto"/>
        <w:tabs>
          <w:tab w:leader="none" w:pos="16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Provided, however, that paragraphs (a)(1)(i), (a)(1)(ii) and (a)(1)(iii) above do not apply if the information required to be included in a post-effective amendment by those paragraphs is contained in reports filed with or furnished to the SEC by the registrant pursuant to Section 13 or 15(d) of the Securities Exchange Act of 1934 that are incorporated by reference in the registration statement.</w:t>
      </w:r>
    </w:p>
    <w:p>
      <w:pPr>
        <w:spacing w:after="0" w:line="176" w:lineRule="exact"/>
        <w:rPr>
          <w:sz w:val="20"/>
          <w:szCs w:val="20"/>
          <w:color w:val="auto"/>
        </w:rPr>
      </w:pPr>
    </w:p>
    <w:p>
      <w:pPr>
        <w:jc w:val="both"/>
        <w:ind w:left="9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this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225"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 230.424(b)(3) of this chapter)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1620" w:hanging="640"/>
        <w:spacing w:after="0" w:line="253" w:lineRule="auto"/>
        <w:tabs>
          <w:tab w:leader="none" w:pos="1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jc w:val="both"/>
        <w:ind w:left="648" w:hanging="324"/>
        <w:spacing w:after="0" w:line="258" w:lineRule="auto"/>
        <w:tabs>
          <w:tab w:leader="none" w:pos="64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in the initial distribution of the securities, the undersigned Registrant undertakes that in a primary offering of securities of the undersigned Registrant pursuant to this registration statement, regardless of the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1288" w:right="20" w:hanging="640"/>
        <w:spacing w:after="0" w:line="282" w:lineRule="auto"/>
        <w:tabs>
          <w:tab w:leader="none" w:pos="1288"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61" w:lineRule="exact"/>
        <w:rPr>
          <w:rFonts w:ascii="Times New Roman" w:cs="Times New Roman" w:eastAsia="Times New Roman" w:hAnsi="Times New Roman"/>
          <w:sz w:val="18"/>
          <w:szCs w:val="18"/>
          <w:color w:val="auto"/>
        </w:rPr>
      </w:pPr>
    </w:p>
    <w:p>
      <w:pPr>
        <w:ind w:left="1288" w:hanging="640"/>
        <w:spacing w:after="0" w:line="282" w:lineRule="auto"/>
        <w:tabs>
          <w:tab w:leader="none" w:pos="1288"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1288" w:hanging="640"/>
        <w:spacing w:after="0" w:line="282" w:lineRule="auto"/>
        <w:tabs>
          <w:tab w:leader="none" w:pos="1288"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288" w:hanging="640"/>
        <w:spacing w:after="0"/>
        <w:tabs>
          <w:tab w:leader="none" w:pos="1288"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796"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S-1 to be signed on its behalf by the undersigned, thereunto duly authorized, in the City of Rancho Cucamonga of the State of California, on October 30, 2026.</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iPOWER INC.</w:t>
      </w:r>
    </w:p>
    <w:p>
      <w:pPr>
        <w:spacing w:after="0" w:line="225" w:lineRule="exact"/>
        <w:rPr>
          <w:sz w:val="20"/>
          <w:szCs w:val="20"/>
          <w:color w:val="auto"/>
        </w:rPr>
      </w:pPr>
    </w:p>
    <w:p>
      <w:pPr>
        <w:ind w:left="564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b w:val="1"/>
          <w:bCs w:val="1"/>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19685</wp:posOffset>
            </wp:positionV>
            <wp:extent cx="32746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Chenlong Tan</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Chairman, Chief Executive Officer and President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below by the following persons in the capacities and on October 30,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20"/>
        </w:trPr>
        <w:tc>
          <w:tcPr>
            <w:tcW w:w="1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r>
        <w:trPr>
          <w:trHeight w:val="425"/>
        </w:trPr>
        <w:tc>
          <w:tcPr>
            <w:tcW w:w="1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Chenlong Tan</w:t>
            </w: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 Chairman of the Board of Directors</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2026</w:t>
            </w:r>
          </w:p>
        </w:tc>
      </w:tr>
      <w:tr>
        <w:trPr>
          <w:trHeight w:val="228"/>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Chenlong Tan</w:t>
            </w: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 principal financial officer and principal accounting officer)</w:t>
            </w:r>
          </w:p>
        </w:tc>
        <w:tc>
          <w:tcPr>
            <w:tcW w:w="1680" w:type="dxa"/>
            <w:vAlign w:val="bottom"/>
          </w:tcPr>
          <w:p>
            <w:pPr>
              <w:spacing w:after="0"/>
              <w:rPr>
                <w:sz w:val="19"/>
                <w:szCs w:val="19"/>
                <w:color w:val="auto"/>
              </w:rPr>
            </w:pPr>
          </w:p>
        </w:tc>
      </w:tr>
      <w:tr>
        <w:trPr>
          <w:trHeight w:val="414"/>
        </w:trPr>
        <w:tc>
          <w:tcPr>
            <w:tcW w:w="18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2026</w:t>
            </w:r>
          </w:p>
        </w:tc>
      </w:tr>
      <w:tr>
        <w:trPr>
          <w:trHeight w:val="228"/>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Yi Yang</w:t>
            </w:r>
          </w:p>
        </w:tc>
        <w:tc>
          <w:tcPr>
            <w:tcW w:w="1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18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i w:val="1"/>
                <w:iCs w:val="1"/>
                <w:color w:val="auto"/>
              </w:rPr>
              <w:t>*</w:t>
            </w: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2026</w:t>
            </w:r>
          </w:p>
        </w:tc>
      </w:tr>
      <w:tr>
        <w:trPr>
          <w:trHeight w:val="228"/>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Bennet Tchaikovsky</w:t>
            </w:r>
          </w:p>
        </w:tc>
        <w:tc>
          <w:tcPr>
            <w:tcW w:w="1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18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i w:val="1"/>
                <w:iCs w:val="1"/>
                <w:color w:val="auto"/>
              </w:rPr>
              <w:t>*</w:t>
            </w: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2026</w:t>
            </w:r>
          </w:p>
        </w:tc>
      </w:tr>
      <w:tr>
        <w:trPr>
          <w:trHeight w:val="228"/>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Yue Guo</w:t>
            </w:r>
          </w:p>
        </w:tc>
        <w:tc>
          <w:tcPr>
            <w:tcW w:w="1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18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i w:val="1"/>
                <w:iCs w:val="1"/>
                <w:color w:val="auto"/>
              </w:rPr>
              <w:t>*</w:t>
            </w:r>
          </w:p>
        </w:tc>
        <w:tc>
          <w:tcPr>
            <w:tcW w:w="77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October 30, 2026</w:t>
            </w:r>
          </w:p>
        </w:tc>
      </w:tr>
      <w:tr>
        <w:trPr>
          <w:trHeight w:val="228"/>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Hanxi Li</w:t>
            </w:r>
          </w:p>
        </w:tc>
        <w:tc>
          <w:tcPr>
            <w:tcW w:w="1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39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tab/>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17830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Chenlong Tan</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Attorey-in-fact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628775" cy="3511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6">
                      <a:extLst>
                        <a:ext uri="{28A0092B-C50C-407E-A947-70E740481C1C}"/>
                      </a:extLst>
                    </a:blip>
                    <a:srcRect/>
                    <a:stretch>
                      <a:fillRect/>
                    </a:stretch>
                  </pic:blipFill>
                  <pic:spPr bwMode="auto">
                    <a:xfrm>
                      <a:off x="0" y="0"/>
                      <a:ext cx="1628775"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30,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iPower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8798 9th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Rancho Cucamonga, CA 91730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Registration Statement on Form S-1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acted as counsel to iPower Inc., a Nevada corporation (the “Company”), in connection with a Registration Statement on Form S-1, (the “Registration Statement”), filed by the Company with the Securities and Exchange Commission (the “Commission”) on the date hereof under the Securities Act of 1933, as amended (the “Securities Act”), relating to the offer and sale by the selling stockholder named in the Registration Statement (the “Selling Stockholder”) of up to 8,089,888 shares of common stock of the Company, par value $0.001 per share (the “Shares”), issuable to such Selling Stockholder upon conversion of $3,000,000 aggregate principal of Series A senior secured convertible notes of the Company (the “Senior Secured Convertible Note”), which Senior Secured Convertible Note was issued pursuant to the terms of a Securities Purchase Agreement dated December 22, 2025, as amended on July 7, 2026. The Senior Secured Convertible Note was sold to the Selling Stockholder in a private placement pursuant to an exemption from registration pursuant to Section 4(a)(2) of the Securities Act and Rule 506(b) of Regulation D of the Securities Act.</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examined the Senior Secured Convertible Notes and the Sixth Amended and Restated Articles of Incorporation, as amended, of the Company. We have examined such additional documents and have reviewed such questions of law as we have considered necessary or appropriate for the purposes of our opinions set forth below. In rendering our opinions set forth below,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As to questions of fact material to our opinions, we have relied upon certificates or comparable documents of officers and other representatives of the Company and of public officials.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the foregoing and subject to the limitations, qualifications and assumptions set forth herein, we are of the opinion that the Shares, when issued by the Company upon conversion or otherwise pursuant to the terms and conditions of the Senior Secured Convertible Notes, will be validly issued, fully paid and non-assessable.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opinions expressed above are limited to Chapter 78 of the Nevada Revised Statutes as concerns laws governing corporations and the federal laws of the United States of America. We express no opinion with respect to the laws of any other jurisdiction. The opinions herein are limited to the laws, rules and regulations as in effect on the date hereof.</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our firm under the heading “Legal Matters” in the prospectus constituting part of the Registration Statement. In giving this consent, we do not admit that we are within the category of persons whose consent is required under Section 7 of the Securities Act or the rules and regulations of the Commission thereunder.</w:t>
      </w:r>
    </w:p>
    <w:p>
      <w:pPr>
        <w:spacing w:after="0" w:line="3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Dorsey &amp; Whitney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MJP/ JBE</w:t>
      </w:r>
    </w:p>
    <w:p>
      <w:pPr>
        <w:sectPr>
          <w:pgSz w:w="11900" w:h="16838" w:orient="portrait"/>
          <w:cols w:equalWidth="0" w:num="1">
            <w:col w:w="11240"/>
          </w:cols>
          <w:pgMar w:left="320" w:top="11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Amendment No. 1 of Registration Statement on Form S-1 of iPower Inc. (the “Company”) of our report dated October 2, 2026, relating to our audits of the consolidated financial statements of the Company as of June 30, 2026 and 2025, and the related consolidated statements of operations and comprehensive loss, changes in shareholders’ equity, and cash flows for each of the years in the two-year period ended June 30, 2026, and the related notes, included in the Company’s Annual Report on Form 10-K for the year ended June 30, 2026.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“Experts” in this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HTL International,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2026</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1)"/>
      <w:numFmt w:val="lowerRoman"/>
      <w:start w:val="2"/>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07"/>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1">
    <w:nsid w:val="2D1D5AE9"/>
    <w:multiLevelType w:val="hybridMultilevel"/>
    <w:lvl w:ilvl="0">
      <w:lvlJc w:val="left"/>
      <w:lvlText w:val="(%1)"/>
      <w:numFmt w:val="decimal"/>
      <w:start w:val="2"/>
    </w:lvl>
    <w:lvl w:ilvl="1">
      <w:lvlJc w:val="left"/>
      <w:lvlText w:val="(%2)"/>
      <w:numFmt w:val="lowerRoman"/>
      <w:start w:val="1"/>
    </w:lvl>
  </w:abstractNum>
  <w:abstractNum w:abstractNumId="22">
    <w:nsid w:val="6763845E"/>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23">
    <w:nsid w:val="75A2A8D4"/>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75" Type="http://schemas.openxmlformats.org/officeDocument/2006/relationships/image" Target="media/image42.png"/><Relationship Id="rId90" Type="http://schemas.openxmlformats.org/officeDocument/2006/relationships/image" Target="media/image43.png"/><Relationship Id="rId91" Type="http://schemas.openxmlformats.org/officeDocument/2006/relationships/image" Target="media/image44.png"/><Relationship Id="rId92" Type="http://schemas.openxmlformats.org/officeDocument/2006/relationships/image" Target="media/image45.png"/><Relationship Id="rId93" Type="http://schemas.openxmlformats.org/officeDocument/2006/relationships/image" Target="media/image46.png"/><Relationship Id="rId94" Type="http://schemas.openxmlformats.org/officeDocument/2006/relationships/image" Target="media/image47.png"/><Relationship Id="rId95" Type="http://schemas.openxmlformats.org/officeDocument/2006/relationships/image" Target="media/image48.png"/><Relationship Id="rId96" Type="http://schemas.openxmlformats.org/officeDocument/2006/relationships/image" Target="media/image49.jpeg"/><Relationship Id="rId42" Type="http://schemas.openxmlformats.org/officeDocument/2006/relationships/hyperlink" Target="https://www.sec.gov/Archives/edgar/data/1830072/000168316826007580/ipower_i10k-063026.htm" TargetMode="External"/><Relationship Id="rId43" Type="http://schemas.openxmlformats.org/officeDocument/2006/relationships/hyperlink" Target="https://www.sec.gov/Archives/edgar/data/0001830072/000168316826005251/ipower_8k.htm" TargetMode="External"/><Relationship Id="rId44" Type="http://schemas.openxmlformats.org/officeDocument/2006/relationships/hyperlink" Target="https://www.sec.gov/Archives/edgar/data/0001830072/000168316826005288/ipower_8k.htm" TargetMode="External"/><Relationship Id="rId45" Type="http://schemas.openxmlformats.org/officeDocument/2006/relationships/hyperlink" Target="http://www.sec.gov/Archives/edgar/data/1830072/000168316826005540/ipower_8k.htm" TargetMode="External"/><Relationship Id="rId46" Type="http://schemas.openxmlformats.org/officeDocument/2006/relationships/hyperlink" Target="https://www.sec.gov/Archives/edgar/data/1830072/000168316826005670/ipower_8k.htm" TargetMode="External"/><Relationship Id="rId47" Type="http://schemas.openxmlformats.org/officeDocument/2006/relationships/hyperlink" Target="http://www.sec.gov/Archives/edgar/data/1830072/000168316826005727/ipower_8k.htm" TargetMode="External"/><Relationship Id="rId48" Type="http://schemas.openxmlformats.org/officeDocument/2006/relationships/hyperlink" Target="https://www.sec.gov/Archives/edgar/data/1830072/000168316826005967/ipower_8k.htm" TargetMode="External"/><Relationship Id="rId49" Type="http://schemas.openxmlformats.org/officeDocument/2006/relationships/hyperlink" Target="https://www.sec.gov/Archives/edgar/data/1830072/000168316826007176/ipower_8k.htm" TargetMode="External"/><Relationship Id="rId50" Type="http://schemas.openxmlformats.org/officeDocument/2006/relationships/hyperlink" Target="http://www.sec.gov/Archives/edgar/data/1830072/000168316826007276/ipower_8k.htm" TargetMode="External"/><Relationship Id="rId51" Type="http://schemas.openxmlformats.org/officeDocument/2006/relationships/hyperlink" Target="https://www.sec.gov/Archives/edgar/data/0001830072/000168316826007863/ipower_8k.htm" TargetMode="External"/><Relationship Id="rId52" Type="http://schemas.openxmlformats.org/officeDocument/2006/relationships/hyperlink" Target="http://www.sec.gov/Archives/edgar/data/1830072/000168316821001779/ipower_8a.htm" TargetMode="External"/><Relationship Id="rId60" Type="http://schemas.openxmlformats.org/officeDocument/2006/relationships/hyperlink" Target="https://www.sec.gov/Archives/edgar/data/1830072/000168316821001774/ipower_ex0303.htm" TargetMode="External"/><Relationship Id="rId61" Type="http://schemas.openxmlformats.org/officeDocument/2006/relationships/hyperlink" Target="https://www.sec.gov/Archives/edgar/data/1830072/000168316825007681/ipower_ex0301.htm" TargetMode="External"/><Relationship Id="rId62" Type="http://schemas.openxmlformats.org/officeDocument/2006/relationships/hyperlink" Target="https://www.sec.gov/Archives/edgar/data/1830072/000168316825004403/ipower_ex0301.htm" TargetMode="External"/><Relationship Id="rId63" Type="http://schemas.openxmlformats.org/officeDocument/2006/relationships/hyperlink" Target="http://www.sec.gov/Archives/edgar/data/1830072/000168316826004228/ipower_ex0301.htm" TargetMode="External"/><Relationship Id="rId64" Type="http://schemas.openxmlformats.org/officeDocument/2006/relationships/hyperlink" Target="https://www.sec.gov/Archives/edgar/data/1830072/000168316826005967/ipower_ex0301.htm" TargetMode="External"/><Relationship Id="rId65" Type="http://schemas.openxmlformats.org/officeDocument/2006/relationships/hyperlink" Target="http://www.sec.gov/Archives/edgar/data/1830072/000168316821000335/ipower_ex0401.htm" TargetMode="External"/><Relationship Id="rId66" Type="http://schemas.openxmlformats.org/officeDocument/2006/relationships/hyperlink" Target="https://www.sec.gov/Archives/edgar/data/1830072/000168316824004323/ipower_ex0401.htm" TargetMode="External"/><Relationship Id="rId67" Type="http://schemas.openxmlformats.org/officeDocument/2006/relationships/hyperlink" Target="https://www.sec.gov/Archives/edgar/data/1830072/000168316825009331/ipower_ex0401.htm" TargetMode="External"/><Relationship Id="rId68" Type="http://schemas.openxmlformats.org/officeDocument/2006/relationships/hyperlink" Target="https://www.sec.gov/Archives/edgar/data/1830072/000168316825009331/ipower_ex0402.htm" TargetMode="External"/><Relationship Id="rId69" Type="http://schemas.openxmlformats.org/officeDocument/2006/relationships/hyperlink" Target="https://www.sec.gov/Archives/edgar/data/1830072/000168316825009331/ipower_ex1001.htm" TargetMode="External"/><Relationship Id="rId70" Type="http://schemas.openxmlformats.org/officeDocument/2006/relationships/hyperlink" Target="https://www.sec.gov/Archives/edgar/data/1830072/000168316825009331/ipower_ex1002.htm" TargetMode="External"/><Relationship Id="rId71" Type="http://schemas.openxmlformats.org/officeDocument/2006/relationships/hyperlink" Target="https://www.sec.gov/Archives/edgar/data/1830072/000168316825009331/ipower_ex1003.htm" TargetMode="External"/><Relationship Id="rId72" Type="http://schemas.openxmlformats.org/officeDocument/2006/relationships/hyperlink" Target="https://www.sec.gov/Archives/edgar/data/1830072/000168316825009331/ipower_ex1004.htm" TargetMode="External"/><Relationship Id="rId73" Type="http://schemas.openxmlformats.org/officeDocument/2006/relationships/hyperlink" Target="http://www.sec.gov/Archives/edgar/data/1830072/000168316826000654/ipower_ex1001.htm" TargetMode="External"/><Relationship Id="rId74" Type="http://schemas.openxmlformats.org/officeDocument/2006/relationships/hyperlink" Target="http://www.sec.gov/Archives/edgar/data/1830072/000168316826000654/ipower_ex1002.htm" TargetMode="External"/><Relationship Id="rId76" Type="http://schemas.openxmlformats.org/officeDocument/2006/relationships/hyperlink" Target="http://www.sec.gov/Archives/edgar/data/1830072/000168316826000654/ipower_ex1003.htm" TargetMode="External"/><Relationship Id="rId77" Type="http://schemas.openxmlformats.org/officeDocument/2006/relationships/hyperlink" Target="http://www.sec.gov/Archives/edgar/data/1830072/000168316826000654/ipower_ex1004.htm" TargetMode="External"/><Relationship Id="rId78" Type="http://schemas.openxmlformats.org/officeDocument/2006/relationships/hyperlink" Target="http://www.sec.gov/Archives/edgar/data/1830072/000168316826000884/ipower_ex1001.htm" TargetMode="External"/><Relationship Id="rId79" Type="http://schemas.openxmlformats.org/officeDocument/2006/relationships/hyperlink" Target="http://www.sec.gov/Archives/edgar/data/1830072/000168316826002537/ipower_ex1001.htm" TargetMode="External"/><Relationship Id="rId80" Type="http://schemas.openxmlformats.org/officeDocument/2006/relationships/hyperlink" Target="http://www.sec.gov/Archives/edgar/data/1830072/000168316826003026/ipower_ex1001.htm" TargetMode="External"/><Relationship Id="rId81" Type="http://schemas.openxmlformats.org/officeDocument/2006/relationships/hyperlink" Target="http://www.sec.gov/Archives/edgar/data/1830072/000168316826004092/ipower_ex1001.htm" TargetMode="External"/><Relationship Id="rId82" Type="http://schemas.openxmlformats.org/officeDocument/2006/relationships/hyperlink" Target="http://www.sec.gov/Archives/edgar/data/1830072/000168316826005251/ipower_ex1001.htm" TargetMode="External"/><Relationship Id="rId83" Type="http://schemas.openxmlformats.org/officeDocument/2006/relationships/hyperlink" Target="http://www.sec.gov/Archives/edgar/data/1830072/000168316826005288/ipower_ex1001.htm" TargetMode="External"/><Relationship Id="rId84" Type="http://schemas.openxmlformats.org/officeDocument/2006/relationships/hyperlink" Target="http://www.sec.gov/Archives/edgar/data/1830072/000168316826005288/ipower_ex1002.htm" TargetMode="External"/><Relationship Id="rId85" Type="http://schemas.openxmlformats.org/officeDocument/2006/relationships/hyperlink" Target="https://www.sec.gov/Archives/edgar/data/1830072/000168316826005670/ipower_ex1001.htm" TargetMode="External"/><Relationship Id="rId86" Type="http://schemas.openxmlformats.org/officeDocument/2006/relationships/hyperlink" Target="https://www.sec.gov/Archives/edgar/data/1830072/000168316826007176/ipower_ex1001.htm" TargetMode="External"/><Relationship Id="rId87" Type="http://schemas.openxmlformats.org/officeDocument/2006/relationships/hyperlink" Target="http://www.sec.gov/Archives/edgar/data/1830072/000168316826000372/ipower_ex2101.htm" TargetMode="External"/><Relationship Id="rId88" Type="http://schemas.openxmlformats.org/officeDocument/2006/relationships/hyperlink" Target="https://www.sec.gov/Archives/edgar/data/1830072/000168316826007908/ipower_ex0501.htm" TargetMode="External"/><Relationship Id="rId89" Type="http://schemas.openxmlformats.org/officeDocument/2006/relationships/hyperlink" Target="https://www.sec.gov/ix?doc=/Archives/edgar/data/1830072/000168316826007908/ipower_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2026-10-30T16:09:23Z</dcterms:created>
  <dcterms:modified xsi:type="dcterms:W3CDTF">2026-10-30T16:09:23Z</dcterms:modified>
</cp:coreProperties>
</file>