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ipower_8k.htm"/>
      <w:bookmarkStart w:id="1" w:name="ksipower_8k"/>
      <w:bookmarkEnd w:id="0"/>
      <w:bookmarkEnd w:id="1"/>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1_edei--DocumentType_c20260805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5_edei--DocumentPeriodEndDate_c202"/>
      <w:bookmarkEnd w:id="3"/>
      <w:r>
        <w:rPr>
          <w:rFonts w:ascii="Times New Roman;Times;Serif" w:hAnsi="Times New Roman;Times;Serif"/>
          <w:b w:val="false"/>
          <w:i w:val="false"/>
          <w:caps w:val="false"/>
          <w:smallCaps w:val="false"/>
          <w:sz w:val="20"/>
        </w:rPr>
        <w:t>August 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bookmarkStart w:id="4" w:name="xdx_904_edei--EntityRegistrantName_c2026"/>
      <w:bookmarkEnd w:id="4"/>
      <w:r>
        <w:rPr>
          <w:rFonts w:ascii="Times New Roman;Times;Serif" w:hAnsi="Times New Roman;Times;Serif"/>
          <w:b/>
          <w:i w:val="false"/>
          <w:caps w:val="false"/>
          <w:smallCaps w:val="false"/>
          <w:sz w:val="24"/>
        </w:rPr>
        <w:t>iPower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030" w:type="dxa"/>
        <w:jc w:val="left"/>
        <w:tblInd w:w="0" w:type="dxa"/>
        <w:tblLayout w:type="fixed"/>
        <w:tblCellMar>
          <w:top w:w="0" w:type="dxa"/>
          <w:left w:w="0" w:type="dxa"/>
          <w:bottom w:w="28" w:type="dxa"/>
          <w:right w:w="0" w:type="dxa"/>
        </w:tblCellMar>
      </w:tblPr>
      <w:tblGrid>
        <w:gridCol w:w="2165"/>
        <w:gridCol w:w="60"/>
        <w:gridCol w:w="2210"/>
        <w:gridCol w:w="60"/>
        <w:gridCol w:w="1535"/>
      </w:tblGrid>
      <w:tr>
        <w:trPr/>
        <w:tc>
          <w:tcPr>
            <w:tcW w:w="2165" w:type="dxa"/>
            <w:tcBorders>
              <w:bottom w:val="single" w:sz="8" w:space="0" w:color="000000"/>
            </w:tcBorders>
            <w:vAlign w:val="center"/>
          </w:tcPr>
          <w:p>
            <w:pPr>
              <w:pStyle w:val="TableContents"/>
              <w:bidi w:val="0"/>
              <w:spacing w:before="0" w:after="283"/>
              <w:jc w:val="center"/>
              <w:rPr>
                <w:sz w:val="20"/>
              </w:rPr>
            </w:pPr>
            <w:bookmarkStart w:id="5" w:name="xdx_904_edei--EntityIncorporationStateCo"/>
            <w:bookmarkEnd w:id="5"/>
            <w:r>
              <w:rPr>
                <w:sz w:val="20"/>
              </w:rPr>
              <w:t>Nevada</w:t>
            </w:r>
          </w:p>
        </w:tc>
        <w:tc>
          <w:tcPr>
            <w:tcW w:w="60" w:type="dxa"/>
            <w:tcBorders/>
            <w:tcMar>
              <w:bottom w:w="0" w:type="dxa"/>
            </w:tcMar>
            <w:vAlign w:val="center"/>
          </w:tcPr>
          <w:p>
            <w:pPr>
              <w:pStyle w:val="TableContents"/>
              <w:bidi w:val="0"/>
              <w:spacing w:before="0" w:after="283"/>
              <w:jc w:val="center"/>
              <w:rPr/>
            </w:pPr>
            <w:r>
              <w:rPr/>
              <w:t> </w:t>
            </w:r>
          </w:p>
        </w:tc>
        <w:tc>
          <w:tcPr>
            <w:tcW w:w="2210" w:type="dxa"/>
            <w:tcBorders>
              <w:bottom w:val="single" w:sz="8" w:space="0" w:color="000000"/>
            </w:tcBorders>
            <w:vAlign w:val="center"/>
          </w:tcPr>
          <w:p>
            <w:pPr>
              <w:pStyle w:val="TableContents"/>
              <w:bidi w:val="0"/>
              <w:spacing w:before="0" w:after="283"/>
              <w:jc w:val="center"/>
              <w:rPr>
                <w:sz w:val="20"/>
              </w:rPr>
            </w:pPr>
            <w:bookmarkStart w:id="6" w:name="xdx_906_edei--EntityFileNumber_c20260805"/>
            <w:bookmarkEnd w:id="6"/>
            <w:r>
              <w:rPr>
                <w:sz w:val="20"/>
              </w:rPr>
              <w:t>001-40391</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sz w:val="20"/>
              </w:rPr>
            </w:pPr>
            <w:bookmarkStart w:id="7" w:name="xdx_90F_edei--EntityTaxIdentificationNum"/>
            <w:bookmarkEnd w:id="7"/>
            <w:r>
              <w:rPr>
                <w:sz w:val="20"/>
              </w:rPr>
              <w:t>82-5144171</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5_edei--EntityAddressAddressLine1_"/>
      <w:bookmarkEnd w:id="8"/>
      <w:r>
        <w:rPr>
          <w:rFonts w:ascii="Times New Roman;Times;Serif" w:hAnsi="Times New Roman;Times;Serif"/>
          <w:b w:val="false"/>
          <w:i w:val="false"/>
          <w:caps w:val="false"/>
          <w:smallCaps w:val="false"/>
          <w:sz w:val="20"/>
        </w:rPr>
        <w:t>8798 9th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5_edei--EntityAddressCityOrTown_c2"/>
      <w:bookmarkEnd w:id="9"/>
      <w:r>
        <w:rPr>
          <w:rFonts w:ascii="Times New Roman;Times;Serif" w:hAnsi="Times New Roman;Times;Serif"/>
          <w:b w:val="false"/>
          <w:i w:val="false"/>
          <w:caps w:val="false"/>
          <w:smallCaps w:val="false"/>
          <w:sz w:val="20"/>
        </w:rPr>
        <w:t xml:space="preserve">Rancho Cucamonga, </w:t>
      </w:r>
      <w:bookmarkStart w:id="10" w:name="xdx_909_edei--EntityAddressStateOrProvin"/>
      <w:bookmarkEnd w:id="10"/>
      <w:r>
        <w:rPr>
          <w:rFonts w:ascii="Times New Roman;Times;Serif" w:hAnsi="Times New Roman;Times;Serif"/>
          <w:b w:val="false"/>
          <w:i w:val="false"/>
          <w:caps w:val="false"/>
          <w:smallCaps w:val="false"/>
          <w:sz w:val="20"/>
        </w:rPr>
        <w:t xml:space="preserve">CA </w:t>
      </w:r>
      <w:bookmarkStart w:id="11" w:name="xdx_90F_edei--EntityAddressPostalZipCode"/>
      <w:bookmarkEnd w:id="11"/>
      <w:r>
        <w:rPr>
          <w:rFonts w:ascii="Times New Roman;Times;Serif" w:hAnsi="Times New Roman;Times;Serif"/>
          <w:b w:val="false"/>
          <w:i w:val="false"/>
          <w:caps w:val="false"/>
          <w:smallCaps w:val="false"/>
          <w:sz w:val="20"/>
        </w:rPr>
        <w:t>91730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bookmarkStart w:id="12" w:name="xdx_909_edei--CityAreaCode_c20260805__20"/>
      <w:bookmarkEnd w:id="12"/>
      <w:r>
        <w:rPr>
          <w:rFonts w:ascii="Times New Roman;Times;Serif" w:hAnsi="Times New Roman;Times;Serif"/>
          <w:b w:val="false"/>
          <w:i w:val="false"/>
          <w:caps w:val="false"/>
          <w:smallCaps w:val="false"/>
          <w:sz w:val="20"/>
        </w:rPr>
        <w:t xml:space="preserve">626) </w:t>
      </w:r>
      <w:bookmarkStart w:id="13" w:name="xdx_909_edei--LocalPhoneNumber_c20260805"/>
      <w:bookmarkEnd w:id="13"/>
      <w:r>
        <w:rPr>
          <w:rFonts w:ascii="Times New Roman;Times;Serif" w:hAnsi="Times New Roman;Times;Serif"/>
          <w:b w:val="false"/>
          <w:i w:val="false"/>
          <w:caps w:val="false"/>
          <w:smallCaps w:val="false"/>
          <w:sz w:val="20"/>
        </w:rPr>
        <w:t>863-7344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E_edei--WrittenCommunications_c202"/>
            <w:bookmarkEnd w:id="14"/>
            <w:r>
              <w:rPr/>
              <w:t>☐</w:t>
            </w:r>
          </w:p>
        </w:tc>
        <w:tc>
          <w:tcPr>
            <w:tcW w:w="906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5" w:name="xdx_905_edei--SolicitingMaterial_c202608"/>
            <w:bookmarkEnd w:id="15"/>
            <w:r>
              <w:rPr/>
              <w:t>☐</w:t>
            </w:r>
          </w:p>
        </w:tc>
        <w:tc>
          <w:tcPr>
            <w:tcW w:w="906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6" w:name="xdx_905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both"/>
              <w:rPr/>
            </w:pPr>
            <w:r>
              <w:rPr/>
              <w:t> </w:t>
            </w:r>
          </w:p>
        </w:tc>
      </w:tr>
      <w:tr>
        <w:trPr/>
        <w:tc>
          <w:tcPr>
            <w:tcW w:w="245" w:type="dxa"/>
            <w:tcBorders/>
            <w:vAlign w:val="center"/>
          </w:tcPr>
          <w:p>
            <w:pPr>
              <w:pStyle w:val="TableContents"/>
              <w:bidi w:val="0"/>
              <w:spacing w:before="0" w:after="283"/>
              <w:jc w:val="left"/>
              <w:rPr/>
            </w:pPr>
            <w:bookmarkStart w:id="17" w:name="xdx_903_edei--PreCommencementIssuerTende"/>
            <w:bookmarkEnd w:id="17"/>
            <w:r>
              <w:rPr/>
              <w:t>☐</w:t>
            </w:r>
          </w:p>
        </w:tc>
        <w:tc>
          <w:tcPr>
            <w:tcW w:w="906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7920" w:type="dxa"/>
        <w:jc w:val="left"/>
        <w:tblInd w:w="0" w:type="dxa"/>
        <w:tblLayout w:type="fixed"/>
        <w:tblCellMar>
          <w:top w:w="0" w:type="dxa"/>
          <w:left w:w="0" w:type="dxa"/>
          <w:bottom w:w="28" w:type="dxa"/>
          <w:right w:w="0" w:type="dxa"/>
        </w:tblCellMar>
      </w:tblPr>
      <w:tblGrid>
        <w:gridCol w:w="2675"/>
        <w:gridCol w:w="60"/>
        <w:gridCol w:w="1535"/>
        <w:gridCol w:w="60"/>
        <w:gridCol w:w="3590"/>
      </w:tblGrid>
      <w:tr>
        <w:trPr/>
        <w:tc>
          <w:tcPr>
            <w:tcW w:w="2675" w:type="dxa"/>
            <w:tcBorders>
              <w:bottom w:val="single" w:sz="8" w:space="0" w:color="000000"/>
            </w:tcBorders>
            <w:vAlign w:val="center"/>
          </w:tcPr>
          <w:p>
            <w:pPr>
              <w:pStyle w:val="TableContents"/>
              <w:bidi w:val="0"/>
              <w:spacing w:before="0" w:after="283"/>
              <w:jc w:val="center"/>
              <w:rPr>
                <w:sz w:val="20"/>
              </w:rPr>
            </w:pPr>
            <w:r>
              <w:rPr>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8" w:space="0" w:color="000000"/>
            </w:tcBorders>
            <w:vAlign w:val="center"/>
          </w:tcPr>
          <w:p>
            <w:pPr>
              <w:pStyle w:val="TableContents"/>
              <w:bidi w:val="0"/>
              <w:spacing w:before="0" w:after="283"/>
              <w:jc w:val="center"/>
              <w:rPr>
                <w:sz w:val="20"/>
              </w:rPr>
            </w:pPr>
            <w:r>
              <w:rPr>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590" w:type="dxa"/>
            <w:tcBorders>
              <w:bottom w:val="single" w:sz="8"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2675" w:type="dxa"/>
            <w:tcBorders/>
            <w:tcMar>
              <w:bottom w:w="0" w:type="dxa"/>
            </w:tcMar>
            <w:vAlign w:val="center"/>
          </w:tcPr>
          <w:p>
            <w:pPr>
              <w:pStyle w:val="TableContents"/>
              <w:bidi w:val="0"/>
              <w:spacing w:before="0" w:after="283"/>
              <w:jc w:val="center"/>
              <w:rPr>
                <w:sz w:val="20"/>
              </w:rPr>
            </w:pPr>
            <w:bookmarkStart w:id="18" w:name="xdx_90A_edei--Security12bTitle_c20260805"/>
            <w:bookmarkEnd w:id="18"/>
            <w:r>
              <w:rPr>
                <w:sz w:val="20"/>
              </w:rPr>
              <w:t>Common Stock $0.001 per share</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283"/>
              <w:jc w:val="center"/>
              <w:rPr>
                <w:sz w:val="20"/>
              </w:rPr>
            </w:pPr>
            <w:bookmarkStart w:id="19" w:name="xdx_902_edei--TradingSymbol_c20260805__2"/>
            <w:bookmarkEnd w:id="19"/>
            <w:r>
              <w:rPr>
                <w:sz w:val="20"/>
              </w:rPr>
              <w:t>IPW</w:t>
            </w:r>
          </w:p>
        </w:tc>
        <w:tc>
          <w:tcPr>
            <w:tcW w:w="60" w:type="dxa"/>
            <w:tcBorders/>
            <w:tcMar>
              <w:bottom w:w="0" w:type="dxa"/>
            </w:tcMar>
            <w:vAlign w:val="center"/>
          </w:tcPr>
          <w:p>
            <w:pPr>
              <w:pStyle w:val="TableContents"/>
              <w:bidi w:val="0"/>
              <w:spacing w:before="0" w:after="283"/>
              <w:jc w:val="center"/>
              <w:rPr/>
            </w:pPr>
            <w:r>
              <w:rPr/>
              <w:t> </w:t>
            </w:r>
          </w:p>
        </w:tc>
        <w:tc>
          <w:tcPr>
            <w:tcW w:w="3590" w:type="dxa"/>
            <w:tcBorders/>
            <w:tcMar>
              <w:bottom w:w="0" w:type="dxa"/>
            </w:tcMar>
            <w:vAlign w:val="center"/>
          </w:tcPr>
          <w:p>
            <w:pPr>
              <w:pStyle w:val="TableContents"/>
              <w:bidi w:val="0"/>
              <w:spacing w:before="0" w:after="283"/>
              <w:jc w:val="center"/>
              <w:rPr>
                <w:sz w:val="20"/>
              </w:rPr>
            </w:pPr>
            <w:r>
              <w:rPr>
                <w:sz w:val="20"/>
              </w:rPr>
              <w:t>The</w:t>
            </w:r>
            <w:bookmarkStart w:id="20" w:name="xdx_905_edei--SecurityExchangeName_c2026"/>
            <w:bookmarkEnd w:id="20"/>
            <w:r>
              <w:rPr>
                <w:sz w:val="20"/>
              </w:rPr>
              <w:t xml:space="preserv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E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6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3.03 Material Modification to Rights of Security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Item 3.03 of Form 8-K, the information regarding the Reverse Stock Split (as defined below) contained in Item 5.03 of this Current Report on Form 8-K is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5.03 Amendment to Articles of Incorporation or Bylaws.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On December 21, 2025, the stockholders of iPower Inc. (the “Company”) holding a majority of the voting power of the Company’s common stock approved via written consent the execution of one of more reverse stock splits of the Company’s common stock, par value $0.001 per share (the “Common Stock”) at a ratio of up to one-for-two hundred and fifty (1:250), with the exact ratio and timing to be determined by the Board of Directors of the Company (the “Board”) in its discretion. This approval was reported on a Schedule DEF14C filed with the Securities and Exchange Commission on January 21, 2026, which became effective on February 10, 2026.</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Pursuant to such authority granted by the Company’s stockholders, on July 16, 2026, the Board approved a reverse split of between one-for-two (1:2) and one-for-10 (1:10) (the “Reverse Stock Split”) of the Common Stock, with the final split ratio to be set at the discretion of Company management. Thereafter, Company management determined to set a Reverse Stock Split Ratio of one-for-nine (1:9) and on August 5, 2026, the Company filed a certificate of amendment to amend the Sixth Amended and Restated Articles of Incorporation of the Company (the “Certificate of Amendment”) with </w:t>
      </w:r>
      <w:r>
        <w:rPr>
          <w:rFonts w:ascii="Times New Roman;Times;Serif" w:hAnsi="Times New Roman;Times;Serif"/>
          <w:b w:val="false"/>
          <w:i w:val="false"/>
          <w:caps w:val="false"/>
          <w:smallCaps w:val="false"/>
          <w:sz w:val="20"/>
        </w:rPr>
        <w:t>the Secretary of State of the State of Nevada, with an effective date of August 7, 2026 (the “Effective Date”), to effect a 1:9 Reverse Stock Split. The Reverse Stock Split will become effective at the start of trading on August 7, 2026 (the “Effective Time”).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the Reverse Stock Split becomes effective, every nine (9) shares of the Company’s issued and outstanding Common Stock immediately prior to the Effective Time shall automatically be reclassified into one (1) share of Common Stock, without any change in the par value per share. The Reverse Stock Split reduces the number of shares of Common Stock issuable upon the exercise or vesting of the Company’s outstanding stock options and warrants in proportion to the ratio of the Reverse Stock Split and causes a proportionate increase in the exercise prices of such stock options and warrants. Restricted stock units will be adjusted to reflect the reduced number of underlying shares. The Reverse Stock Split did not change the Company’s total number of authorized shares of Common Stock or preferred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will be issued as a result of the Reverse Stock Split. Fractional shares will be rounded up to the nearest whole number.</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VStock Transfer, LLC is acting as the exchange agent and transfer agent for the reverse stock split. Registered stockholders holding pre-split shares electronically in book-entry form are not required to take any action to receive post-split shares. Stockholders owning shares through a bank, broker, custodian or other nominee will have their positions automatically adjusted to reflect the reverse stock split, subject to such broker’s particular processes.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Commencing on August 7, 2026, trading of the Company’s Common Stock will continue on The Nasdaq Capital Market on a Reverse Stock Split-adjusted basis. The new CUSIP number for the Company’s Common Stock following the Reverse Stock Split is 46265P404.</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Certificate of Amendment does not purport to be complete and is qualified in its entirety by reference to the full text of the Certificate of Amendment, which is filed as Exhibit 3.1 to this report and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7.01 Regulation FD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the Company issued a press release announcing the Reverse Stock Split. A copy of the press release is attached hereto as Exhibit 99.1 and is incorporated herein by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of Form 8-K, the information in this Item 7.01 of this Current Report, including Exhibit 99.1, shall not be deemed “filed” for the purposes of Section 18 of the Securities Exchange Act of 1934, as amended (the “Exchange Act”), or otherwise subject to the liabilities of that section, nor shall it be deemed incorporated by reference in any filing under the Exchange Act or the Securities Act of 1933, as amended, except as shall be expressly set forth by reference in such a filing. Furthermore, the furnishing of information under Item 7.01 of this Current Report is not intended to constitute a determination by the Company that the information contained herein, including the exhibits hereto, is material or that the dissemination of such information is required by Regulation FD.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8185" w:type="dxa"/>
        <w:jc w:val="left"/>
        <w:tblInd w:w="0" w:type="dxa"/>
        <w:tblLayout w:type="fixed"/>
        <w:tblCellMar>
          <w:top w:w="0" w:type="dxa"/>
          <w:left w:w="0" w:type="dxa"/>
          <w:bottom w:w="28" w:type="dxa"/>
          <w:right w:w="0" w:type="dxa"/>
        </w:tblCellMar>
      </w:tblPr>
      <w:tblGrid>
        <w:gridCol w:w="995"/>
        <w:gridCol w:w="60"/>
        <w:gridCol w:w="7130"/>
      </w:tblGrid>
      <w:tr>
        <w:trPr/>
        <w:tc>
          <w:tcPr>
            <w:tcW w:w="995" w:type="dxa"/>
            <w:tcBorders>
              <w:bottom w:val="single" w:sz="8" w:space="0" w:color="000000"/>
            </w:tcBorders>
            <w:vAlign w:val="center"/>
          </w:tcPr>
          <w:p>
            <w:pPr>
              <w:pStyle w:val="TableContents"/>
              <w:bidi w:val="0"/>
              <w:spacing w:before="0" w:after="283"/>
              <w:jc w:val="center"/>
              <w:rPr>
                <w:b/>
                <w:sz w:val="20"/>
              </w:rPr>
            </w:pPr>
            <w:r>
              <w:rPr>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7130" w:type="dxa"/>
            <w:tcBorders>
              <w:bottom w:val="single" w:sz="8" w:space="0" w:color="000000"/>
            </w:tcBorders>
            <w:vAlign w:val="center"/>
          </w:tcPr>
          <w:p>
            <w:pPr>
              <w:pStyle w:val="TableContents"/>
              <w:bidi w:val="0"/>
              <w:spacing w:before="0" w:after="283"/>
              <w:jc w:val="center"/>
              <w:rPr>
                <w:b/>
                <w:sz w:val="20"/>
              </w:rPr>
            </w:pPr>
            <w:r>
              <w:rPr>
                <w:b/>
                <w:sz w:val="20"/>
              </w:rPr>
              <w:t>Description</w:t>
            </w:r>
          </w:p>
        </w:tc>
      </w:tr>
      <w:tr>
        <w:trPr/>
        <w:tc>
          <w:tcPr>
            <w:tcW w:w="995" w:type="dxa"/>
            <w:tcBorders/>
            <w:tcMar>
              <w:bottom w:w="0" w:type="dxa"/>
            </w:tcMar>
            <w:vAlign w:val="center"/>
          </w:tcPr>
          <w:p>
            <w:pPr>
              <w:pStyle w:val="TableContents"/>
              <w:bidi w:val="0"/>
              <w:spacing w:before="0" w:after="283"/>
              <w:jc w:val="center"/>
              <w:rPr>
                <w:sz w:val="20"/>
              </w:rPr>
            </w:pPr>
            <w:r>
              <w:rPr>
                <w:sz w:val="20"/>
              </w:rPr>
              <w:t>3.1</w:t>
            </w:r>
          </w:p>
        </w:tc>
        <w:tc>
          <w:tcPr>
            <w:tcW w:w="60" w:type="dxa"/>
            <w:tcBorders/>
            <w:tcMar>
              <w:bottom w:w="0" w:type="dxa"/>
            </w:tcMar>
            <w:vAlign w:val="center"/>
          </w:tcPr>
          <w:p>
            <w:pPr>
              <w:pStyle w:val="TableContents"/>
              <w:bidi w:val="0"/>
              <w:spacing w:before="0" w:after="283"/>
              <w:jc w:val="left"/>
              <w:rPr/>
            </w:pPr>
            <w:r>
              <w:rPr/>
              <w:t> </w:t>
            </w:r>
          </w:p>
        </w:tc>
        <w:tc>
          <w:tcPr>
            <w:tcW w:w="7130" w:type="dxa"/>
            <w:tcBorders/>
            <w:tcMar>
              <w:bottom w:w="0" w:type="dxa"/>
            </w:tcMar>
            <w:vAlign w:val="center"/>
          </w:tcPr>
          <w:p>
            <w:pPr>
              <w:pStyle w:val="TableContents"/>
              <w:bidi w:val="0"/>
              <w:spacing w:before="0" w:after="283"/>
              <w:jc w:val="both"/>
              <w:rPr/>
            </w:pPr>
            <w:hyperlink w:anchor="ipower_ex0301.htm">
              <w:r>
                <w:rPr>
                  <w:rStyle w:val="InternetLink"/>
                  <w:sz w:val="20"/>
                </w:rPr>
                <w:t>Certificate of Amendment to the Sixth Amended and Restated Articles of Incorporation</w:t>
              </w:r>
            </w:hyperlink>
            <w:r>
              <w:rPr>
                <w:sz w:val="20"/>
              </w:rPr>
              <w:t xml:space="preserve"> </w:t>
            </w:r>
          </w:p>
        </w:tc>
      </w:tr>
      <w:tr>
        <w:trPr/>
        <w:tc>
          <w:tcPr>
            <w:tcW w:w="995" w:type="dxa"/>
            <w:tcBorders/>
            <w:tcMar>
              <w:bottom w:w="0" w:type="dxa"/>
            </w:tcMar>
            <w:vAlign w:val="center"/>
          </w:tcPr>
          <w:p>
            <w:pPr>
              <w:pStyle w:val="TableContents"/>
              <w:bidi w:val="0"/>
              <w:spacing w:before="0" w:after="283"/>
              <w:jc w:val="center"/>
              <w:rPr>
                <w:sz w:val="20"/>
              </w:rPr>
            </w:pPr>
            <w:r>
              <w:rPr>
                <w:sz w:val="20"/>
              </w:rPr>
              <w:t>99.1</w:t>
            </w:r>
          </w:p>
        </w:tc>
        <w:tc>
          <w:tcPr>
            <w:tcW w:w="60" w:type="dxa"/>
            <w:tcBorders/>
            <w:tcMar>
              <w:bottom w:w="0" w:type="dxa"/>
            </w:tcMar>
            <w:vAlign w:val="center"/>
          </w:tcPr>
          <w:p>
            <w:pPr>
              <w:pStyle w:val="TableContents"/>
              <w:bidi w:val="0"/>
              <w:spacing w:before="0" w:after="283"/>
              <w:jc w:val="left"/>
              <w:rPr/>
            </w:pPr>
            <w:r>
              <w:rPr/>
              <w:t> </w:t>
            </w:r>
          </w:p>
        </w:tc>
        <w:tc>
          <w:tcPr>
            <w:tcW w:w="7130" w:type="dxa"/>
            <w:tcBorders/>
            <w:tcMar>
              <w:bottom w:w="0" w:type="dxa"/>
            </w:tcMar>
            <w:vAlign w:val="center"/>
          </w:tcPr>
          <w:p>
            <w:pPr>
              <w:pStyle w:val="TableContents"/>
              <w:bidi w:val="0"/>
              <w:spacing w:before="0" w:after="283"/>
              <w:jc w:val="both"/>
              <w:rPr/>
            </w:pPr>
            <w:hyperlink w:anchor="ipower_ex9901.htm">
              <w:r>
                <w:rPr>
                  <w:rStyle w:val="InternetLink"/>
                  <w:sz w:val="20"/>
                </w:rPr>
                <w:t>Press release of the Company issued on August 5, 2026</w:t>
              </w:r>
            </w:hyperlink>
          </w:p>
        </w:tc>
      </w:tr>
      <w:tr>
        <w:trPr/>
        <w:tc>
          <w:tcPr>
            <w:tcW w:w="995" w:type="dxa"/>
            <w:tcBorders/>
            <w:tcMar>
              <w:bottom w:w="0" w:type="dxa"/>
            </w:tcMar>
            <w:vAlign w:val="center"/>
          </w:tcPr>
          <w:p>
            <w:pPr>
              <w:pStyle w:val="TableContents"/>
              <w:bidi w:val="0"/>
              <w:spacing w:before="0" w:after="283"/>
              <w:jc w:val="center"/>
              <w:rPr>
                <w:sz w:val="20"/>
              </w:rPr>
            </w:pPr>
            <w:r>
              <w:rPr>
                <w:sz w:val="20"/>
              </w:rPr>
              <w:t>104</w:t>
            </w:r>
          </w:p>
        </w:tc>
        <w:tc>
          <w:tcPr>
            <w:tcW w:w="60" w:type="dxa"/>
            <w:tcBorders/>
            <w:tcMar>
              <w:bottom w:w="0" w:type="dxa"/>
            </w:tcMar>
            <w:vAlign w:val="center"/>
          </w:tcPr>
          <w:p>
            <w:pPr>
              <w:pStyle w:val="TableContents"/>
              <w:bidi w:val="0"/>
              <w:spacing w:before="0" w:after="283"/>
              <w:jc w:val="left"/>
              <w:rPr/>
            </w:pPr>
            <w:r>
              <w:rPr/>
              <w:t> </w:t>
            </w:r>
          </w:p>
        </w:tc>
        <w:tc>
          <w:tcPr>
            <w:tcW w:w="7130" w:type="dxa"/>
            <w:tcBorders/>
            <w:tcMar>
              <w:bottom w:w="0" w:type="dxa"/>
            </w:tcMar>
            <w:vAlign w:val="center"/>
          </w:tcPr>
          <w:p>
            <w:pPr>
              <w:pStyle w:val="TableContents"/>
              <w:bidi w:val="0"/>
              <w:spacing w:before="0" w:after="283"/>
              <w:jc w:val="both"/>
              <w:rPr>
                <w:sz w:val="20"/>
              </w:rPr>
            </w:pPr>
            <w:r>
              <w:rPr>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both"/>
        <w:rPr>
          <w:caps w:val="false"/>
          <w:smallCaps w:val="false"/>
        </w:rPr>
      </w:pPr>
      <w:r>
        <w:rPr>
          <w:caps w:val="false"/>
          <w:smallCaps w:val="false"/>
        </w:rPr>
        <w:t> </w:t>
      </w:r>
    </w:p>
    <w:tbl>
      <w:tblPr>
        <w:tblW w:w="4410" w:type="dxa"/>
        <w:jc w:val="left"/>
        <w:tblInd w:w="0" w:type="dxa"/>
        <w:tblLayout w:type="fixed"/>
        <w:tblCellMar>
          <w:top w:w="0" w:type="dxa"/>
          <w:left w:w="0" w:type="dxa"/>
          <w:bottom w:w="0" w:type="dxa"/>
          <w:right w:w="0" w:type="dxa"/>
        </w:tblCellMar>
      </w:tblPr>
      <w:tblGrid>
        <w:gridCol w:w="1865"/>
        <w:gridCol w:w="590"/>
        <w:gridCol w:w="1955"/>
      </w:tblGrid>
      <w:tr>
        <w:trPr/>
        <w:tc>
          <w:tcPr>
            <w:tcW w:w="1865"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sz w:val="20"/>
              </w:rPr>
            </w:pPr>
            <w:r>
              <w:rPr>
                <w:sz w:val="20"/>
              </w:rPr>
              <w:t>IPOWER, INC.</w:t>
            </w:r>
          </w:p>
        </w:tc>
      </w:tr>
      <w:tr>
        <w:trPr/>
        <w:tc>
          <w:tcPr>
            <w:tcW w:w="1865" w:type="dxa"/>
            <w:tcBorders/>
            <w:vAlign w:val="center"/>
          </w:tcPr>
          <w:p>
            <w:pPr>
              <w:pStyle w:val="TableContents"/>
              <w:bidi w:val="0"/>
              <w:spacing w:before="0" w:after="283"/>
              <w:jc w:val="left"/>
              <w:rPr>
                <w:sz w:val="20"/>
              </w:rPr>
            </w:pPr>
            <w:r>
              <w:rPr>
                <w:sz w:val="20"/>
              </w:rPr>
              <w:t>Dated: August 5, 2026</w:t>
            </w:r>
          </w:p>
        </w:tc>
        <w:tc>
          <w:tcPr>
            <w:tcW w:w="59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i/>
                <w:sz w:val="20"/>
              </w:rPr>
            </w:pPr>
            <w:r>
              <w:rPr>
                <w:i/>
                <w:sz w:val="20"/>
              </w:rPr>
              <w:t>/s/ Chenlong Tan</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1955" w:type="dxa"/>
            <w:tcBorders/>
            <w:vAlign w:val="center"/>
          </w:tcPr>
          <w:p>
            <w:pPr>
              <w:pStyle w:val="TableContents"/>
              <w:bidi w:val="0"/>
              <w:spacing w:before="0" w:after="283"/>
              <w:jc w:val="left"/>
              <w:rPr>
                <w:sz w:val="20"/>
              </w:rPr>
            </w:pPr>
            <w:r>
              <w:rPr>
                <w:sz w:val="20"/>
              </w:rPr>
              <w:t>Chenlong Tan</w:t>
            </w:r>
          </w:p>
        </w:tc>
      </w:tr>
      <w:tr>
        <w:trPr/>
        <w:tc>
          <w:tcPr>
            <w:tcW w:w="186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3" w:name="ipower_ex0301.htm"/>
      <w:bookmarkStart w:id="24" w:name="ksipower_ex0301"/>
      <w:bookmarkEnd w:id="23"/>
      <w:bookmarkEnd w:id="24"/>
      <w:r>
        <w:rPr>
          <w:b/>
        </w:rPr>
        <w:t>Exhibit 3.1</w:t>
      </w:r>
      <w:r>
        <w:br w:type="page"/>
      </w:r>
    </w:p>
    <w:p>
      <w:pPr>
        <w:pStyle w:val="TextBody"/>
        <w:bidi w:val="0"/>
        <w:jc w:val="right"/>
        <w:rPr/>
      </w:pPr>
      <w:r>
        <w:rPr/>
        <w:t> </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Certificate of Amendment to Articles of Incorporation</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 Nevada Profit Corporations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NRS 78.385 and 78.390 - After Issuance of Stock)</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Name of corporation: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articles have been amended as follows: (provide article numbers, if available)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first sentence of Article FOURTH (Capital Stock) of the Sixth Amended and Restated Articles of Incorporation is hereby amended by deleting it in its entirety and inserting in lieu thereof the following: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Upon the effectiveness of this Certificate of Amendment (the “Effective Time”), each share of the common stock, issued and outstanding immediately prior to the Effective Time, will be automatically reclassified as and converted into a fraction of a share of common Stock at a ratio of 1-for-9; provided, however, that no fractional shares shall be issued to stockholders as a result of the foregoing reclassification and that in lieu thereof, the Corporation shall, after aggregating all fractions of a share to which a holder would otherwise be entitled, round any resulting fractional shares up to the nearest whole share. Any stock certificate that, immediately prior to the Effective Time, represented shares of common stock will, from and after the Effective Time, automatically and without the necessity of presenting the same for exchange, represent the number of shares of common stock into which shares of common stock have been reclassified and converted, but giving effect to the rounding of fractional shares provided for in the immediately preceding sentence.”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vote by which the stockholders holding shares in the corporation entitling them to exercise a least a majority of the voting power, or such greater proportion of the voting power as may be required in the case of a vote by classes or series, or as may be required by the provisions of the articles of incorporation have voted in favor of the amendment is: Shares representing 81.7% of the outstanding voting power (or 81.7% of the shares voted) were voted in favor of the amendment.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Effective date of filing: August 7, 2026 at 12 a.m. Eastern Time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(must not be later than 90 days after the certificate is filed)</w:t>
      </w:r>
    </w:p>
    <w:p>
      <w:pPr>
        <w:pStyle w:val="TextBody"/>
        <w:shd w:fill="FFFFFF" w:val="clear"/>
        <w:bidi w:val="0"/>
        <w:spacing w:before="0" w:after="0"/>
        <w:ind w:left="0" w:right="0" w:hanging="0"/>
        <w:jc w:val="righ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Signature: (required)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3670" w:type="dxa"/>
        <w:jc w:val="left"/>
        <w:tblInd w:w="0" w:type="dxa"/>
        <w:shd w:fill="FFFFFF" w:val="clear"/>
        <w:tblLayout w:type="fixed"/>
        <w:tblCellMar>
          <w:top w:w="0" w:type="dxa"/>
          <w:left w:w="0" w:type="dxa"/>
          <w:bottom w:w="0" w:type="dxa"/>
          <w:right w:w="0" w:type="dxa"/>
        </w:tblCellMar>
      </w:tblPr>
      <w:tblGrid>
        <w:gridCol w:w="75"/>
        <w:gridCol w:w="320"/>
        <w:gridCol w:w="60"/>
        <w:gridCol w:w="3215"/>
      </w:tblGrid>
      <w:tr>
        <w:trPr/>
        <w:tc>
          <w:tcPr>
            <w:tcW w:w="75" w:type="dxa"/>
            <w:tcBorders/>
            <w:shd w:fill="FFFFFF" w:val="clear"/>
            <w:vAlign w:val="center"/>
          </w:tcPr>
          <w:p>
            <w:pPr>
              <w:pStyle w:val="TableContents"/>
              <w:bidi w:val="0"/>
              <w:spacing w:before="0" w:after="283"/>
              <w:jc w:val="left"/>
              <w:rPr/>
            </w:pPr>
            <w:r>
              <w:rPr/>
              <w:t> </w:t>
            </w:r>
          </w:p>
        </w:tc>
        <w:tc>
          <w:tcPr>
            <w:tcW w:w="3595" w:type="dxa"/>
            <w:gridSpan w:val="3"/>
            <w:tcBorders/>
            <w:shd w:fill="FFFFFF" w:val="clear"/>
            <w:vAlign w:val="center"/>
          </w:tcPr>
          <w:p>
            <w:pPr>
              <w:pStyle w:val="TableContents"/>
              <w:bidi w:val="0"/>
              <w:spacing w:before="0" w:after="283"/>
              <w:jc w:val="left"/>
              <w:rPr>
                <w:sz w:val="20"/>
              </w:rPr>
            </w:pPr>
            <w:r>
              <w:rPr>
                <w:sz w:val="20"/>
              </w:rPr>
              <w:t>iPower, Inc.</w:t>
            </w:r>
          </w:p>
        </w:tc>
      </w:tr>
      <w:tr>
        <w:trPr/>
        <w:tc>
          <w:tcPr>
            <w:tcW w:w="7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5" w:type="dxa"/>
            <w:tcBorders/>
            <w:shd w:fill="FFFFFF" w:val="clear"/>
            <w:vAlign w:val="center"/>
          </w:tcPr>
          <w:p>
            <w:pPr>
              <w:pStyle w:val="TableContents"/>
              <w:bidi w:val="0"/>
              <w:spacing w:before="0" w:after="283"/>
              <w:jc w:val="left"/>
              <w:rPr/>
            </w:pPr>
            <w:r>
              <w:rPr/>
              <w:t> </w:t>
            </w:r>
          </w:p>
        </w:tc>
      </w:tr>
      <w:tr>
        <w:trPr/>
        <w:tc>
          <w:tcPr>
            <w:tcW w:w="7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sz w:val="20"/>
              </w:rPr>
            </w:pPr>
            <w:r>
              <w:rPr>
                <w:sz w:val="20"/>
              </w:rPr>
              <w:t>By:</w:t>
            </w:r>
          </w:p>
        </w:tc>
        <w:tc>
          <w:tcPr>
            <w:tcW w:w="60" w:type="dxa"/>
            <w:tcBorders/>
            <w:shd w:fill="FFFFFF" w:val="clear"/>
            <w:vAlign w:val="center"/>
          </w:tcPr>
          <w:p>
            <w:pPr>
              <w:pStyle w:val="TableContents"/>
              <w:bidi w:val="0"/>
              <w:spacing w:before="0" w:after="283"/>
              <w:jc w:val="left"/>
              <w:rPr/>
            </w:pPr>
            <w:r>
              <w:rPr/>
              <w:t> </w:t>
            </w:r>
          </w:p>
        </w:tc>
        <w:tc>
          <w:tcPr>
            <w:tcW w:w="3215" w:type="dxa"/>
            <w:tcBorders>
              <w:bottom w:val="single" w:sz="8" w:space="0" w:color="000000"/>
            </w:tcBorders>
            <w:shd w:fill="FFFFFF" w:val="clear"/>
            <w:tcMar>
              <w:bottom w:w="28" w:type="dxa"/>
            </w:tcMar>
            <w:vAlign w:val="center"/>
          </w:tcPr>
          <w:p>
            <w:pPr>
              <w:pStyle w:val="TableContents"/>
              <w:bidi w:val="0"/>
              <w:spacing w:before="0" w:after="283"/>
              <w:jc w:val="left"/>
              <w:rPr>
                <w:sz w:val="20"/>
              </w:rPr>
            </w:pPr>
            <w:r>
              <w:rPr>
                <w:sz w:val="20"/>
              </w:rPr>
              <w:t>/s/ Chenlong Tan</w:t>
            </w:r>
          </w:p>
        </w:tc>
      </w:tr>
      <w:tr>
        <w:trPr/>
        <w:tc>
          <w:tcPr>
            <w:tcW w:w="75"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15" w:type="dxa"/>
            <w:tcBorders/>
            <w:shd w:fill="FFFFFF" w:val="clear"/>
            <w:vAlign w:val="center"/>
          </w:tcPr>
          <w:p>
            <w:pPr>
              <w:pStyle w:val="TableContents"/>
              <w:bidi w:val="0"/>
              <w:spacing w:before="0" w:after="283"/>
              <w:jc w:val="left"/>
              <w:rPr>
                <w:sz w:val="20"/>
              </w:rPr>
            </w:pPr>
            <w:r>
              <w:rPr>
                <w:sz w:val="20"/>
              </w:rPr>
              <w:t>Chenlong Tan, 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pPr>
      <w:r>
        <w:rPr/>
        <w:t> </w:t>
      </w:r>
    </w:p>
    <w:p>
      <w:pPr>
        <w:pStyle w:val="TextBody"/>
        <w:bidi w:val="0"/>
        <w:jc w:val="right"/>
        <w:rPr>
          <w:b/>
        </w:rPr>
      </w:pPr>
      <w:bookmarkStart w:id="25" w:name="ipower_ex9901.htm"/>
      <w:bookmarkStart w:id="26" w:name="ksipower_ex9901"/>
      <w:bookmarkEnd w:id="25"/>
      <w:bookmarkEnd w:id="26"/>
      <w:r>
        <w:rPr>
          <w:b/>
        </w:rPr>
        <w:t>Exhibit 99.1</w:t>
      </w:r>
      <w:r>
        <w:br w:type="page"/>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iPower Inc. Announces 1-for-9 Reverse Stock Split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RANCHO CUCAMONGA, Calif., August 5, 2026 — iPower Inc. (Nasdaq: IPW) (“iPower” or the “Company”), a technology- and data-driven supply chain and infrastructure provider for online retailers and brands, today announced that it will effect a 1-for-9 reverse stock split of its issued and outstanding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will become effective at 12:01 a.m. Eastern Time on August 7, 2026, and the Company’s common stock will begin trading on a split-adjusted basis on The Nasdaq Capital Market at the market open on August 7, 2026 under the existing ticker symbol “IPW.”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new CUSIP number for the Company’s common stock following the reverse stock split will be 46265P404.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reverse stock split, every nine (9) shares of the Company’s issued and outstanding common stock will automatically be combined into one (1) issued and outstanding share of common stock. No fractional shares will be issued to stockholders as a result of the foregoing reclassification, with any resulting fractional shares to be rounded up to the nearest whole share. Prior to the reverse stock split, there were a total of 7,029,608 shares outstanding, which will result in approximately 781,068 shares outstanding following the 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is intended to increase the per share trading price of the Company’s common stock to assist the Company in maintaining compliance with the minimum bid price requirement for continued listing on The Nasdaq Capital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was approved by the Company’s board of directors and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VStock Transfer, LLC is acting as the exchange agent and transfer agent for the reverse stock split. Registered stockholders holding pre-split shares electronically in book-entry form are not required to take any action to receive post-split shares. Stockholders owning shares through a bank, broker, custodian or other nominee will have their positions automatically adjusted to reflect the reverse stock split, subject to such broker’s particular processes.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iPower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 (Nasdaq: IPW) is a technology- and data-driven company executing a focused strategy at the intersection of AI infrastructure and real-world commerce. Building on its established e-commerce operations, technology platform and capital markets experience, the Company is expanding into AI infrastructure investments and related financing ecosystems.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targeted investments in digital assets, infrastructure financing protocols and other AI-related opportunities, iPower seeks to participate in the growth of the compute, data center and infrastructure layers that support artificial intelligence. Leveraging its operating experience, ecosystem relationships and capital markets access, iPower is building a scalable business designed to generate durable long-term value for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statements other than statements of historical fact in this press release are forward-looking statements. Such statements involve known and unknown risks and uncertainties and are based on current expectations and projections. Actual results may differ materially from those set forth herein. iPower undertakes no obligation to update forward-looking statements except as required by law. Investors are encouraged to review iPower’s filings with the Securities and Exchange Commission, including its Annual Report on Form 10-K, Quarterly Reports on Form 10-Q, and Current Reports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&amp; Investor 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IPW.IR@meetipower.com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righ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2073</Words>
  <Characters>11214</Characters>
  <CharactersWithSpaces>13331</CharactersWithSpaces>
  <Paragraphs>265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