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u w:val="single" w:color="auto"/>
          <w:color w:val="0000EE"/>
        </w:rPr>
        <w:t>Table of Contents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780" w:right="1920" w:hanging="3448"/>
        <w:spacing w:after="0" w:line="500" w:lineRule="auto"/>
        <w:tabs>
          <w:tab w:leader="none" w:pos="65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160" w:right="1900" w:hanging="2828"/>
        <w:spacing w:after="0" w:line="500" w:lineRule="auto"/>
        <w:tabs>
          <w:tab w:leader="none" w:pos="6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iPower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0"/>
              </w:rPr>
              <w:t>Nevada</w:t>
            </w:r>
          </w:p>
        </w:tc>
        <w:tc>
          <w:tcPr>
            <w:tcW w:w="356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82-5144171</w:t>
            </w:r>
          </w:p>
        </w:tc>
      </w:tr>
      <w:tr>
        <w:trPr>
          <w:trHeight w:val="195"/>
        </w:trPr>
        <w:tc>
          <w:tcPr>
            <w:tcW w:w="5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768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86"/>
              </w:rPr>
              <w:t>8798 9</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Street</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90"/>
              </w:rPr>
              <w:t>Rancho Cucamonga, CA 91730</w:t>
            </w:r>
          </w:p>
        </w:tc>
        <w:tc>
          <w:tcPr>
            <w:tcW w:w="3560" w:type="dxa"/>
            <w:vAlign w:val="bottom"/>
          </w:tcPr>
          <w:p>
            <w:pPr>
              <w:spacing w:after="0"/>
              <w:rPr>
                <w:sz w:val="19"/>
                <w:szCs w:val="19"/>
                <w:color w:val="auto"/>
              </w:rPr>
            </w:pPr>
          </w:p>
        </w:tc>
      </w:tr>
      <w:tr>
        <w:trPr>
          <w:trHeight w:val="230"/>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(Address of principal executive offices) (Zip Code)</w:t>
            </w:r>
          </w:p>
        </w:tc>
        <w:tc>
          <w:tcPr>
            <w:tcW w:w="3560" w:type="dxa"/>
            <w:vAlign w:val="bottom"/>
          </w:tcPr>
          <w:p>
            <w:pPr>
              <w:spacing w:after="0"/>
              <w:rPr>
                <w:sz w:val="20"/>
                <w:szCs w:val="20"/>
                <w:color w:val="auto"/>
              </w:rPr>
            </w:pPr>
          </w:p>
        </w:tc>
      </w:tr>
      <w:tr>
        <w:trPr>
          <w:trHeight w:val="418"/>
        </w:trPr>
        <w:tc>
          <w:tcPr>
            <w:tcW w:w="7680" w:type="dxa"/>
            <w:vAlign w:val="bottom"/>
            <w:gridSpan w:val="3"/>
          </w:tcPr>
          <w:p>
            <w:pPr>
              <w:jc w:val="center"/>
              <w:ind w:left="3470"/>
              <w:spacing w:after="0"/>
              <w:rPr>
                <w:sz w:val="20"/>
                <w:szCs w:val="20"/>
                <w:color w:val="auto"/>
              </w:rPr>
            </w:pPr>
            <w:r>
              <w:rPr>
                <w:rFonts w:ascii="Arial" w:cs="Arial" w:eastAsia="Arial" w:hAnsi="Arial"/>
                <w:sz w:val="18"/>
                <w:szCs w:val="18"/>
                <w:b w:val="1"/>
                <w:bCs w:val="1"/>
                <w:color w:val="auto"/>
                <w:w w:val="90"/>
              </w:rPr>
              <w:t>(626) 863-7344</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5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7"/>
              </w:rPr>
              <w:t>Title of each class</w:t>
            </w:r>
          </w:p>
        </w:tc>
        <w:tc>
          <w:tcPr>
            <w:tcW w:w="29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auto"/>
                <w:w w:val="99"/>
              </w:rPr>
              <w:t>IPW</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580" w:type="dxa"/>
        <w:tblCellMar>
          <w:top w:w="0" w:type="dxa"/>
          <w:left w:w="0" w:type="dxa"/>
          <w:bottom w:w="0" w:type="dxa"/>
          <w:right w:w="0" w:type="dxa"/>
        </w:tblCellMar>
      </w:tblPr>
      <w:tr>
        <w:trPr>
          <w:trHeight w:val="221"/>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ind w:right="2000"/>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on November 14, 2023 was 29,764,374.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60" w:type="dxa"/>
            <w:vAlign w:val="bottom"/>
            <w:gridSpan w:val="11"/>
          </w:tcPr>
          <w:p>
            <w:pPr>
              <w:jc w:val="center"/>
              <w:ind w:right="3940"/>
              <w:spacing w:after="0"/>
              <w:rPr>
                <w:sz w:val="20"/>
                <w:szCs w:val="20"/>
                <w:color w:val="auto"/>
              </w:rPr>
            </w:pPr>
            <w:r>
              <w:rPr>
                <w:rFonts w:ascii="Arial" w:cs="Arial" w:eastAsia="Arial" w:hAnsi="Arial"/>
                <w:sz w:val="18"/>
                <w:szCs w:val="18"/>
                <w:b w:val="1"/>
                <w:bCs w:val="1"/>
                <w:color w:val="auto"/>
                <w:w w:val="92"/>
              </w:rPr>
              <w:t>iPower Inc.</w:t>
            </w:r>
          </w:p>
        </w:tc>
        <w:tc>
          <w:tcPr>
            <w:tcW w:w="112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gridSpan w:val="12"/>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 No.</w:t>
            </w:r>
          </w:p>
        </w:tc>
      </w:tr>
      <w:tr>
        <w:trPr>
          <w:trHeight w:val="38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80" w:type="dxa"/>
            <w:vAlign w:val="bottom"/>
            <w:tcBorders>
              <w:bottom w:val="single" w:sz="8" w:color="0000EE"/>
            </w:tcBorders>
            <w:gridSpan w:val="7"/>
          </w:tcPr>
          <w:p>
            <w:pPr>
              <w:jc w:val="center"/>
              <w:spacing w:after="0"/>
              <w:rPr>
                <w:sz w:val="20"/>
                <w:szCs w:val="20"/>
                <w:color w:val="auto"/>
              </w:rPr>
            </w:pPr>
            <w:r>
              <w:rPr>
                <w:rFonts w:ascii="Arial" w:cs="Arial" w:eastAsia="Arial" w:hAnsi="Arial"/>
                <w:sz w:val="18"/>
                <w:szCs w:val="18"/>
                <w:b w:val="1"/>
                <w:bCs w:val="1"/>
                <w:color w:val="0000EE"/>
                <w:w w:val="94"/>
              </w:rPr>
              <w:t>PART I. Financial Information</w:t>
            </w:r>
          </w:p>
        </w:tc>
        <w:tc>
          <w:tcPr>
            <w:tcW w:w="3460" w:type="dxa"/>
            <w:vAlign w:val="bottom"/>
            <w:gridSpan w:val="6"/>
          </w:tcPr>
          <w:p>
            <w:pPr>
              <w:spacing w:after="0"/>
              <w:rPr>
                <w:sz w:val="24"/>
                <w:szCs w:val="24"/>
                <w:color w:val="auto"/>
              </w:rPr>
            </w:pPr>
          </w:p>
        </w:tc>
        <w:tc>
          <w:tcPr>
            <w:tcW w:w="112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200" w:type="dxa"/>
            <w:vAlign w:val="bottom"/>
            <w:gridSpan w:val="23"/>
          </w:tcPr>
          <w:p>
            <w:pPr>
              <w:spacing w:after="0"/>
              <w:rPr>
                <w:sz w:val="20"/>
                <w:szCs w:val="20"/>
                <w:color w:val="auto"/>
              </w:rPr>
            </w:pPr>
            <w:r>
              <w:rPr>
                <w:rFonts w:ascii="Arial" w:cs="Arial" w:eastAsia="Arial" w:hAnsi="Arial"/>
                <w:sz w:val="18"/>
                <w:szCs w:val="18"/>
                <w:color w:val="0000EE"/>
              </w:rPr>
              <w:t>Unaudited Condensed Consolidated Financial Statements</w:t>
            </w:r>
            <w:r>
              <w:rPr>
                <w:rFonts w:ascii="Arial" w:cs="Arial" w:eastAsia="Arial" w:hAnsi="Arial"/>
                <w:sz w:val="18"/>
                <w:szCs w:val="18"/>
                <w:color w:val="000000"/>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69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8"/>
              </w:rPr>
              <w:t>Unaudited Condensed Consolidated Balance Sheets as of September 30, 2023 and June 30, 2023</w:t>
            </w:r>
          </w:p>
        </w:tc>
        <w:tc>
          <w:tcPr>
            <w:tcW w:w="224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8"/>
                <w:szCs w:val="18"/>
                <w:color w:val="0000EE"/>
                <w:w w:val="91"/>
              </w:rPr>
              <w:t>Unaudited Condensed Consolidated Statements of Operations and Comprehensive Income (Loss) for the three months ended</w:t>
            </w:r>
          </w:p>
        </w:tc>
        <w:tc>
          <w:tcPr>
            <w:tcW w:w="11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98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September 30, 2023 and 2022</w:t>
            </w:r>
          </w:p>
        </w:tc>
        <w:tc>
          <w:tcPr>
            <w:tcW w:w="22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200" w:type="dxa"/>
            <w:vAlign w:val="bottom"/>
            <w:gridSpan w:val="23"/>
          </w:tcPr>
          <w:p>
            <w:pPr>
              <w:spacing w:after="0"/>
              <w:rPr>
                <w:sz w:val="20"/>
                <w:szCs w:val="20"/>
                <w:color w:val="auto"/>
              </w:rPr>
            </w:pPr>
            <w:r>
              <w:rPr>
                <w:rFonts w:ascii="Arial" w:cs="Arial" w:eastAsia="Arial" w:hAnsi="Arial"/>
                <w:sz w:val="18"/>
                <w:szCs w:val="18"/>
                <w:color w:val="0000EE"/>
                <w:w w:val="90"/>
              </w:rPr>
              <w:t>Unaudited Condensed Consolidated Statements of Changes in Stockholders’ Equity for the three months ended September 30,</w:t>
            </w:r>
          </w:p>
        </w:tc>
        <w:tc>
          <w:tcPr>
            <w:tcW w:w="11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08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2023 and 2022</w:t>
            </w: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86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8"/>
              </w:rPr>
              <w:t>Unaudited Condensed Consolidated Statements of Cash Flows for the three months ended September 30, 2023 and 2022</w:t>
            </w:r>
          </w:p>
        </w:tc>
        <w:tc>
          <w:tcPr>
            <w:tcW w:w="52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920" w:type="dxa"/>
            <w:vAlign w:val="bottom"/>
          </w:tcPr>
          <w:p>
            <w:pPr>
              <w:spacing w:after="0"/>
              <w:rPr>
                <w:sz w:val="24"/>
                <w:szCs w:val="24"/>
                <w:color w:val="auto"/>
              </w:rPr>
            </w:pPr>
          </w:p>
        </w:tc>
        <w:tc>
          <w:tcPr>
            <w:tcW w:w="47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442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200" w:type="dxa"/>
            <w:vAlign w:val="bottom"/>
            <w:gridSpan w:val="23"/>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4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276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3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Controls and Procedures</w:t>
            </w:r>
          </w:p>
        </w:tc>
        <w:tc>
          <w:tcPr>
            <w:tcW w:w="486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7"/>
              </w:rPr>
              <w:t>PART II. Other Information</w:t>
            </w:r>
          </w:p>
        </w:tc>
        <w:tc>
          <w:tcPr>
            <w:tcW w:w="3560" w:type="dxa"/>
            <w:vAlign w:val="bottom"/>
            <w:gridSpan w:val="7"/>
          </w:tcPr>
          <w:p>
            <w:pPr>
              <w:spacing w:after="0"/>
              <w:rPr>
                <w:sz w:val="24"/>
                <w:szCs w:val="24"/>
                <w:color w:val="auto"/>
              </w:rPr>
            </w:pPr>
          </w:p>
        </w:tc>
        <w:tc>
          <w:tcPr>
            <w:tcW w:w="112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200" w:type="dxa"/>
            <w:vAlign w:val="bottom"/>
            <w:gridSpan w:val="23"/>
          </w:tcPr>
          <w:p>
            <w:pPr>
              <w:spacing w:after="0"/>
              <w:rPr>
                <w:sz w:val="20"/>
                <w:szCs w:val="20"/>
                <w:color w:val="auto"/>
              </w:rPr>
            </w:pPr>
            <w:r>
              <w:rPr>
                <w:rFonts w:ascii="Arial" w:cs="Arial" w:eastAsia="Arial" w:hAnsi="Arial"/>
                <w:sz w:val="18"/>
                <w:szCs w:val="18"/>
                <w:color w:val="0000EE"/>
              </w:rPr>
              <w:t>Legal Proceedings</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3"/>
          </w:tcPr>
          <w:p>
            <w:pPr>
              <w:spacing w:after="0"/>
              <w:rPr>
                <w:sz w:val="24"/>
                <w:szCs w:val="24"/>
                <w:color w:val="auto"/>
              </w:rPr>
            </w:pPr>
          </w:p>
        </w:tc>
        <w:tc>
          <w:tcPr>
            <w:tcW w:w="7880" w:type="dxa"/>
            <w:vAlign w:val="bottom"/>
            <w:gridSpan w:val="1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200" w:type="dxa"/>
            <w:vAlign w:val="bottom"/>
            <w:gridSpan w:val="23"/>
          </w:tcPr>
          <w:p>
            <w:pPr>
              <w:spacing w:after="0"/>
              <w:rPr>
                <w:sz w:val="20"/>
                <w:szCs w:val="20"/>
                <w:color w:val="auto"/>
              </w:rPr>
            </w:pPr>
            <w:r>
              <w:rPr>
                <w:rFonts w:ascii="Arial" w:cs="Arial" w:eastAsia="Arial" w:hAnsi="Arial"/>
                <w:sz w:val="18"/>
                <w:szCs w:val="18"/>
                <w:color w:val="0000EE"/>
              </w:rPr>
              <w:t>Unregistered Sale of Equity Securities and Use of Proceeds</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1940" w:type="dxa"/>
            <w:vAlign w:val="bottom"/>
            <w:tcBorders>
              <w:top w:val="single" w:sz="8" w:color="0000EE"/>
            </w:tcBorders>
            <w:gridSpan w:val="4"/>
          </w:tcPr>
          <w:p>
            <w:pPr>
              <w:spacing w:after="0"/>
              <w:rPr>
                <w:sz w:val="24"/>
                <w:szCs w:val="24"/>
                <w:color w:val="auto"/>
              </w:rPr>
            </w:pPr>
          </w:p>
        </w:tc>
        <w:tc>
          <w:tcPr>
            <w:tcW w:w="494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200" w:type="dxa"/>
            <w:vAlign w:val="bottom"/>
            <w:gridSpan w:val="23"/>
          </w:tcPr>
          <w:p>
            <w:pPr>
              <w:spacing w:after="0"/>
              <w:rPr>
                <w:sz w:val="20"/>
                <w:szCs w:val="20"/>
                <w:color w:val="auto"/>
              </w:rPr>
            </w:pPr>
            <w:r>
              <w:rPr>
                <w:rFonts w:ascii="Arial" w:cs="Arial" w:eastAsia="Arial" w:hAnsi="Arial"/>
                <w:sz w:val="18"/>
                <w:szCs w:val="18"/>
                <w:color w:val="0000EE"/>
              </w:rPr>
              <w:t>Mine Safety Disclosures</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7440" w:type="dxa"/>
            <w:vAlign w:val="bottom"/>
            <w:gridSpan w:val="1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4"/>
          </w:tcPr>
          <w:p>
            <w:pPr>
              <w:spacing w:after="0"/>
              <w:rPr>
                <w:sz w:val="24"/>
                <w:szCs w:val="24"/>
                <w:color w:val="auto"/>
              </w:rPr>
            </w:pPr>
          </w:p>
        </w:tc>
        <w:tc>
          <w:tcPr>
            <w:tcW w:w="7900" w:type="dxa"/>
            <w:vAlign w:val="bottom"/>
            <w:gridSpan w:val="1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Signatures</w:t>
            </w:r>
          </w:p>
        </w:tc>
        <w:tc>
          <w:tcPr>
            <w:tcW w:w="8440" w:type="dxa"/>
            <w:vAlign w:val="bottom"/>
            <w:gridSpan w:val="2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60"/>
        </w:trPr>
        <w:tc>
          <w:tcPr>
            <w:tcW w:w="9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5"/>
          </w:tcPr>
          <w:p>
            <w:pPr>
              <w:jc w:val="center"/>
              <w:ind w:left="4550"/>
              <w:spacing w:after="0"/>
              <w:rPr>
                <w:sz w:val="20"/>
                <w:szCs w:val="20"/>
                <w:color w:val="auto"/>
              </w:rPr>
            </w:pPr>
            <w:r>
              <w:rPr>
                <w:rFonts w:ascii="Arial" w:cs="Arial" w:eastAsia="Arial" w:hAnsi="Arial"/>
                <w:sz w:val="18"/>
                <w:szCs w:val="18"/>
                <w:color w:val="auto"/>
                <w:w w:val="99"/>
              </w:rPr>
              <w:t>2</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360" w:right="180" w:hanging="179"/>
        <w:spacing w:after="0" w:line="276" w:lineRule="auto"/>
        <w:rPr>
          <w:sz w:val="20"/>
          <w:szCs w:val="20"/>
          <w:color w:val="auto"/>
        </w:rPr>
      </w:pPr>
      <w:r>
        <w:rPr>
          <w:rFonts w:ascii="Arial" w:cs="Arial" w:eastAsia="Arial" w:hAnsi="Arial"/>
          <w:sz w:val="18"/>
          <w:szCs w:val="18"/>
          <w:color w:val="auto"/>
        </w:rPr>
        <w:t>Prepayments and other current assets Total current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 non-current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Non-current prepayments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 joint venture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non-current assets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non-current assets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760"/>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ind w:right="3760"/>
        <w:spacing w:after="0"/>
        <w:rPr>
          <w:sz w:val="20"/>
          <w:szCs w:val="20"/>
          <w:color w:val="auto"/>
        </w:rPr>
      </w:pPr>
      <w:r>
        <w:rPr>
          <w:rFonts w:ascii="Arial" w:cs="Arial" w:eastAsia="Arial" w:hAnsi="Arial"/>
          <w:sz w:val="15"/>
          <w:szCs w:val="15"/>
          <w:color w:val="auto"/>
        </w:rPr>
        <w:t>Unaudited Condensed Consolidated Balance Sheets</w:t>
      </w:r>
    </w:p>
    <w:p>
      <w:pPr>
        <w:spacing w:after="0" w:line="44" w:lineRule="exact"/>
        <w:rPr>
          <w:sz w:val="20"/>
          <w:szCs w:val="20"/>
          <w:color w:val="auto"/>
        </w:rPr>
      </w:pPr>
    </w:p>
    <w:p>
      <w:pPr>
        <w:jc w:val="center"/>
        <w:ind w:right="3760"/>
        <w:spacing w:after="0"/>
        <w:rPr>
          <w:sz w:val="20"/>
          <w:szCs w:val="20"/>
          <w:color w:val="auto"/>
        </w:rPr>
      </w:pPr>
      <w:r>
        <w:rPr>
          <w:rFonts w:ascii="Arial" w:cs="Arial" w:eastAsia="Arial" w:hAnsi="Arial"/>
          <w:sz w:val="18"/>
          <w:szCs w:val="18"/>
          <w:color w:val="auto"/>
        </w:rPr>
        <w:t>As of September 30, 2023 and June 30, 2023</w:t>
      </w:r>
    </w:p>
    <w:p>
      <w:pPr>
        <w:spacing w:after="0" w:line="200" w:lineRule="exact"/>
        <w:rPr>
          <w:sz w:val="20"/>
          <w:szCs w:val="20"/>
          <w:color w:val="auto"/>
        </w:rPr>
      </w:pPr>
    </w:p>
    <w:p>
      <w:pPr>
        <w:spacing w:after="0" w:line="227" w:lineRule="exact"/>
        <w:rPr>
          <w:sz w:val="20"/>
          <w:szCs w:val="20"/>
          <w:color w:val="auto"/>
        </w:rPr>
      </w:pPr>
    </w:p>
    <w:tbl>
      <w:tblPr>
        <w:tblLayout w:type="fixed"/>
        <w:tblInd w:w="380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September 30,</w:t>
            </w:r>
          </w:p>
        </w:tc>
        <w:tc>
          <w:tcPr>
            <w:tcW w:w="32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June 30,</w:t>
            </w:r>
          </w:p>
        </w:tc>
      </w:tr>
      <w:tr>
        <w:trPr>
          <w:trHeight w:val="230"/>
        </w:trPr>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0"/>
                <w:szCs w:val="20"/>
                <w:color w:val="auto"/>
              </w:rPr>
            </w:pPr>
          </w:p>
        </w:tc>
      </w:tr>
      <w:tr>
        <w:trPr>
          <w:trHeight w:val="224"/>
        </w:trPr>
        <w:tc>
          <w:tcPr>
            <w:tcW w:w="200" w:type="dxa"/>
            <w:vAlign w:val="bottom"/>
          </w:tcPr>
          <w:p>
            <w:pPr>
              <w:spacing w:after="0"/>
              <w:rPr>
                <w:sz w:val="19"/>
                <w:szCs w:val="19"/>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19"/>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2,729,161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3,735,642</w:t>
            </w:r>
          </w:p>
        </w:tc>
        <w:tc>
          <w:tcPr>
            <w:tcW w:w="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13,237,282</w:t>
            </w:r>
          </w:p>
        </w:tc>
        <w:tc>
          <w:tcPr>
            <w:tcW w:w="3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14,071,543</w:t>
            </w:r>
          </w:p>
        </w:tc>
      </w:tr>
      <w:tr>
        <w:trPr>
          <w:trHeight w:val="229"/>
        </w:trPr>
        <w:tc>
          <w:tcPr>
            <w:tcW w:w="2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15,056,623</w:t>
            </w:r>
          </w:p>
        </w:tc>
        <w:tc>
          <w:tcPr>
            <w:tcW w:w="3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20,593,889</w:t>
            </w:r>
          </w:p>
        </w:tc>
      </w:tr>
      <w:tr>
        <w:trPr>
          <w:trHeight w:val="230"/>
        </w:trPr>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1,811,499</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2,858,196</w:t>
            </w:r>
          </w:p>
        </w:tc>
        <w:tc>
          <w:tcPr>
            <w:tcW w:w="20" w:type="dxa"/>
            <w:vAlign w:val="bottom"/>
          </w:tcPr>
          <w:p>
            <w:pPr>
              <w:spacing w:after="0"/>
              <w:rPr>
                <w:sz w:val="20"/>
                <w:szCs w:val="20"/>
                <w:color w:val="auto"/>
              </w:rPr>
            </w:pPr>
          </w:p>
        </w:tc>
      </w:tr>
      <w:tr>
        <w:trPr>
          <w:trHeight w:val="210"/>
        </w:trPr>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32,834,565</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41,259,270</w:t>
            </w:r>
          </w:p>
        </w:tc>
        <w:tc>
          <w:tcPr>
            <w:tcW w:w="20" w:type="dxa"/>
            <w:vAlign w:val="bottom"/>
          </w:tcPr>
          <w:p>
            <w:pPr>
              <w:spacing w:after="0"/>
              <w:rPr>
                <w:sz w:val="18"/>
                <w:szCs w:val="18"/>
                <w:color w:val="auto"/>
              </w:rPr>
            </w:pPr>
          </w:p>
        </w:tc>
      </w:tr>
      <w:tr>
        <w:trPr>
          <w:trHeight w:val="627"/>
        </w:trPr>
        <w:tc>
          <w:tcPr>
            <w:tcW w:w="200" w:type="dxa"/>
            <w:vAlign w:val="bottom"/>
          </w:tcPr>
          <w:p>
            <w:pPr>
              <w:spacing w:after="0"/>
              <w:rPr>
                <w:sz w:val="24"/>
                <w:szCs w:val="24"/>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7,763,712</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7,837,345</w:t>
            </w:r>
          </w:p>
        </w:tc>
        <w:tc>
          <w:tcPr>
            <w:tcW w:w="2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496,901</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536,418</w:t>
            </w:r>
          </w:p>
        </w:tc>
        <w:tc>
          <w:tcPr>
            <w:tcW w:w="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2,432,439</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2,155,250</w:t>
            </w:r>
          </w:p>
        </w:tc>
        <w:tc>
          <w:tcPr>
            <w:tcW w:w="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461,034</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531,456</w:t>
            </w:r>
          </w:p>
        </w:tc>
        <w:tc>
          <w:tcPr>
            <w:tcW w:w="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3,034,110</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3,034,110</w:t>
            </w:r>
          </w:p>
        </w:tc>
        <w:tc>
          <w:tcPr>
            <w:tcW w:w="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32,088</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33,113</w:t>
            </w:r>
          </w:p>
        </w:tc>
        <w:tc>
          <w:tcPr>
            <w:tcW w:w="2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4,117,728</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4,280,071</w:t>
            </w:r>
          </w:p>
        </w:tc>
        <w:tc>
          <w:tcPr>
            <w:tcW w:w="20" w:type="dxa"/>
            <w:vAlign w:val="bottom"/>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417,639</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427,254</w:t>
            </w:r>
          </w:p>
        </w:tc>
        <w:tc>
          <w:tcPr>
            <w:tcW w:w="20" w:type="dxa"/>
            <w:vAlign w:val="bottom"/>
          </w:tcPr>
          <w:p>
            <w:pPr>
              <w:spacing w:after="0"/>
              <w:rPr>
                <w:sz w:val="20"/>
                <w:szCs w:val="20"/>
                <w:color w:val="auto"/>
              </w:rPr>
            </w:pPr>
          </w:p>
        </w:tc>
      </w:tr>
      <w:tr>
        <w:trPr>
          <w:trHeight w:val="209"/>
        </w:trPr>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18,755,651</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18,835,017</w:t>
            </w:r>
          </w:p>
        </w:tc>
        <w:tc>
          <w:tcPr>
            <w:tcW w:w="20" w:type="dxa"/>
            <w:vAlign w:val="bottom"/>
            <w:tcBorders>
              <w:bottom w:val="single" w:sz="8" w:color="auto"/>
            </w:tcBorders>
          </w:tcPr>
          <w:p>
            <w:pPr>
              <w:spacing w:after="0"/>
              <w:rPr>
                <w:sz w:val="18"/>
                <w:szCs w:val="18"/>
                <w:color w:val="auto"/>
              </w:rPr>
            </w:pPr>
          </w:p>
        </w:tc>
      </w:tr>
      <w:tr>
        <w:trPr>
          <w:trHeight w:val="453"/>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51,590,216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60,094,287</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-2836545</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-2562225</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-2287905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-2005330</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-1713865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-1439545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-1165225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-890905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-616585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-325120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40" w:space="720"/>
            <w:col w:w="7480"/>
          </w:cols>
          <w:pgMar w:left="320" w:top="796" w:right="339" w:bottom="0" w:gutter="0" w:footer="0" w:header="0"/>
        </w:sectPr>
      </w:pPr>
    </w:p>
    <w:tbl>
      <w:tblPr>
        <w:tblLayout w:type="fixed"/>
        <w:tblInd w:w="0" w:type="dxa"/>
        <w:tblCellMar>
          <w:top w:w="0" w:type="dxa"/>
          <w:left w:w="0" w:type="dxa"/>
          <w:bottom w:w="0" w:type="dxa"/>
          <w:right w:w="0" w:type="dxa"/>
        </w:tblCellMar>
      </w:tblPr>
      <w:tr>
        <w:trPr>
          <w:trHeight w:val="196"/>
        </w:trPr>
        <w:tc>
          <w:tcPr>
            <w:tcW w:w="2180" w:type="dxa"/>
            <w:vAlign w:val="bottom"/>
            <w:shd w:val="clear" w:color="auto" w:fill="EEEEEE"/>
          </w:tcPr>
          <w:p>
            <w:pPr>
              <w:spacing w:after="0"/>
              <w:rPr>
                <w:sz w:val="17"/>
                <w:szCs w:val="17"/>
                <w:color w:val="auto"/>
              </w:rPr>
            </w:pPr>
          </w:p>
        </w:tc>
        <w:tc>
          <w:tcPr>
            <w:tcW w:w="53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175"/>
        </w:trPr>
        <w:tc>
          <w:tcPr>
            <w:tcW w:w="7500" w:type="dxa"/>
            <w:vAlign w:val="bottom"/>
            <w:gridSpan w:val="2"/>
          </w:tcPr>
          <w:p>
            <w:pPr>
              <w:spacing w:after="0" w:line="176" w:lineRule="exact"/>
              <w:rPr>
                <w:sz w:val="20"/>
                <w:szCs w:val="20"/>
                <w:color w:val="auto"/>
              </w:rPr>
            </w:pPr>
            <w:r>
              <w:rPr>
                <w:rFonts w:ascii="Arial" w:cs="Arial" w:eastAsia="Arial" w:hAnsi="Arial"/>
                <w:sz w:val="18"/>
                <w:szCs w:val="18"/>
                <w:color w:val="auto"/>
              </w:rPr>
              <w:t>LIABILITIES AND EQUITY</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12,031,323</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13,244,957</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Credit cards payable</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693,327</w:t>
            </w:r>
          </w:p>
        </w:tc>
        <w:tc>
          <w:tcPr>
            <w:tcW w:w="4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366,781</w:t>
            </w:r>
          </w:p>
        </w:tc>
        <w:tc>
          <w:tcPr>
            <w:tcW w:w="80" w:type="dxa"/>
            <w:vAlign w:val="bottom"/>
            <w:shd w:val="clear" w:color="auto" w:fill="EEEEEE"/>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Customer deposit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362,826</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350,595</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3,292,581</w:t>
            </w:r>
          </w:p>
        </w:tc>
        <w:tc>
          <w:tcPr>
            <w:tcW w:w="4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4,831,067</w:t>
            </w:r>
          </w:p>
        </w:tc>
        <w:tc>
          <w:tcPr>
            <w:tcW w:w="80" w:type="dxa"/>
            <w:vAlign w:val="bottom"/>
            <w:shd w:val="clear" w:color="auto" w:fill="EEEEEE"/>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Advance from shareholders</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84,718</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85,200</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Lease liability – current</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2,169,603</w:t>
            </w:r>
          </w:p>
        </w:tc>
        <w:tc>
          <w:tcPr>
            <w:tcW w:w="4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2,159,173</w:t>
            </w:r>
          </w:p>
        </w:tc>
        <w:tc>
          <w:tcPr>
            <w:tcW w:w="80" w:type="dxa"/>
            <w:vAlign w:val="bottom"/>
            <w:shd w:val="clear" w:color="auto" w:fill="EEEEEE"/>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Short-term loan payable - related party</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1,006,060</w:t>
            </w:r>
          </w:p>
        </w:tc>
        <w:tc>
          <w:tcPr>
            <w:tcW w:w="48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Long-term promissory note payable – current portion</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1,149,961</w:t>
            </w:r>
          </w:p>
        </w:tc>
        <w:tc>
          <w:tcPr>
            <w:tcW w:w="4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2,017,852</w:t>
            </w:r>
          </w:p>
        </w:tc>
        <w:tc>
          <w:tcPr>
            <w:tcW w:w="80" w:type="dxa"/>
            <w:vAlign w:val="bottom"/>
            <w:shd w:val="clear" w:color="auto" w:fill="EEEEEE"/>
          </w:tcPr>
          <w:p>
            <w:pPr>
              <w:spacing w:after="0"/>
              <w:rPr>
                <w:sz w:val="18"/>
                <w:szCs w:val="18"/>
                <w:color w:val="auto"/>
              </w:rPr>
            </w:pPr>
          </w:p>
        </w:tc>
      </w:tr>
      <w:tr>
        <w:trPr>
          <w:trHeight w:val="230"/>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275,117</w:t>
            </w:r>
          </w:p>
        </w:tc>
        <w:tc>
          <w:tcPr>
            <w:tcW w:w="4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276,683</w:t>
            </w:r>
          </w:p>
        </w:tc>
        <w:tc>
          <w:tcPr>
            <w:tcW w:w="80" w:type="dxa"/>
            <w:vAlign w:val="bottom"/>
          </w:tcPr>
          <w:p>
            <w:pPr>
              <w:spacing w:after="0"/>
              <w:rPr>
                <w:sz w:val="19"/>
                <w:szCs w:val="19"/>
                <w:color w:val="auto"/>
              </w:rPr>
            </w:pPr>
          </w:p>
        </w:tc>
      </w:tr>
      <w:tr>
        <w:trPr>
          <w:trHeight w:val="210"/>
        </w:trPr>
        <w:tc>
          <w:tcPr>
            <w:tcW w:w="7500" w:type="dxa"/>
            <w:vAlign w:val="bottom"/>
            <w:tcBorders>
              <w:top w:val="single" w:sz="8" w:color="EEEEEE"/>
            </w:tcBorders>
            <w:gridSpan w:val="2"/>
            <w:shd w:val="clear" w:color="auto" w:fill="EEEEEE"/>
          </w:tcPr>
          <w:p>
            <w:pPr>
              <w:ind w:left="36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21,065,516</w:t>
            </w: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23,332,308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2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Long-term revolving loan payable, net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4,808,322</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9,791,191</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Lease liability - non-current</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6,023,813</w:t>
            </w:r>
          </w:p>
        </w:tc>
        <w:tc>
          <w:tcPr>
            <w:tcW w:w="4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6,106,047</w:t>
            </w:r>
          </w:p>
        </w:tc>
        <w:tc>
          <w:tcPr>
            <w:tcW w:w="80" w:type="dxa"/>
            <w:vAlign w:val="bottom"/>
            <w:shd w:val="clear" w:color="auto" w:fill="EEEEEE"/>
          </w:tcPr>
          <w:p>
            <w:pPr>
              <w:spacing w:after="0"/>
              <w:rPr>
                <w:sz w:val="18"/>
                <w:szCs w:val="18"/>
                <w:color w:val="auto"/>
              </w:rPr>
            </w:pPr>
          </w:p>
        </w:tc>
      </w:tr>
      <w:tr>
        <w:trPr>
          <w:trHeight w:val="229"/>
        </w:trPr>
        <w:tc>
          <w:tcPr>
            <w:tcW w:w="2180" w:type="dxa"/>
            <w:vAlign w:val="bottom"/>
            <w:tcBorders>
              <w:bottom w:val="single" w:sz="8" w:color="EEEEEE"/>
            </w:tcBorders>
          </w:tcPr>
          <w:p>
            <w:pPr>
              <w:spacing w:after="0"/>
              <w:rPr>
                <w:sz w:val="19"/>
                <w:szCs w:val="19"/>
                <w:color w:val="auto"/>
              </w:rPr>
            </w:pPr>
          </w:p>
        </w:tc>
        <w:tc>
          <w:tcPr>
            <w:tcW w:w="5320" w:type="dxa"/>
            <w:vAlign w:val="bottom"/>
            <w:tcBorders>
              <w:bottom w:val="single" w:sz="8" w:color="EEEEEE"/>
            </w:tcBorders>
          </w:tcPr>
          <w:p>
            <w:pPr>
              <w:spacing w:after="0"/>
              <w:rPr>
                <w:sz w:val="19"/>
                <w:szCs w:val="19"/>
                <w:color w:val="auto"/>
              </w:rPr>
            </w:pPr>
          </w:p>
        </w:tc>
        <w:tc>
          <w:tcPr>
            <w:tcW w:w="6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75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Total non-current liabilities</w:t>
            </w:r>
          </w:p>
        </w:tc>
        <w:tc>
          <w:tcPr>
            <w:tcW w:w="60" w:type="dxa"/>
            <w:vAlign w:val="bottom"/>
            <w:shd w:val="clear" w:color="auto" w:fill="EEEEEE"/>
          </w:tcPr>
          <w:p>
            <w:pPr>
              <w:spacing w:after="0"/>
              <w:rPr>
                <w:sz w:val="18"/>
                <w:szCs w:val="18"/>
                <w:color w:val="auto"/>
              </w:rPr>
            </w:pPr>
          </w:p>
        </w:tc>
        <w:tc>
          <w:tcPr>
            <w:tcW w:w="480" w:type="dxa"/>
            <w:vAlign w:val="bottom"/>
            <w:tcBorders>
              <w:bottom w:val="single" w:sz="8" w:color="auto"/>
            </w:tcBorders>
            <w:shd w:val="clear" w:color="auto" w:fill="EEEEEE"/>
          </w:tcPr>
          <w:p>
            <w:pPr>
              <w:spacing w:after="0"/>
              <w:rPr>
                <w:sz w:val="18"/>
                <w:szCs w:val="18"/>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10,832,135</w:t>
            </w:r>
          </w:p>
        </w:tc>
        <w:tc>
          <w:tcPr>
            <w:tcW w:w="220" w:type="dxa"/>
            <w:vAlign w:val="bottom"/>
            <w:shd w:val="clear" w:color="auto" w:fill="EEEEEE"/>
          </w:tcPr>
          <w:p>
            <w:pPr>
              <w:spacing w:after="0"/>
              <w:rPr>
                <w:sz w:val="18"/>
                <w:szCs w:val="18"/>
                <w:color w:val="auto"/>
              </w:rPr>
            </w:pPr>
          </w:p>
        </w:tc>
        <w:tc>
          <w:tcPr>
            <w:tcW w:w="480" w:type="dxa"/>
            <w:vAlign w:val="bottom"/>
            <w:tcBorders>
              <w:bottom w:val="single" w:sz="8" w:color="auto"/>
            </w:tcBorders>
            <w:shd w:val="clear" w:color="auto" w:fill="EEEEEE"/>
          </w:tcPr>
          <w:p>
            <w:pPr>
              <w:spacing w:after="0"/>
              <w:rPr>
                <w:sz w:val="18"/>
                <w:szCs w:val="18"/>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15,897,238</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0"/>
        </w:trPr>
        <w:tc>
          <w:tcPr>
            <w:tcW w:w="2180" w:type="dxa"/>
            <w:vAlign w:val="bottom"/>
            <w:tcBorders>
              <w:bottom w:val="single" w:sz="8" w:color="EEEEEE"/>
            </w:tcBorders>
          </w:tcPr>
          <w:p>
            <w:pPr>
              <w:spacing w:after="0"/>
              <w:rPr>
                <w:sz w:val="18"/>
                <w:szCs w:val="18"/>
                <w:color w:val="auto"/>
              </w:rPr>
            </w:pPr>
          </w:p>
        </w:tc>
        <w:tc>
          <w:tcPr>
            <w:tcW w:w="53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75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EEEEEE"/>
          </w:tcPr>
          <w:p>
            <w:pPr>
              <w:spacing w:after="0"/>
              <w:rPr>
                <w:sz w:val="18"/>
                <w:szCs w:val="18"/>
                <w:color w:val="auto"/>
              </w:rPr>
            </w:pPr>
          </w:p>
        </w:tc>
        <w:tc>
          <w:tcPr>
            <w:tcW w:w="480" w:type="dxa"/>
            <w:vAlign w:val="bottom"/>
            <w:tcBorders>
              <w:bottom w:val="single" w:sz="8" w:color="auto"/>
            </w:tcBorders>
            <w:shd w:val="clear" w:color="auto" w:fill="EEEEEE"/>
          </w:tcPr>
          <w:p>
            <w:pPr>
              <w:spacing w:after="0"/>
              <w:rPr>
                <w:sz w:val="18"/>
                <w:szCs w:val="18"/>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31,897,651</w:t>
            </w:r>
          </w:p>
        </w:tc>
        <w:tc>
          <w:tcPr>
            <w:tcW w:w="220" w:type="dxa"/>
            <w:vAlign w:val="bottom"/>
            <w:shd w:val="clear" w:color="auto" w:fill="EEEEEE"/>
          </w:tcPr>
          <w:p>
            <w:pPr>
              <w:spacing w:after="0"/>
              <w:rPr>
                <w:sz w:val="18"/>
                <w:szCs w:val="18"/>
                <w:color w:val="auto"/>
              </w:rPr>
            </w:pPr>
          </w:p>
        </w:tc>
        <w:tc>
          <w:tcPr>
            <w:tcW w:w="480" w:type="dxa"/>
            <w:vAlign w:val="bottom"/>
            <w:tcBorders>
              <w:bottom w:val="single" w:sz="8" w:color="auto"/>
            </w:tcBorders>
            <w:shd w:val="clear" w:color="auto" w:fill="EEEEEE"/>
          </w:tcPr>
          <w:p>
            <w:pPr>
              <w:spacing w:after="0"/>
              <w:rPr>
                <w:sz w:val="18"/>
                <w:szCs w:val="18"/>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39,229,546</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9"/>
        </w:trPr>
        <w:tc>
          <w:tcPr>
            <w:tcW w:w="2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Commitments and contingency</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2"/>
        </w:trPr>
        <w:tc>
          <w:tcPr>
            <w:tcW w:w="75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0"/>
              </w:rPr>
              <w:t>Preferred stock, $0.001 par value; 20,000,000 shares authorized; 0 shares issued and outstanding at</w:t>
            </w: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September 30, 2023 and June 30, 2023</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00" w:type="dxa"/>
            <w:vAlign w:val="bottom"/>
            <w:gridSpan w:val="2"/>
            <w:shd w:val="clear" w:color="auto" w:fill="EEEEEE"/>
          </w:tcPr>
          <w:p>
            <w:pPr>
              <w:ind w:left="180"/>
              <w:spacing w:after="0" w:line="201" w:lineRule="exact"/>
              <w:rPr>
                <w:sz w:val="20"/>
                <w:szCs w:val="20"/>
                <w:color w:val="auto"/>
              </w:rPr>
            </w:pPr>
            <w:r>
              <w:rPr>
                <w:rFonts w:ascii="Arial" w:cs="Arial" w:eastAsia="Arial" w:hAnsi="Arial"/>
                <w:sz w:val="18"/>
                <w:szCs w:val="18"/>
                <w:color w:val="auto"/>
                <w:w w:val="89"/>
              </w:rPr>
              <w:t>Common stock, $0.001 par value; 180,000,000 shares authorized; 29,710,939 and 29,710,939 shares</w:t>
            </w:r>
          </w:p>
        </w:tc>
        <w:tc>
          <w:tcPr>
            <w:tcW w:w="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7500" w:type="dxa"/>
            <w:vAlign w:val="bottom"/>
            <w:gridSpan w:val="2"/>
            <w:shd w:val="clear" w:color="auto" w:fill="EEEEEE"/>
          </w:tcPr>
          <w:p>
            <w:pPr>
              <w:ind w:left="360"/>
              <w:spacing w:after="0"/>
              <w:rPr>
                <w:sz w:val="20"/>
                <w:szCs w:val="20"/>
                <w:color w:val="auto"/>
              </w:rPr>
            </w:pPr>
            <w:r>
              <w:rPr>
                <w:rFonts w:ascii="Arial" w:cs="Arial" w:eastAsia="Arial" w:hAnsi="Arial"/>
                <w:sz w:val="18"/>
                <w:szCs w:val="18"/>
                <w:color w:val="auto"/>
              </w:rPr>
              <w:t>issued and outstanding at September 30, 2023 and June 30, 2023</w:t>
            </w:r>
          </w:p>
        </w:tc>
        <w:tc>
          <w:tcPr>
            <w:tcW w:w="6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29,712</w:t>
            </w:r>
          </w:p>
        </w:tc>
        <w:tc>
          <w:tcPr>
            <w:tcW w:w="48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29,712</w:t>
            </w:r>
          </w:p>
        </w:tc>
        <w:tc>
          <w:tcPr>
            <w:tcW w:w="80" w:type="dxa"/>
            <w:vAlign w:val="bottom"/>
            <w:shd w:val="clear" w:color="auto" w:fill="EEEEEE"/>
          </w:tcPr>
          <w:p>
            <w:pPr>
              <w:spacing w:after="0"/>
              <w:rPr>
                <w:sz w:val="20"/>
                <w:szCs w:val="20"/>
                <w:color w:val="auto"/>
              </w:rPr>
            </w:pPr>
          </w:p>
        </w:tc>
      </w:tr>
      <w:tr>
        <w:trPr>
          <w:trHeight w:val="216"/>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Additional paid in capital</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29,742,402</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29,624,520</w:t>
            </w:r>
          </w:p>
        </w:tc>
        <w:tc>
          <w:tcPr>
            <w:tcW w:w="80" w:type="dxa"/>
            <w:vAlign w:val="bottom"/>
          </w:tcPr>
          <w:p>
            <w:pPr>
              <w:spacing w:after="0"/>
              <w:rPr>
                <w:sz w:val="18"/>
                <w:szCs w:val="18"/>
                <w:color w:val="auto"/>
              </w:rPr>
            </w:pPr>
          </w:p>
        </w:tc>
      </w:tr>
      <w:tr>
        <w:trPr>
          <w:trHeight w:val="216"/>
        </w:trPr>
        <w:tc>
          <w:tcPr>
            <w:tcW w:w="75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Accumulated deficits</w:t>
            </w: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(9,988,957)</w:t>
            </w:r>
          </w:p>
        </w:tc>
        <w:tc>
          <w:tcPr>
            <w:tcW w:w="4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(8,702,442)</w:t>
            </w:r>
          </w:p>
        </w:tc>
      </w:tr>
      <w:tr>
        <w:trPr>
          <w:trHeight w:val="216"/>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(27,751)</w:t>
            </w:r>
          </w:p>
        </w:tc>
        <w:tc>
          <w:tcPr>
            <w:tcW w:w="4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(24,915)</w:t>
            </w:r>
          </w:p>
        </w:tc>
      </w:tr>
      <w:tr>
        <w:trPr>
          <w:trHeight w:val="229"/>
        </w:trPr>
        <w:tc>
          <w:tcPr>
            <w:tcW w:w="75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(62,841)</w:t>
            </w:r>
          </w:p>
        </w:tc>
        <w:tc>
          <w:tcPr>
            <w:tcW w:w="480" w:type="dxa"/>
            <w:vAlign w:val="bottom"/>
            <w:shd w:val="clear" w:color="auto" w:fill="EEEEEE"/>
          </w:tcPr>
          <w:p>
            <w:pPr>
              <w:spacing w:after="0"/>
              <w:rPr>
                <w:sz w:val="19"/>
                <w:szCs w:val="19"/>
                <w:color w:val="auto"/>
              </w:rPr>
            </w:pPr>
          </w:p>
        </w:tc>
        <w:tc>
          <w:tcPr>
            <w:tcW w:w="13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(62,134)</w:t>
            </w:r>
          </w:p>
        </w:tc>
      </w:tr>
      <w:tr>
        <w:trPr>
          <w:trHeight w:val="210"/>
        </w:trPr>
        <w:tc>
          <w:tcPr>
            <w:tcW w:w="7500" w:type="dxa"/>
            <w:vAlign w:val="bottom"/>
            <w:tcBorders>
              <w:bottom w:val="single" w:sz="8" w:color="EEEEEE"/>
            </w:tcBorders>
            <w:gridSpan w:val="2"/>
          </w:tcPr>
          <w:p>
            <w:pPr>
              <w:ind w:left="360"/>
              <w:spacing w:after="0"/>
              <w:rPr>
                <w:sz w:val="20"/>
                <w:szCs w:val="20"/>
                <w:color w:val="auto"/>
              </w:rPr>
            </w:pPr>
            <w:r>
              <w:rPr>
                <w:rFonts w:ascii="Arial" w:cs="Arial" w:eastAsia="Arial" w:hAnsi="Arial"/>
                <w:sz w:val="18"/>
                <w:szCs w:val="18"/>
                <w:color w:val="auto"/>
              </w:rPr>
              <w:t>Total equity</w:t>
            </w:r>
          </w:p>
        </w:tc>
        <w:tc>
          <w:tcPr>
            <w:tcW w:w="6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19,692,565</w:t>
            </w:r>
          </w:p>
        </w:tc>
        <w:tc>
          <w:tcPr>
            <w:tcW w:w="22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20,864,741</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09"/>
        </w:trPr>
        <w:tc>
          <w:tcPr>
            <w:tcW w:w="2180" w:type="dxa"/>
            <w:vAlign w:val="bottom"/>
            <w:shd w:val="clear" w:color="auto" w:fill="EEEEEE"/>
          </w:tcPr>
          <w:p>
            <w:pPr>
              <w:spacing w:after="0"/>
              <w:rPr>
                <w:sz w:val="18"/>
                <w:szCs w:val="18"/>
                <w:color w:val="auto"/>
              </w:rPr>
            </w:pPr>
          </w:p>
        </w:tc>
        <w:tc>
          <w:tcPr>
            <w:tcW w:w="53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7500" w:type="dxa"/>
            <w:vAlign w:val="bottom"/>
            <w:gridSpan w:val="2"/>
          </w:tcPr>
          <w:p>
            <w:pPr>
              <w:ind w:left="360"/>
              <w:spacing w:after="0"/>
              <w:rPr>
                <w:sz w:val="20"/>
                <w:szCs w:val="20"/>
                <w:color w:val="auto"/>
              </w:rPr>
            </w:pPr>
            <w:r>
              <w:rPr>
                <w:rFonts w:ascii="Arial" w:cs="Arial" w:eastAsia="Arial" w:hAnsi="Arial"/>
                <w:sz w:val="18"/>
                <w:szCs w:val="18"/>
                <w:color w:val="auto"/>
              </w:rPr>
              <w:t>Total liabilities and equity</w:t>
            </w: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51,590,216</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60,094,287</w:t>
            </w:r>
          </w:p>
        </w:tc>
        <w:tc>
          <w:tcPr>
            <w:tcW w:w="80" w:type="dxa"/>
            <w:vAlign w:val="bottom"/>
          </w:tcPr>
          <w:p>
            <w:pPr>
              <w:spacing w:after="0"/>
              <w:rPr>
                <w:sz w:val="21"/>
                <w:szCs w:val="21"/>
                <w:color w:val="auto"/>
              </w:rPr>
            </w:pPr>
          </w:p>
        </w:tc>
      </w:tr>
      <w:tr>
        <w:trPr>
          <w:trHeight w:val="20"/>
        </w:trPr>
        <w:tc>
          <w:tcPr>
            <w:tcW w:w="21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796" w:right="33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2023 and 2022</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5"/>
          </w:tcPr>
          <w:p>
            <w:pPr>
              <w:jc w:val="right"/>
              <w:ind w:right="241"/>
              <w:spacing w:after="0"/>
              <w:rPr>
                <w:sz w:val="20"/>
                <w:szCs w:val="20"/>
                <w:color w:val="auto"/>
              </w:rPr>
            </w:pPr>
            <w:r>
              <w:rPr>
                <w:rFonts w:ascii="Arial" w:cs="Arial" w:eastAsia="Arial" w:hAnsi="Arial"/>
                <w:sz w:val="18"/>
                <w:szCs w:val="18"/>
                <w:color w:val="auto"/>
                <w:w w:val="90"/>
              </w:rPr>
              <w:t>For the Three Months Ended September 30,</w:t>
            </w:r>
          </w:p>
        </w:tc>
      </w:tr>
      <w:tr>
        <w:trPr>
          <w:trHeight w:val="223"/>
        </w:trPr>
        <w:tc>
          <w:tcPr>
            <w:tcW w:w="6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r>
      <w:tr>
        <w:trPr>
          <w:trHeight w:val="224"/>
        </w:trPr>
        <w:tc>
          <w:tcPr>
            <w:tcW w:w="6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r>
      <w:tr>
        <w:trPr>
          <w:trHeight w:val="202"/>
        </w:trPr>
        <w:tc>
          <w:tcPr>
            <w:tcW w:w="6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26,508,374</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26,022,673</w:t>
            </w:r>
          </w:p>
        </w:tc>
      </w:tr>
      <w:tr>
        <w:trPr>
          <w:trHeight w:val="229"/>
        </w:trPr>
        <w:tc>
          <w:tcPr>
            <w:tcW w:w="6180" w:type="dxa"/>
            <w:vAlign w:val="bottom"/>
            <w:tcBorders>
              <w:bottom w:val="single" w:sz="8" w:color="EEEEEE"/>
            </w:tcBorders>
          </w:tcPr>
          <w:p>
            <w:pPr>
              <w:spacing w:after="0"/>
              <w:rPr>
                <w:sz w:val="19"/>
                <w:szCs w:val="19"/>
                <w:color w:val="auto"/>
              </w:rPr>
            </w:pPr>
          </w:p>
        </w:tc>
        <w:tc>
          <w:tcPr>
            <w:tcW w:w="138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10"/>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26,508,374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26,022,673</w:t>
            </w:r>
          </w:p>
        </w:tc>
        <w:tc>
          <w:tcPr>
            <w:tcW w:w="100" w:type="dxa"/>
            <w:vAlign w:val="bottom"/>
            <w:shd w:val="clear" w:color="auto" w:fill="EEEEEE"/>
          </w:tcPr>
          <w:p>
            <w:pPr>
              <w:spacing w:after="0"/>
              <w:rPr>
                <w:sz w:val="18"/>
                <w:szCs w:val="18"/>
                <w:color w:val="auto"/>
              </w:rPr>
            </w:pPr>
          </w:p>
        </w:tc>
      </w:tr>
      <w:tr>
        <w:trPr>
          <w:trHeight w:val="216"/>
        </w:trPr>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REVENUES</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14,749,529</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16,036,957</w:t>
            </w:r>
          </w:p>
        </w:tc>
      </w:tr>
      <w:tr>
        <w:trPr>
          <w:trHeight w:val="229"/>
        </w:trPr>
        <w:tc>
          <w:tcPr>
            <w:tcW w:w="6180" w:type="dxa"/>
            <w:vAlign w:val="bottom"/>
            <w:tcBorders>
              <w:bottom w:val="single" w:sz="8" w:color="EEEEEE"/>
            </w:tcBorders>
          </w:tcPr>
          <w:p>
            <w:pPr>
              <w:spacing w:after="0"/>
              <w:rPr>
                <w:sz w:val="19"/>
                <w:szCs w:val="19"/>
                <w:color w:val="auto"/>
              </w:rPr>
            </w:pPr>
          </w:p>
        </w:tc>
        <w:tc>
          <w:tcPr>
            <w:tcW w:w="138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10"/>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1380" w:type="dxa"/>
            <w:vAlign w:val="bottom"/>
            <w:shd w:val="clear" w:color="auto" w:fill="EEEEEE"/>
          </w:tcPr>
          <w:p>
            <w:pPr>
              <w:spacing w:after="0"/>
              <w:rPr>
                <w:sz w:val="18"/>
                <w:szCs w:val="18"/>
                <w:color w:val="auto"/>
              </w:rPr>
            </w:pPr>
          </w:p>
        </w:tc>
        <w:tc>
          <w:tcPr>
            <w:tcW w:w="140" w:type="dxa"/>
            <w:vAlign w:val="bottom"/>
            <w:tcBorders>
              <w:bottom w:val="single" w:sz="8" w:color="auto"/>
            </w:tcBorders>
            <w:shd w:val="clear" w:color="auto" w:fill="EEEEEE"/>
          </w:tcPr>
          <w:p>
            <w:pPr>
              <w:spacing w:after="0"/>
              <w:rPr>
                <w:sz w:val="18"/>
                <w:szCs w:val="18"/>
                <w:color w:val="auto"/>
              </w:rPr>
            </w:pPr>
          </w:p>
        </w:tc>
        <w:tc>
          <w:tcPr>
            <w:tcW w:w="15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11,758,845</w:t>
            </w:r>
          </w:p>
        </w:tc>
        <w:tc>
          <w:tcPr>
            <w:tcW w:w="220" w:type="dxa"/>
            <w:vAlign w:val="bottom"/>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spacing w:after="0"/>
              <w:rPr>
                <w:sz w:val="18"/>
                <w:szCs w:val="18"/>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9,985,716</w:t>
            </w:r>
          </w:p>
        </w:tc>
        <w:tc>
          <w:tcPr>
            <w:tcW w:w="100" w:type="dxa"/>
            <w:vAlign w:val="bottom"/>
            <w:shd w:val="clear" w:color="auto" w:fill="EEEEEE"/>
          </w:tcPr>
          <w:p>
            <w:pPr>
              <w:spacing w:after="0"/>
              <w:rPr>
                <w:sz w:val="18"/>
                <w:szCs w:val="18"/>
                <w:color w:val="auto"/>
              </w:rPr>
            </w:pPr>
          </w:p>
        </w:tc>
      </w:tr>
      <w:tr>
        <w:trPr>
          <w:trHeight w:val="209"/>
        </w:trPr>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Selling and fulfillment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41"/>
              <w:spacing w:after="0"/>
              <w:rPr>
                <w:sz w:val="20"/>
                <w:szCs w:val="20"/>
                <w:color w:val="auto"/>
              </w:rPr>
            </w:pPr>
            <w:r>
              <w:rPr>
                <w:rFonts w:ascii="Arial" w:cs="Arial" w:eastAsia="Arial" w:hAnsi="Arial"/>
                <w:sz w:val="18"/>
                <w:szCs w:val="18"/>
                <w:color w:val="auto"/>
              </w:rPr>
              <w:t>10,063,471</w:t>
            </w:r>
          </w:p>
        </w:tc>
        <w:tc>
          <w:tcPr>
            <w:tcW w:w="240" w:type="dxa"/>
            <w:vAlign w:val="bottom"/>
          </w:tcPr>
          <w:p>
            <w:pPr>
              <w:spacing w:after="0"/>
              <w:rPr>
                <w:sz w:val="18"/>
                <w:szCs w:val="18"/>
                <w:color w:val="auto"/>
              </w:rPr>
            </w:pPr>
          </w:p>
        </w:tc>
        <w:tc>
          <w:tcPr>
            <w:tcW w:w="1540" w:type="dxa"/>
            <w:vAlign w:val="bottom"/>
            <w:gridSpan w:val="2"/>
          </w:tcPr>
          <w:p>
            <w:pPr>
              <w:jc w:val="right"/>
              <w:ind w:right="21"/>
              <w:spacing w:after="0"/>
              <w:rPr>
                <w:sz w:val="20"/>
                <w:szCs w:val="20"/>
                <w:color w:val="auto"/>
              </w:rPr>
            </w:pPr>
            <w:r>
              <w:rPr>
                <w:rFonts w:ascii="Arial" w:cs="Arial" w:eastAsia="Arial" w:hAnsi="Arial"/>
                <w:sz w:val="18"/>
                <w:szCs w:val="18"/>
                <w:color w:val="auto"/>
              </w:rPr>
              <w:t>8,418,812</w:t>
            </w:r>
          </w:p>
        </w:tc>
      </w:tr>
      <w:tr>
        <w:trPr>
          <w:trHeight w:val="216"/>
        </w:trPr>
        <w:tc>
          <w:tcPr>
            <w:tcW w:w="6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2,964,051</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3,100,176</w:t>
            </w:r>
          </w:p>
        </w:tc>
      </w:tr>
      <w:tr>
        <w:trPr>
          <w:trHeight w:val="229"/>
        </w:trPr>
        <w:tc>
          <w:tcPr>
            <w:tcW w:w="6180" w:type="dxa"/>
            <w:vAlign w:val="bottom"/>
          </w:tcPr>
          <w:p>
            <w:pPr>
              <w:ind w:left="180"/>
              <w:spacing w:after="0"/>
              <w:rPr>
                <w:sz w:val="20"/>
                <w:szCs w:val="20"/>
                <w:color w:val="auto"/>
              </w:rPr>
            </w:pPr>
            <w:r>
              <w:rPr>
                <w:rFonts w:ascii="Arial" w:cs="Arial" w:eastAsia="Arial" w:hAnsi="Arial"/>
                <w:sz w:val="18"/>
                <w:szCs w:val="18"/>
                <w:color w:val="auto"/>
              </w:rPr>
              <w:t>Impairment loss - goodwill</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40" w:type="dxa"/>
            <w:vAlign w:val="bottom"/>
            <w:gridSpan w:val="2"/>
          </w:tcPr>
          <w:p>
            <w:pPr>
              <w:jc w:val="right"/>
              <w:ind w:right="21"/>
              <w:spacing w:after="0"/>
              <w:rPr>
                <w:sz w:val="20"/>
                <w:szCs w:val="20"/>
                <w:color w:val="auto"/>
              </w:rPr>
            </w:pPr>
            <w:r>
              <w:rPr>
                <w:rFonts w:ascii="Arial" w:cs="Arial" w:eastAsia="Arial" w:hAnsi="Arial"/>
                <w:sz w:val="18"/>
                <w:szCs w:val="18"/>
                <w:color w:val="auto"/>
              </w:rPr>
              <w:t>3,060,034</w:t>
            </w:r>
          </w:p>
        </w:tc>
      </w:tr>
      <w:tr>
        <w:trPr>
          <w:trHeight w:val="210"/>
        </w:trPr>
        <w:tc>
          <w:tcPr>
            <w:tcW w:w="61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13,027,522</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14,579,022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(1,268,677)</w:t>
            </w:r>
          </w:p>
        </w:tc>
        <w:tc>
          <w:tcPr>
            <w:tcW w:w="2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(4,593,306)</w:t>
            </w:r>
          </w:p>
        </w:tc>
      </w:tr>
      <w:tr>
        <w:trPr>
          <w:trHeight w:val="210"/>
        </w:trPr>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Interest expenses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81"/>
              <w:spacing w:after="0"/>
              <w:rPr>
                <w:sz w:val="20"/>
                <w:szCs w:val="20"/>
                <w:color w:val="auto"/>
              </w:rPr>
            </w:pPr>
            <w:r>
              <w:rPr>
                <w:rFonts w:ascii="Arial" w:cs="Arial" w:eastAsia="Arial" w:hAnsi="Arial"/>
                <w:sz w:val="18"/>
                <w:szCs w:val="18"/>
                <w:color w:val="auto"/>
              </w:rPr>
              <w:t>(228,365)</w:t>
            </w: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(248,041)</w:t>
            </w:r>
          </w:p>
        </w:tc>
      </w:tr>
      <w:tr>
        <w:trPr>
          <w:trHeight w:val="216"/>
        </w:trPr>
        <w:tc>
          <w:tcPr>
            <w:tcW w:w="6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Loss on equity method investment</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(3,390)</w:t>
            </w: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Other non-operating income</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81"/>
              <w:spacing w:after="0"/>
              <w:rPr>
                <w:sz w:val="20"/>
                <w:szCs w:val="20"/>
                <w:color w:val="auto"/>
              </w:rPr>
            </w:pPr>
            <w:r>
              <w:rPr>
                <w:rFonts w:ascii="Arial" w:cs="Arial" w:eastAsia="Arial" w:hAnsi="Arial"/>
                <w:sz w:val="18"/>
                <w:szCs w:val="18"/>
                <w:color w:val="auto"/>
              </w:rPr>
              <w:t>(67,166)</w:t>
            </w:r>
          </w:p>
        </w:tc>
        <w:tc>
          <w:tcPr>
            <w:tcW w:w="240" w:type="dxa"/>
            <w:vAlign w:val="bottom"/>
          </w:tcPr>
          <w:p>
            <w:pPr>
              <w:spacing w:after="0"/>
              <w:rPr>
                <w:sz w:val="19"/>
                <w:szCs w:val="19"/>
                <w:color w:val="auto"/>
              </w:rPr>
            </w:pPr>
          </w:p>
        </w:tc>
        <w:tc>
          <w:tcPr>
            <w:tcW w:w="1540" w:type="dxa"/>
            <w:vAlign w:val="bottom"/>
            <w:gridSpan w:val="2"/>
          </w:tcPr>
          <w:p>
            <w:pPr>
              <w:jc w:val="right"/>
              <w:ind w:right="21"/>
              <w:spacing w:after="0"/>
              <w:rPr>
                <w:sz w:val="20"/>
                <w:szCs w:val="20"/>
                <w:color w:val="auto"/>
              </w:rPr>
            </w:pPr>
            <w:r>
              <w:rPr>
                <w:rFonts w:ascii="Arial" w:cs="Arial" w:eastAsia="Arial" w:hAnsi="Arial"/>
                <w:sz w:val="18"/>
                <w:szCs w:val="18"/>
                <w:color w:val="auto"/>
              </w:rPr>
              <w:t>211,760</w:t>
            </w:r>
          </w:p>
        </w:tc>
      </w:tr>
      <w:tr>
        <w:trPr>
          <w:trHeight w:val="210"/>
        </w:trPr>
        <w:tc>
          <w:tcPr>
            <w:tcW w:w="61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other expenses, net</w:t>
            </w:r>
          </w:p>
        </w:tc>
        <w:tc>
          <w:tcPr>
            <w:tcW w:w="13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(296,556</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(39,671</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LOSS BEFORE INCOME TAXES</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(1,565,233)</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(4,632,977)</w:t>
            </w:r>
          </w:p>
        </w:tc>
      </w:tr>
      <w:tr>
        <w:trPr>
          <w:trHeight w:val="216"/>
        </w:trPr>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 BENEFIT</w:t>
            </w:r>
          </w:p>
        </w:tc>
        <w:tc>
          <w:tcPr>
            <w:tcW w:w="13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(275,882)</w:t>
            </w:r>
          </w:p>
        </w:tc>
        <w:tc>
          <w:tcPr>
            <w:tcW w:w="2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(447,796)</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(1,289,351)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(4,185,181)</w:t>
            </w: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81"/>
              <w:spacing w:after="0"/>
              <w:rPr>
                <w:sz w:val="20"/>
                <w:szCs w:val="20"/>
                <w:color w:val="auto"/>
              </w:rPr>
            </w:pPr>
            <w:r>
              <w:rPr>
                <w:rFonts w:ascii="Arial" w:cs="Arial" w:eastAsia="Arial" w:hAnsi="Arial"/>
                <w:sz w:val="18"/>
                <w:szCs w:val="18"/>
                <w:color w:val="auto"/>
              </w:rPr>
              <w:t>(2,836)</w:t>
            </w: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(2,805)</w:t>
            </w:r>
          </w:p>
        </w:tc>
      </w:tr>
      <w:tr>
        <w:trPr>
          <w:trHeight w:val="229"/>
        </w:trPr>
        <w:tc>
          <w:tcPr>
            <w:tcW w:w="6180" w:type="dxa"/>
            <w:vAlign w:val="bottom"/>
            <w:shd w:val="clear" w:color="auto" w:fill="EEEEEE"/>
          </w:tcPr>
          <w:p>
            <w:pPr>
              <w:spacing w:after="0"/>
              <w:rPr>
                <w:sz w:val="19"/>
                <w:szCs w:val="19"/>
                <w:color w:val="auto"/>
              </w:rPr>
            </w:pPr>
          </w:p>
        </w:tc>
        <w:tc>
          <w:tcPr>
            <w:tcW w:w="138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54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NET LOSS ATTRIBUTABLE TO IPOWER INC.</w:t>
            </w:r>
          </w:p>
        </w:tc>
        <w:tc>
          <w:tcPr>
            <w:tcW w:w="1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(1,286,515)</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(4,182,376)</w:t>
            </w: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(707)</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(111,475)</w:t>
            </w:r>
          </w:p>
        </w:tc>
      </w:tr>
      <w:tr>
        <w:trPr>
          <w:trHeight w:val="230"/>
        </w:trPr>
        <w:tc>
          <w:tcPr>
            <w:tcW w:w="6180" w:type="dxa"/>
            <w:vAlign w:val="bottom"/>
            <w:tcBorders>
              <w:bottom w:val="single" w:sz="8" w:color="EEEEEE"/>
            </w:tcBorders>
          </w:tcPr>
          <w:p>
            <w:pPr>
              <w:spacing w:after="0"/>
              <w:rPr>
                <w:sz w:val="19"/>
                <w:szCs w:val="19"/>
                <w:color w:val="auto"/>
              </w:rPr>
            </w:pPr>
          </w:p>
        </w:tc>
        <w:tc>
          <w:tcPr>
            <w:tcW w:w="138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61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LOSS ATTRIBUTABLE TO IPOWER INC.</w:t>
            </w:r>
          </w:p>
        </w:tc>
        <w:tc>
          <w:tcPr>
            <w:tcW w:w="13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(1,287,222</w:t>
            </w:r>
          </w:p>
        </w:tc>
        <w:tc>
          <w:tcPr>
            <w:tcW w:w="220" w:type="dxa"/>
            <w:vAlign w:val="bottom"/>
            <w:tcBorders>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(4,293,851</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COMMON STOCK</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180" w:type="dxa"/>
            <w:vAlign w:val="bottom"/>
          </w:tcPr>
          <w:p>
            <w:pPr>
              <w:ind w:left="180"/>
              <w:spacing w:after="0"/>
              <w:rPr>
                <w:sz w:val="20"/>
                <w:szCs w:val="20"/>
                <w:color w:val="auto"/>
              </w:rPr>
            </w:pPr>
            <w:r>
              <w:rPr>
                <w:rFonts w:ascii="Arial" w:cs="Arial" w:eastAsia="Arial" w:hAnsi="Arial"/>
                <w:sz w:val="18"/>
                <w:szCs w:val="18"/>
                <w:color w:val="auto"/>
              </w:rPr>
              <w:t>Basic</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141"/>
              <w:spacing w:after="0"/>
              <w:rPr>
                <w:sz w:val="20"/>
                <w:szCs w:val="20"/>
                <w:color w:val="auto"/>
              </w:rPr>
            </w:pPr>
            <w:r>
              <w:rPr>
                <w:rFonts w:ascii="Arial" w:cs="Arial" w:eastAsia="Arial" w:hAnsi="Arial"/>
                <w:sz w:val="18"/>
                <w:szCs w:val="18"/>
                <w:color w:val="auto"/>
              </w:rPr>
              <w:t>29,764,515</w:t>
            </w:r>
          </w:p>
        </w:tc>
        <w:tc>
          <w:tcPr>
            <w:tcW w:w="240" w:type="dxa"/>
            <w:vAlign w:val="bottom"/>
          </w:tcPr>
          <w:p>
            <w:pPr>
              <w:spacing w:after="0"/>
              <w:rPr>
                <w:sz w:val="24"/>
                <w:szCs w:val="24"/>
                <w:color w:val="auto"/>
              </w:rPr>
            </w:pPr>
          </w:p>
        </w:tc>
        <w:tc>
          <w:tcPr>
            <w:tcW w:w="1540" w:type="dxa"/>
            <w:vAlign w:val="bottom"/>
            <w:gridSpan w:val="2"/>
          </w:tcPr>
          <w:p>
            <w:pPr>
              <w:jc w:val="right"/>
              <w:ind w:right="21"/>
              <w:spacing w:after="0"/>
              <w:rPr>
                <w:sz w:val="20"/>
                <w:szCs w:val="20"/>
                <w:color w:val="auto"/>
              </w:rPr>
            </w:pPr>
            <w:r>
              <w:rPr>
                <w:rFonts w:ascii="Arial" w:cs="Arial" w:eastAsia="Arial" w:hAnsi="Arial"/>
                <w:sz w:val="18"/>
                <w:szCs w:val="18"/>
                <w:color w:val="auto"/>
              </w:rPr>
              <w:t>29,665,716</w:t>
            </w:r>
          </w:p>
        </w:tc>
      </w:tr>
      <w:tr>
        <w:trPr>
          <w:trHeight w:val="197"/>
        </w:trPr>
        <w:tc>
          <w:tcPr>
            <w:tcW w:w="6180" w:type="dxa"/>
            <w:vAlign w:val="bottom"/>
            <w:tcBorders>
              <w:top w:val="single" w:sz="8" w:color="EEEEEE"/>
            </w:tcBorders>
            <w:shd w:val="clear" w:color="auto" w:fill="EEEEEE"/>
          </w:tcPr>
          <w:p>
            <w:pPr>
              <w:spacing w:after="0"/>
              <w:rPr>
                <w:sz w:val="17"/>
                <w:szCs w:val="17"/>
                <w:color w:val="auto"/>
              </w:rPr>
            </w:pPr>
          </w:p>
        </w:tc>
        <w:tc>
          <w:tcPr>
            <w:tcW w:w="13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5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4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83"/>
        </w:trPr>
        <w:tc>
          <w:tcPr>
            <w:tcW w:w="6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141"/>
              <w:spacing w:after="0"/>
              <w:rPr>
                <w:sz w:val="20"/>
                <w:szCs w:val="20"/>
                <w:color w:val="auto"/>
              </w:rPr>
            </w:pPr>
            <w:r>
              <w:rPr>
                <w:rFonts w:ascii="Arial" w:cs="Arial" w:eastAsia="Arial" w:hAnsi="Arial"/>
                <w:sz w:val="18"/>
                <w:szCs w:val="18"/>
                <w:color w:val="auto"/>
              </w:rPr>
              <w:t>29,764,515</w:t>
            </w:r>
          </w:p>
        </w:tc>
        <w:tc>
          <w:tcPr>
            <w:tcW w:w="240" w:type="dxa"/>
            <w:vAlign w:val="bottom"/>
          </w:tcPr>
          <w:p>
            <w:pPr>
              <w:spacing w:after="0"/>
              <w:rPr>
                <w:sz w:val="24"/>
                <w:szCs w:val="24"/>
                <w:color w:val="auto"/>
              </w:rPr>
            </w:pPr>
          </w:p>
        </w:tc>
        <w:tc>
          <w:tcPr>
            <w:tcW w:w="1540" w:type="dxa"/>
            <w:vAlign w:val="bottom"/>
            <w:gridSpan w:val="2"/>
          </w:tcPr>
          <w:p>
            <w:pPr>
              <w:jc w:val="right"/>
              <w:ind w:right="21"/>
              <w:spacing w:after="0"/>
              <w:rPr>
                <w:sz w:val="20"/>
                <w:szCs w:val="20"/>
                <w:color w:val="auto"/>
              </w:rPr>
            </w:pPr>
            <w:r>
              <w:rPr>
                <w:rFonts w:ascii="Arial" w:cs="Arial" w:eastAsia="Arial" w:hAnsi="Arial"/>
                <w:sz w:val="18"/>
                <w:szCs w:val="18"/>
                <w:color w:val="auto"/>
              </w:rPr>
              <w:t>29,665,716</w:t>
            </w:r>
          </w:p>
        </w:tc>
      </w:tr>
      <w:tr>
        <w:trPr>
          <w:trHeight w:val="196"/>
        </w:trPr>
        <w:tc>
          <w:tcPr>
            <w:tcW w:w="6180" w:type="dxa"/>
            <w:vAlign w:val="bottom"/>
            <w:tcBorders>
              <w:top w:val="single" w:sz="8" w:color="EEEEEE"/>
            </w:tcBorders>
            <w:shd w:val="clear" w:color="auto" w:fill="EEEEEE"/>
          </w:tcPr>
          <w:p>
            <w:pPr>
              <w:spacing w:after="0"/>
              <w:rPr>
                <w:sz w:val="17"/>
                <w:szCs w:val="17"/>
                <w:color w:val="auto"/>
              </w:rPr>
            </w:pPr>
          </w:p>
        </w:tc>
        <w:tc>
          <w:tcPr>
            <w:tcW w:w="13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5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4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LOSSES PER SHARE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(0.14)</w:t>
            </w:r>
          </w:p>
        </w:tc>
      </w:tr>
      <w:tr>
        <w:trPr>
          <w:trHeight w:val="20"/>
        </w:trPr>
        <w:tc>
          <w:tcPr>
            <w:tcW w:w="618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6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(0.14)</w:t>
            </w:r>
          </w:p>
        </w:tc>
      </w:tr>
      <w:tr>
        <w:trPr>
          <w:trHeight w:val="20"/>
        </w:trPr>
        <w:tc>
          <w:tcPr>
            <w:tcW w:w="6180" w:type="dxa"/>
            <w:vAlign w:val="bottom"/>
            <w:tcBorders>
              <w:top w:val="single" w:sz="8" w:color="EEEEEE"/>
            </w:tcBorders>
          </w:tcPr>
          <w:p>
            <w:pPr>
              <w:spacing w:after="0" w:line="20" w:lineRule="exact"/>
              <w:rPr>
                <w:sz w:val="1"/>
                <w:szCs w:val="1"/>
                <w:color w:val="auto"/>
              </w:rPr>
            </w:pPr>
          </w:p>
        </w:tc>
        <w:tc>
          <w:tcPr>
            <w:tcW w:w="13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Retained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121"/>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880" w:type="dxa"/>
            <w:vAlign w:val="bottom"/>
            <w:gridSpan w:val="2"/>
          </w:tcPr>
          <w:p>
            <w:pPr>
              <w:jc w:val="right"/>
              <w:ind w:right="341"/>
              <w:spacing w:after="0"/>
              <w:rPr>
                <w:sz w:val="20"/>
                <w:szCs w:val="20"/>
                <w:color w:val="auto"/>
              </w:rPr>
            </w:pPr>
            <w:r>
              <w:rPr>
                <w:rFonts w:ascii="Arial" w:cs="Arial" w:eastAsia="Arial" w:hAnsi="Arial"/>
                <w:sz w:val="18"/>
                <w:szCs w:val="18"/>
                <w:color w:val="auto"/>
              </w:rPr>
              <w:t>Non-</w:t>
            </w:r>
          </w:p>
        </w:tc>
        <w:tc>
          <w:tcPr>
            <w:tcW w:w="240" w:type="dxa"/>
            <w:vAlign w:val="bottom"/>
          </w:tcPr>
          <w:p>
            <w:pPr>
              <w:spacing w:after="0"/>
              <w:rPr>
                <w:sz w:val="18"/>
                <w:szCs w:val="18"/>
                <w:color w:val="auto"/>
              </w:rPr>
            </w:pPr>
          </w:p>
        </w:tc>
        <w:tc>
          <w:tcPr>
            <w:tcW w:w="1120" w:type="dxa"/>
            <w:vAlign w:val="bottom"/>
            <w:gridSpan w:val="2"/>
          </w:tcPr>
          <w:p>
            <w:pPr>
              <w:jc w:val="center"/>
              <w:ind w:right="381"/>
              <w:spacing w:after="0"/>
              <w:rPr>
                <w:sz w:val="20"/>
                <w:szCs w:val="20"/>
                <w:color w:val="auto"/>
              </w:rPr>
            </w:pPr>
            <w:r>
              <w:rPr>
                <w:rFonts w:ascii="Arial" w:cs="Arial" w:eastAsia="Arial" w:hAnsi="Arial"/>
                <w:sz w:val="18"/>
                <w:szCs w:val="18"/>
                <w:color w:val="auto"/>
                <w:w w:val="92"/>
              </w:rPr>
              <w:t>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1900" w:type="dxa"/>
            <w:vAlign w:val="bottom"/>
            <w:gridSpan w:val="6"/>
          </w:tcPr>
          <w:p>
            <w:pPr>
              <w:ind w:left="3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Paid in</w:t>
            </w:r>
          </w:p>
        </w:tc>
        <w:tc>
          <w:tcPr>
            <w:tcW w:w="1340" w:type="dxa"/>
            <w:vAlign w:val="bottom"/>
            <w:gridSpan w:val="4"/>
          </w:tcPr>
          <w:p>
            <w:pPr>
              <w:ind w:left="120"/>
              <w:spacing w:after="0"/>
              <w:rPr>
                <w:sz w:val="20"/>
                <w:szCs w:val="20"/>
                <w:color w:val="auto"/>
              </w:rPr>
            </w:pPr>
            <w:r>
              <w:rPr>
                <w:rFonts w:ascii="Arial" w:cs="Arial" w:eastAsia="Arial" w:hAnsi="Arial"/>
                <w:sz w:val="18"/>
                <w:szCs w:val="18"/>
                <w:color w:val="auto"/>
              </w:rPr>
              <w:t>(Accumulated</w:t>
            </w:r>
          </w:p>
        </w:tc>
        <w:tc>
          <w:tcPr>
            <w:tcW w:w="1000" w:type="dxa"/>
            <w:vAlign w:val="bottom"/>
            <w:gridSpan w:val="3"/>
          </w:tcPr>
          <w:p>
            <w:pPr>
              <w:spacing w:after="0"/>
              <w:rPr>
                <w:sz w:val="20"/>
                <w:szCs w:val="20"/>
                <w:color w:val="auto"/>
              </w:rPr>
            </w:pPr>
            <w:r>
              <w:rPr>
                <w:rFonts w:ascii="Arial" w:cs="Arial" w:eastAsia="Arial" w:hAnsi="Arial"/>
                <w:sz w:val="18"/>
                <w:szCs w:val="18"/>
                <w:color w:val="auto"/>
              </w:rPr>
              <w:t>controlling</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19"/>
                <w:szCs w:val="19"/>
                <w:color w:val="auto"/>
              </w:rPr>
            </w:pPr>
          </w:p>
        </w:tc>
        <w:tc>
          <w:tcPr>
            <w:tcW w:w="880" w:type="dxa"/>
            <w:vAlign w:val="bottom"/>
            <w:gridSpan w:val="2"/>
          </w:tcPr>
          <w:p>
            <w:pPr>
              <w:jc w:val="right"/>
              <w:ind w:right="261"/>
              <w:spacing w:after="0"/>
              <w:rPr>
                <w:sz w:val="20"/>
                <w:szCs w:val="20"/>
                <w:color w:val="auto"/>
              </w:rPr>
            </w:pPr>
            <w:r>
              <w:rPr>
                <w:rFonts w:ascii="Arial" w:cs="Arial" w:eastAsia="Arial" w:hAnsi="Arial"/>
                <w:sz w:val="18"/>
                <w:szCs w:val="18"/>
                <w:color w:val="auto"/>
                <w:w w:val="88"/>
              </w:rPr>
              <w:t>interest</w:t>
            </w:r>
          </w:p>
        </w:tc>
        <w:tc>
          <w:tcPr>
            <w:tcW w:w="1360" w:type="dxa"/>
            <w:vAlign w:val="bottom"/>
            <w:gridSpan w:val="3"/>
          </w:tcPr>
          <w:p>
            <w:pPr>
              <w:jc w:val="center"/>
              <w:ind w:right="141"/>
              <w:spacing w:after="0"/>
              <w:rPr>
                <w:sz w:val="20"/>
                <w:szCs w:val="20"/>
                <w:color w:val="auto"/>
              </w:rPr>
            </w:pPr>
            <w:r>
              <w:rPr>
                <w:rFonts w:ascii="Arial" w:cs="Arial" w:eastAsia="Arial" w:hAnsi="Arial"/>
                <w:sz w:val="18"/>
                <w:szCs w:val="18"/>
                <w:color w:val="auto"/>
                <w:w w:val="91"/>
              </w:rPr>
              <w:t>income (loss)</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10"/>
        </w:trPr>
        <w:tc>
          <w:tcPr>
            <w:tcW w:w="3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June 30, 2023</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29,710,939</w:t>
            </w:r>
          </w:p>
        </w:tc>
        <w:tc>
          <w:tcPr>
            <w:tcW w:w="10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29,712</w:t>
            </w:r>
          </w:p>
        </w:tc>
        <w:tc>
          <w:tcPr>
            <w:tcW w:w="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$29,624,520</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(8,702,442)</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5"/>
              </w:rPr>
              <w:t>(24,915)</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(62,134)</w:t>
            </w:r>
          </w:p>
        </w:tc>
        <w:tc>
          <w:tcPr>
            <w:tcW w:w="22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$20,864,741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5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(1,286,515)</w:t>
            </w:r>
          </w:p>
        </w:tc>
        <w:tc>
          <w:tcPr>
            <w:tcW w:w="1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(2,836)</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(1,289,351)</w:t>
            </w:r>
          </w:p>
        </w:tc>
      </w:tr>
      <w:tr>
        <w:trPr>
          <w:trHeight w:val="216"/>
        </w:trPr>
        <w:tc>
          <w:tcPr>
            <w:tcW w:w="35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117,882</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117,882</w:t>
            </w:r>
          </w:p>
        </w:tc>
      </w:tr>
      <w:tr>
        <w:trPr>
          <w:trHeight w:val="230"/>
        </w:trPr>
        <w:tc>
          <w:tcPr>
            <w:tcW w:w="3500" w:type="dxa"/>
            <w:vAlign w:val="bottom"/>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(707)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(707)</w:t>
            </w:r>
          </w:p>
        </w:tc>
      </w:tr>
      <w:tr>
        <w:trPr>
          <w:trHeight w:val="209"/>
        </w:trPr>
        <w:tc>
          <w:tcPr>
            <w:tcW w:w="3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September 30, 2023, unaudited</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29,710,939</w:t>
            </w:r>
          </w:p>
        </w:tc>
        <w:tc>
          <w:tcPr>
            <w:tcW w:w="10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29,712</w:t>
            </w:r>
          </w:p>
        </w:tc>
        <w:tc>
          <w:tcPr>
            <w:tcW w:w="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$29,742,402</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(9,988,957)</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5"/>
              </w:rPr>
              <w:t>(27,751)</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(62,841)</w:t>
            </w:r>
          </w:p>
        </w:tc>
        <w:tc>
          <w:tcPr>
            <w:tcW w:w="22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$19,692,565</w:t>
            </w:r>
          </w:p>
        </w:tc>
        <w:tc>
          <w:tcPr>
            <w:tcW w:w="100" w:type="dxa"/>
            <w:vAlign w:val="bottom"/>
            <w:tcBorders>
              <w:top w:val="single" w:sz="8" w:color="EEEEEE"/>
            </w:tcBorders>
            <w:shd w:val="clear" w:color="auto" w:fill="EEEEEE"/>
          </w:tcPr>
          <w:p>
            <w:pPr>
              <w:spacing w:after="0"/>
              <w:rPr>
                <w:sz w:val="18"/>
                <w:szCs w:val="18"/>
                <w:color w:val="auto"/>
              </w:rPr>
            </w:pPr>
          </w:p>
        </w:tc>
      </w:tr>
      <w:tr>
        <w:trPr>
          <w:trHeight w:val="648"/>
        </w:trPr>
        <w:tc>
          <w:tcPr>
            <w:tcW w:w="3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00" w:type="dxa"/>
            <w:vAlign w:val="bottom"/>
            <w:shd w:val="clear" w:color="auto" w:fill="EEEEEE"/>
          </w:tcPr>
          <w:p>
            <w:pPr>
              <w:spacing w:after="0"/>
              <w:rPr>
                <w:sz w:val="20"/>
                <w:szCs w:val="20"/>
                <w:color w:val="auto"/>
              </w:rPr>
            </w:pPr>
            <w:r>
              <w:rPr>
                <w:rFonts w:ascii="Arial" w:cs="Arial" w:eastAsia="Arial" w:hAnsi="Arial"/>
                <w:sz w:val="18"/>
                <w:szCs w:val="18"/>
                <w:color w:val="auto"/>
              </w:rPr>
              <w:t>Balance, June 30, 2022</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7"/>
              </w:rPr>
              <w:t>29,572,382</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29,573</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w w:val="95"/>
              </w:rPr>
              <w:t>$ 29,111,863</w:t>
            </w:r>
          </w:p>
        </w:tc>
        <w:tc>
          <w:tcPr>
            <w:tcW w:w="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3,262,948</w:t>
            </w:r>
          </w:p>
        </w:tc>
        <w:tc>
          <w:tcPr>
            <w:tcW w:w="120" w:type="dxa"/>
            <w:vAlign w:val="bottom"/>
            <w:shd w:val="clear" w:color="auto" w:fill="EEEEEE"/>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(13,232)</w:t>
            </w:r>
          </w:p>
        </w:tc>
        <w:tc>
          <w:tcPr>
            <w:tcW w:w="24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5,678</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9"/>
              </w:rPr>
              <w:t>$32,396,830</w:t>
            </w:r>
          </w:p>
        </w:tc>
      </w:tr>
      <w:tr>
        <w:trPr>
          <w:trHeight w:val="216"/>
        </w:trPr>
        <w:tc>
          <w:tcPr>
            <w:tcW w:w="350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w w:val="97"/>
              </w:rPr>
              <w:t>(4,182,376)</w:t>
            </w:r>
          </w:p>
        </w:tc>
        <w:tc>
          <w:tcPr>
            <w:tcW w:w="1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(2,805)</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(4,185,181)</w:t>
            </w:r>
          </w:p>
        </w:tc>
      </w:tr>
      <w:tr>
        <w:trPr>
          <w:trHeight w:val="216"/>
        </w:trPr>
        <w:tc>
          <w:tcPr>
            <w:tcW w:w="35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Stock-based compensation</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137,882</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137,882</w:t>
            </w:r>
          </w:p>
        </w:tc>
      </w:tr>
      <w:tr>
        <w:trPr>
          <w:trHeight w:val="229"/>
        </w:trPr>
        <w:tc>
          <w:tcPr>
            <w:tcW w:w="3500" w:type="dxa"/>
            <w:vAlign w:val="bottom"/>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(111,475)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(111,475)</w:t>
            </w:r>
          </w:p>
        </w:tc>
      </w:tr>
      <w:tr>
        <w:trPr>
          <w:trHeight w:val="223"/>
        </w:trPr>
        <w:tc>
          <w:tcPr>
            <w:tcW w:w="3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September 30, 2022, unaudited</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29,572,382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29,573</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29,249,745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(919,428</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(16,037</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(105,797</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28,238,056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2023 and 2022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40" w:type="dxa"/>
            <w:vAlign w:val="bottom"/>
            <w:gridSpan w:val="5"/>
          </w:tcPr>
          <w:p>
            <w:pPr>
              <w:jc w:val="right"/>
              <w:ind w:right="320"/>
              <w:spacing w:after="0"/>
              <w:rPr>
                <w:sz w:val="20"/>
                <w:szCs w:val="20"/>
                <w:color w:val="auto"/>
              </w:rPr>
            </w:pPr>
            <w:r>
              <w:rPr>
                <w:rFonts w:ascii="Arial" w:cs="Arial" w:eastAsia="Arial" w:hAnsi="Arial"/>
                <w:sz w:val="18"/>
                <w:szCs w:val="18"/>
                <w:color w:val="auto"/>
                <w:w w:val="90"/>
              </w:rPr>
              <w:t>For the Three Months Ended September 30,</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(1,289,351)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(4,185,181)</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5"/>
              </w:rPr>
              <w:t>Adjustments to reconcile net (loss) income to cash provided by (used in) operating activities: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201,705</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191,934</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Inventory reserve</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105,192</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74,998</w:t>
            </w: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Loss on equity method investment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Impairment loss - goodwill</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3,060,034</w:t>
            </w: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117,882</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137,882</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Non-cash operating lease expense</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1,829</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10,172</w:t>
            </w: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Amortization of debt premium / discount and non-cash financing costs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53,726</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53,623</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834,261</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(1,557,682)</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5,432,074</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45,084</w:t>
            </w: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Deferred tax assets/liabilities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(277,189)</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(668,075)</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Prepayments and other current assets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1,046,697</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2,280,700</w:t>
            </w: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Non-current prepayments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70,422</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107,917</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9,615</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(1,213,634)</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5,284,843</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Credit cards payable</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326,546</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(656,562)</w:t>
            </w:r>
          </w:p>
        </w:tc>
        <w:tc>
          <w:tcPr>
            <w:tcW w:w="0" w:type="dxa"/>
            <w:vAlign w:val="bottom"/>
          </w:tcPr>
          <w:p>
            <w:pPr>
              <w:spacing w:after="0"/>
              <w:rPr>
                <w:sz w:val="1"/>
                <w:szCs w:val="1"/>
                <w:color w:val="auto"/>
              </w:rPr>
            </w:pPr>
          </w:p>
        </w:tc>
      </w:tr>
      <w:tr>
        <w:trPr>
          <w:trHeight w:val="216"/>
        </w:trPr>
        <w:tc>
          <w:tcPr>
            <w:tcW w:w="7220" w:type="dxa"/>
            <w:vAlign w:val="bottom"/>
          </w:tcPr>
          <w:p>
            <w:pPr>
              <w:ind w:left="540"/>
              <w:spacing w:after="0"/>
              <w:rPr>
                <w:sz w:val="20"/>
                <w:szCs w:val="20"/>
                <w:color w:val="auto"/>
              </w:rPr>
            </w:pPr>
            <w:r>
              <w:rPr>
                <w:rFonts w:ascii="Arial" w:cs="Arial" w:eastAsia="Arial" w:hAnsi="Arial"/>
                <w:sz w:val="18"/>
                <w:szCs w:val="18"/>
                <w:color w:val="auto"/>
              </w:rPr>
              <w:t>Customer deposit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12,231</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75,491</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Other payables and accrued liabilities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(1,379,124)</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(3,856,115)</w:t>
            </w:r>
          </w:p>
        </w:tc>
        <w:tc>
          <w:tcPr>
            <w:tcW w:w="0" w:type="dxa"/>
            <w:vAlign w:val="bottom"/>
          </w:tcPr>
          <w:p>
            <w:pPr>
              <w:spacing w:after="0"/>
              <w:rPr>
                <w:sz w:val="1"/>
                <w:szCs w:val="1"/>
                <w:color w:val="auto"/>
              </w:rPr>
            </w:pPr>
          </w:p>
        </w:tc>
      </w:tr>
      <w:tr>
        <w:trPr>
          <w:trHeight w:val="230"/>
        </w:trPr>
        <w:tc>
          <w:tcPr>
            <w:tcW w:w="7220" w:type="dxa"/>
            <w:vAlign w:val="bottom"/>
          </w:tcPr>
          <w:p>
            <w:pPr>
              <w:ind w:left="5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(1,566)</w:t>
            </w:r>
          </w:p>
        </w:tc>
        <w:tc>
          <w:tcPr>
            <w:tcW w:w="2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(17,534)</w:t>
            </w:r>
          </w:p>
        </w:tc>
        <w:tc>
          <w:tcPr>
            <w:tcW w:w="0" w:type="dxa"/>
            <w:vAlign w:val="bottom"/>
          </w:tcPr>
          <w:p>
            <w:pPr>
              <w:spacing w:after="0"/>
              <w:rPr>
                <w:sz w:val="1"/>
                <w:szCs w:val="1"/>
                <w:color w:val="auto"/>
              </w:rPr>
            </w:pPr>
          </w:p>
        </w:tc>
      </w:tr>
      <w:tr>
        <w:trPr>
          <w:trHeight w:val="210"/>
        </w:trPr>
        <w:tc>
          <w:tcPr>
            <w:tcW w:w="7220" w:type="dxa"/>
            <w:vAlign w:val="bottom"/>
            <w:tcBorders>
              <w:top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4,052,341</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379,025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180"/>
              <w:spacing w:after="0"/>
              <w:rPr>
                <w:sz w:val="20"/>
                <w:szCs w:val="20"/>
                <w:color w:val="auto"/>
              </w:rPr>
            </w:pPr>
            <w:r>
              <w:rPr>
                <w:rFonts w:ascii="Arial" w:cs="Arial" w:eastAsia="Arial" w:hAnsi="Arial"/>
                <w:sz w:val="18"/>
                <w:szCs w:val="18"/>
                <w:color w:val="auto"/>
              </w:rPr>
              <w:t>Purchase of equipment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10"/>
        </w:trPr>
        <w:tc>
          <w:tcPr>
            <w:tcW w:w="722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(57,989)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Proceeds from related parties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(82,500)</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short-term loans – related party</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2,000,000</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31,385</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Payments on short-term loan – related party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short-term loans</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(875,000)</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Proceeds from long-term loans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2,811,729</w:t>
            </w:r>
          </w:p>
        </w:tc>
        <w:tc>
          <w:tcPr>
            <w:tcW w:w="0" w:type="dxa"/>
            <w:vAlign w:val="bottom"/>
          </w:tcPr>
          <w:p>
            <w:pPr>
              <w:spacing w:after="0"/>
              <w:rPr>
                <w:sz w:val="1"/>
                <w:szCs w:val="1"/>
                <w:color w:val="auto"/>
              </w:rPr>
            </w:pPr>
          </w:p>
        </w:tc>
      </w:tr>
      <w:tr>
        <w:trPr>
          <w:trHeight w:val="229"/>
        </w:trPr>
        <w:tc>
          <w:tcPr>
            <w:tcW w:w="7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long-term loans</w:t>
            </w:r>
          </w:p>
        </w:tc>
        <w:tc>
          <w:tcPr>
            <w:tcW w:w="3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(5,200,000)</w:t>
            </w: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Arial" w:cs="Arial" w:eastAsia="Arial" w:hAnsi="Arial"/>
                <w:sz w:val="18"/>
                <w:szCs w:val="18"/>
                <w:color w:val="auto"/>
              </w:rPr>
              <w:t>Net cash (used in ) provided by financing activities</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(5,075,000)</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2,760,614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EFFECT OF EXCHANGE RATE ON CASH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16,178</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(61,451)</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CHANGES IN CASH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(1,006,481)</w:t>
            </w:r>
          </w:p>
        </w:tc>
        <w:tc>
          <w:tcPr>
            <w:tcW w:w="2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3,020,199</w:t>
            </w:r>
          </w:p>
        </w:tc>
        <w:tc>
          <w:tcPr>
            <w:tcW w:w="0" w:type="dxa"/>
            <w:vAlign w:val="bottom"/>
          </w:tcPr>
          <w:p>
            <w:pPr>
              <w:spacing w:after="0"/>
              <w:rPr>
                <w:sz w:val="1"/>
                <w:szCs w:val="1"/>
                <w:color w:val="auto"/>
              </w:rPr>
            </w:pPr>
          </w:p>
        </w:tc>
      </w:tr>
      <w:tr>
        <w:trPr>
          <w:trHeight w:val="216"/>
        </w:trPr>
        <w:tc>
          <w:tcPr>
            <w:tcW w:w="7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CASH AND CASH EQUIVALENT, beginning of period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3,735,642</w:t>
            </w:r>
          </w:p>
        </w:tc>
        <w:tc>
          <w:tcPr>
            <w:tcW w:w="2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1,821,947</w:t>
            </w:r>
          </w:p>
        </w:tc>
        <w:tc>
          <w:tcPr>
            <w:tcW w:w="0" w:type="dxa"/>
            <w:vAlign w:val="bottom"/>
          </w:tcPr>
          <w:p>
            <w:pPr>
              <w:spacing w:after="0"/>
              <w:rPr>
                <w:sz w:val="1"/>
                <w:szCs w:val="1"/>
                <w:color w:val="auto"/>
              </w:rPr>
            </w:pPr>
          </w:p>
        </w:tc>
      </w:tr>
      <w:tr>
        <w:trPr>
          <w:trHeight w:val="209"/>
        </w:trPr>
        <w:tc>
          <w:tcPr>
            <w:tcW w:w="7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220" w:type="dxa"/>
            <w:vAlign w:val="bottom"/>
          </w:tcPr>
          <w:p>
            <w:pPr>
              <w:spacing w:after="0"/>
              <w:rPr>
                <w:sz w:val="20"/>
                <w:szCs w:val="20"/>
                <w:color w:val="auto"/>
              </w:rPr>
            </w:pPr>
            <w:r>
              <w:rPr>
                <w:rFonts w:ascii="Arial" w:cs="Arial" w:eastAsia="Arial" w:hAnsi="Arial"/>
                <w:sz w:val="18"/>
                <w:szCs w:val="18"/>
                <w:color w:val="auto"/>
              </w:rPr>
              <w:t>CASH AND CASH EQUIVALENT, end of period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2,729,161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4,842,146</w:t>
            </w:r>
          </w:p>
        </w:tc>
        <w:tc>
          <w:tcPr>
            <w:tcW w:w="0" w:type="dxa"/>
            <w:vAlign w:val="bottom"/>
          </w:tcPr>
          <w:p>
            <w:pPr>
              <w:spacing w:after="0"/>
              <w:rPr>
                <w:sz w:val="1"/>
                <w:szCs w:val="1"/>
                <w:color w:val="auto"/>
              </w:rPr>
            </w:pPr>
          </w:p>
        </w:tc>
      </w:tr>
      <w:tr>
        <w:trPr>
          <w:trHeight w:val="197"/>
        </w:trPr>
        <w:tc>
          <w:tcPr>
            <w:tcW w:w="722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5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tcBorders>
            <w:shd w:val="clear" w:color="auto" w:fill="EEEEEE"/>
          </w:tcPr>
          <w:p>
            <w:pPr>
              <w:spacing w:after="0"/>
              <w:rPr>
                <w:sz w:val="17"/>
                <w:szCs w:val="17"/>
                <w:color w:val="auto"/>
              </w:rPr>
            </w:pPr>
          </w:p>
        </w:tc>
        <w:tc>
          <w:tcPr>
            <w:tcW w:w="140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for income tax</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0"/>
        </w:trPr>
        <w:tc>
          <w:tcPr>
            <w:tcW w:w="7220" w:type="dxa"/>
            <w:vAlign w:val="bottom"/>
            <w:tcBorders>
              <w:top w:val="single" w:sz="8" w:color="EEEEEE"/>
              <w:bottom w:val="single" w:sz="8" w:color="EEEEEE"/>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top w:val="single" w:sz="8" w:color="EEEEEE"/>
              <w:bottom w:val="single" w:sz="8" w:color="EEEEEE"/>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220" w:type="dxa"/>
            <w:vAlign w:val="bottom"/>
            <w:tcBorders>
              <w:bottom w:val="single" w:sz="8" w:color="EEEEEE"/>
            </w:tcBorders>
            <w:vMerge w:val="continue"/>
          </w:tcPr>
          <w:p>
            <w:pPr>
              <w:spacing w:after="0"/>
              <w:rPr>
                <w:sz w:val="20"/>
                <w:szCs w:val="20"/>
                <w:color w:val="auto"/>
              </w:rPr>
            </w:pPr>
          </w:p>
        </w:tc>
        <w:tc>
          <w:tcPr>
            <w:tcW w:w="340" w:type="dxa"/>
            <w:vAlign w:val="bottom"/>
            <w:tcBorders>
              <w:bottom w:val="single" w:sz="8" w:color="EEEEEE"/>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EEEEEE"/>
            </w:tcBorders>
            <w:vMerge w:val="continue"/>
          </w:tcPr>
          <w:p>
            <w:pPr>
              <w:spacing w:after="0"/>
              <w:rPr>
                <w:sz w:val="20"/>
                <w:szCs w:val="20"/>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5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20" w:type="dxa"/>
            <w:vAlign w:val="bottom"/>
          </w:tcPr>
          <w:p>
            <w:pPr>
              <w:spacing w:after="0" w:line="201" w:lineRule="exact"/>
              <w:rPr>
                <w:sz w:val="20"/>
                <w:szCs w:val="20"/>
                <w:color w:val="auto"/>
              </w:rPr>
            </w:pPr>
            <w:r>
              <w:rPr>
                <w:rFonts w:ascii="Arial" w:cs="Arial" w:eastAsia="Arial" w:hAnsi="Arial"/>
                <w:sz w:val="18"/>
                <w:szCs w:val="18"/>
                <w:color w:val="auto"/>
              </w:rPr>
              <w:t>SUPPLEMENTAL DISCLOSURE OF NON-CASH INVESTING AND FINANCING</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TRANSACTIONS: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Right of use assets acquired under new operating leases</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613,980</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713"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2023 and June 30, 2023 and for the Three Months Ended September 30, 2023 and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 owned subsidiary.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2024, or for any other interim period or for any other future year. All intercompany balances and transactions have been eliminated in consolidation.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Company’s audited consolidated financial statements and the notes thereto included in the Annual Report for the year ended June 30, 2023, which are included in Form 10-K filed with the SEC on September 14,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Emerging Growth Company Status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and assumptions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Foreign currency translation and transactions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 sheet amounts of the VIE, with the exception of equity, on September 30, 2023, were translated at 7.2948 RMB to $1.00. The equity accounts were stated at their historical rates. The average translation rates applied to statements of operations and comprehensive income (loss) accounts for the three months ended September 30, 2023 was 7.2406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fails to comply with its payment schedule;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is in serious financial difficulty;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dispute with the customer has occurred regarding job progress or other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breaches any of its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appears to be financially distressed due to economic or legal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between the customer and the Company is not active;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objective evidence indicates non-collectability of the accounts receivable.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15, 2022, the Company acquired 100% of the ordinary shares of Anivia and its subsidiaries, including the VIE.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regarding the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regarding the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Goodwill represents the excess of the purchase price over the fair value of assets acquired and liabilities assumed. The Company accounts for goodwill under </w:t>
      </w:r>
      <w:r>
        <w:rPr>
          <w:rFonts w:ascii="Arial" w:cs="Arial" w:eastAsia="Arial" w:hAnsi="Arial"/>
          <w:sz w:val="18"/>
          <w:szCs w:val="18"/>
          <w:i w:val="1"/>
          <w:iCs w:val="1"/>
          <w:color w:val="auto"/>
        </w:rPr>
        <w:t>ASC Topic 350, Intangibles-Goodwill and Other</w:t>
      </w:r>
      <w:r>
        <w:rPr>
          <w:rFonts w:ascii="Arial" w:cs="Arial" w:eastAsia="Arial" w:hAnsi="Arial"/>
          <w:sz w:val="18"/>
          <w:szCs w:val="18"/>
          <w:color w:val="auto"/>
        </w:rPr>
        <w: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quarter ended September 30, 2022. The Company also considered the Market Capital Method, which is an alternative market approach, suggested the Company’s goodwill is partially impaired.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During the period ended September 30, 2023, the Company performed a qualitative goodwill impairment analysis following the steps laid out in ASC 350-20-35-3C and noted no goodwill impairment. As of September 30, 2023 and 2022, the goodwill balance amounted to $3,034,110 and $3,034,110,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Finite life intangible assets at September 30, 2023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Borders>
              <w:bottom w:val="single" w:sz="8" w:color="EEEEEE"/>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r>
      <w:tr>
        <w:trPr>
          <w:trHeight w:val="210"/>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Covenant Not to Compete</w:t>
            </w:r>
          </w:p>
        </w:tc>
        <w:tc>
          <w:tcPr>
            <w:tcW w:w="1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Supplier relationship</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6 years</w:t>
            </w:r>
          </w:p>
        </w:tc>
      </w:tr>
      <w:tr>
        <w:trPr>
          <w:trHeight w:val="216"/>
        </w:trPr>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Software</w:t>
            </w:r>
          </w:p>
        </w:tc>
        <w:tc>
          <w:tcPr>
            <w:tcW w:w="1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September 30, 2023 and 2022, there were no indicators of impairment.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assets and liabilities approximate fair values due to their short-term nature.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On February 15, 2022, the Company evaluated the fair value of the Purchase Note to be $3.6 million using the following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shd w:val="clear" w:color="auto" w:fill="EEEEEE"/>
          </w:tcPr>
          <w:p>
            <w:pPr>
              <w:spacing w:after="0"/>
              <w:rPr>
                <w:sz w:val="20"/>
                <w:szCs w:val="20"/>
                <w:color w:val="auto"/>
              </w:rPr>
            </w:pPr>
            <w:r>
              <w:rPr>
                <w:rFonts w:ascii="Arial" w:cs="Arial" w:eastAsia="Arial" w:hAnsi="Arial"/>
                <w:sz w:val="18"/>
                <w:szCs w:val="18"/>
                <w:color w:val="auto"/>
              </w:rPr>
              <w:t>Corporate bond yield</w:t>
            </w:r>
          </w:p>
        </w:tc>
        <w:tc>
          <w:tcPr>
            <w:tcW w:w="3440" w:type="dxa"/>
            <w:vAlign w:val="bottom"/>
            <w:shd w:val="clear" w:color="auto" w:fill="EEEEEE"/>
          </w:tcPr>
          <w:p>
            <w:pPr>
              <w:jc w:val="right"/>
              <w:ind w:right="1210"/>
              <w:spacing w:after="0"/>
              <w:rPr>
                <w:sz w:val="20"/>
                <w:szCs w:val="20"/>
                <w:color w:val="auto"/>
              </w:rPr>
            </w:pPr>
            <w:r>
              <w:rPr>
                <w:rFonts w:ascii="Arial" w:cs="Arial" w:eastAsia="Arial" w:hAnsi="Arial"/>
                <w:sz w:val="18"/>
                <w:szCs w:val="18"/>
                <w:color w:val="auto"/>
              </w:rPr>
              <w:t>3.1%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Risk-free rate</w:t>
            </w:r>
          </w:p>
        </w:tc>
        <w:tc>
          <w:tcPr>
            <w:tcW w:w="3440" w:type="dxa"/>
            <w:vAlign w:val="bottom"/>
          </w:tcPr>
          <w:p>
            <w:pPr>
              <w:jc w:val="right"/>
              <w:ind w:right="1210"/>
              <w:spacing w:after="0"/>
              <w:rPr>
                <w:sz w:val="20"/>
                <w:szCs w:val="20"/>
                <w:color w:val="auto"/>
              </w:rPr>
            </w:pPr>
            <w:r>
              <w:rPr>
                <w:rFonts w:ascii="Arial" w:cs="Arial" w:eastAsia="Arial" w:hAnsi="Arial"/>
                <w:sz w:val="18"/>
                <w:szCs w:val="18"/>
                <w:color w:val="auto"/>
              </w:rPr>
              <w:t>1.6%</w:t>
            </w:r>
          </w:p>
        </w:tc>
      </w:tr>
      <w:tr>
        <w:trPr>
          <w:trHeight w:val="216"/>
        </w:trPr>
        <w:tc>
          <w:tcPr>
            <w:tcW w:w="3300" w:type="dxa"/>
            <w:vAlign w:val="bottom"/>
            <w:shd w:val="clear" w:color="auto" w:fill="EEEEEE"/>
          </w:tcPr>
          <w:p>
            <w:pPr>
              <w:spacing w:after="0"/>
              <w:rPr>
                <w:sz w:val="20"/>
                <w:szCs w:val="20"/>
                <w:color w:val="auto"/>
              </w:rPr>
            </w:pPr>
            <w:r>
              <w:rPr>
                <w:rFonts w:ascii="Arial" w:cs="Arial" w:eastAsia="Arial" w:hAnsi="Arial"/>
                <w:sz w:val="18"/>
                <w:szCs w:val="18"/>
                <w:color w:val="auto"/>
              </w:rPr>
              <w:t>Liquidity premium</w:t>
            </w:r>
          </w:p>
        </w:tc>
        <w:tc>
          <w:tcPr>
            <w:tcW w:w="3440" w:type="dxa"/>
            <w:vAlign w:val="bottom"/>
            <w:shd w:val="clear" w:color="auto" w:fill="EEEEEE"/>
          </w:tcPr>
          <w:p>
            <w:pPr>
              <w:jc w:val="right"/>
              <w:ind w:right="1210"/>
              <w:spacing w:after="0"/>
              <w:rPr>
                <w:sz w:val="20"/>
                <w:szCs w:val="20"/>
                <w:color w:val="auto"/>
              </w:rPr>
            </w:pPr>
            <w:r>
              <w:rPr>
                <w:rFonts w:ascii="Arial" w:cs="Arial" w:eastAsia="Arial" w:hAnsi="Arial"/>
                <w:sz w:val="18"/>
                <w:szCs w:val="18"/>
                <w:color w:val="auto"/>
              </w:rPr>
              <w:t>0.4%</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Discount rate</w:t>
            </w:r>
          </w:p>
        </w:tc>
        <w:tc>
          <w:tcPr>
            <w:tcW w:w="3440" w:type="dxa"/>
            <w:vAlign w:val="bottom"/>
          </w:tcPr>
          <w:p>
            <w:pPr>
              <w:jc w:val="right"/>
              <w:ind w:right="1210"/>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2023, the outstanding balance of the Purchase Note was $1,149,961, including principal due of $875,000, a premium of $19,023, and $255,938 of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does not have any assets or liabilities measured at fair value on a recurring basis. We measure certain non-financial assets on a non-recurring basis, including goodwill. As a result of those measurements, we recognized an impairment charge of $3.1 million during the year ended June 30, 2023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Total</w:t>
            </w:r>
          </w:p>
        </w:tc>
      </w:t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Total Fair</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Impairment</w:t>
            </w:r>
          </w:p>
        </w:tc>
      </w:tr>
      <w:tr>
        <w:trPr>
          <w:trHeight w:val="230"/>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color w:val="auto"/>
              </w:rPr>
              <w:t>Value</w:t>
            </w:r>
          </w:p>
        </w:tc>
        <w:tc>
          <w:tcPr>
            <w:tcW w:w="2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340"/>
              <w:spacing w:after="0"/>
              <w:rPr>
                <w:sz w:val="20"/>
                <w:szCs w:val="20"/>
                <w:color w:val="auto"/>
              </w:rPr>
            </w:pPr>
            <w:r>
              <w:rPr>
                <w:rFonts w:ascii="Arial" w:cs="Arial" w:eastAsia="Arial" w:hAnsi="Arial"/>
                <w:sz w:val="18"/>
                <w:szCs w:val="18"/>
                <w:color w:val="auto"/>
              </w:rPr>
              <w:t>Loss</w:t>
            </w:r>
          </w:p>
        </w:tc>
      </w:tr>
      <w:tr>
        <w:trPr>
          <w:trHeight w:val="209"/>
        </w:trPr>
        <w:tc>
          <w:tcPr>
            <w:tcW w:w="3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3,034,110</w:t>
            </w:r>
          </w:p>
        </w:tc>
        <w:tc>
          <w:tcPr>
            <w:tcW w:w="2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ind w:left="102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ind w:left="100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3,034,110</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3,060,034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3,034,110</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100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3,034,110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3,060,034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with a total carrying value of $6.1 million, was written down to its fair value of $3.0 million, resulting in an impairment charge of $3,060,034, which was recorded in earnings for the year ended June 30, 2023. 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Total advertising and promotional costs included in selling and fulfillment expenses for the three months ended September 30, 2023 and 2022 were $1,570,742 and $1,166,349,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which consist of selling and fulfillment and general and administrative expenses,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net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three months ended September 30, 2023 and 2022, sales through Amazon to Canada and other foreign countries were approximately 8.2% and 9.8% of the Company’s total sales. During the three months ended September 30, 2023, sales of hydroponic products, including ventilation and grow light systems, was approximately 16.8% of the Company’s total sales and the remaining 83.2% consisted of general gardening, home goods, and other products and accessories. During the three months ended September 30, 2022, sales of hydroponic products, including ventilation and grow light systems, were approximately 53% of the Company’s total sales and the remaining 47% consisted of general gardening, home goods and other products and accessories. As of September 30, 2023 and June 30, 2023, the Company had approximately $1.4 million and $1.6 million of inventory stored in China. The Company’s majority of long-lived assets are located in California, United States, majority of the deferred tax assets are US related, and a majority of the Company’s revenues are derived from within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right-of-use (“ROU”) assets and related lease obligations on the balance sheet.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adoption of this standard did not have a material impact on the Company’s consolidated financial statements.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its consolidated financial statements.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its consolidated financial statements.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the disclosures above on Goodwill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unaudited condensed consolidated financial statements are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Box Harmony, LLC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Global Social Media, LLC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operations.For the three months ended September 30, 2023 and 2022, the impact of GSM’s activities were immaterial to the Company’s unaudited condensed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 of Anivia Limited and Subsidiaries and Variable Interest Entity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shall consist of a management fee and a fee for services provided, which shall be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 services in the PRC.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fair value of the consideration for the transaction was $10,629,000, which was paid to White Cherry as follows: at closing, the Company (i) paid $3,500,000 in the form of a two-year unsecured 6% subordinated promissory note, payable in equal semi-annual installments commencing August 15, 2022 (the “Purchase Note”), (ii) issued 3,083,700 restricted shares (subject to a lock-up period of 180 days and insider trading rules) of the Company’s common stock, and (iii) an additional $1,500,000 in cash was to be paid after closing.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Limited, Fly Elephant Limited and the WFOE.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7, 2022, in conjunction with the Company’s entry into the Second Amendment to the Credit Agreement, the Company’s promissory note holder, White Cherry Limited, an exempted company incorporated under the laws of the British Virgin Islands (“White Cherry”), entered into an amendment (the “Amendment”) to the subordination agreement, originally dated March 9, 2022 (the “Subordination Agreement”). The Amendment to the Subordination Agreement was amended solely for purposes of adjusting the definition of payment conditions under Section 2 of the Subordination Agreement such that “payment conditions” shall be deemed satisfied in connection with a permitted payment if (a) no event of default has occurred under the credit agreement and is continuing and (b) the Company shall have Excess Availability in the 30 days prior to the payment (as defined in the Second Amendment to the Credit Agreement) of no less than $7,500,000.</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in conjunction with the closing of the transaction, the WFOE entered into an employment agreement with Li Zanyu, dated February 15, 2022 (the “Employment Agreement”), pursuant to which Mr. Li has been appointed to serve as general manager of the WFOE for a term of 10 years (through February 14, 2032), with annual base compensation of up to 500,000 RMB plus bonus as may be determined by the WFOE from time to time, in its sole discretion, based on Mr. Li’s performance. During such employment, Mr. Li may not engage in other employment without the consent of the WFOE.</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 and software. The fair value of the remaining assets acquired and liabilities assumed were not significantly different from their carrying values at the acquisition date. In addition, pursuant to the Transfer Agreement, the Sellers made certain representations and warranties, including that other than the items presented on the balance sheet on February 15, 2022, DHS, the operating VIE, was not subject to any loans, debts, liabilities, guarantees or other contingent liabilities at the Closing date. In the event of any breach of any of the representations and warranties, the sellers shall bear joint and several liability for any direct or indirect losses suffered by the Company as a result thereof. The Company recognized an approximately $6.1 million of goodwill in the transaction, which is primarily due to the subsumed assembled workforce intangible assets. Goodwill is not deductible for income tax purposes. The Company expensed with the acquisition, certain legal and accounting costs of $54,702, as general and administration expenses and $50,000 paid to JPM as financing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The following information summarizes the purchase consideration and allocation of the fair values assigned to the assets at the purchase date, February 15,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Arial" w:cs="Arial" w:eastAsia="Arial" w:hAnsi="Arial"/>
                <w:sz w:val="18"/>
                <w:szCs w:val="18"/>
                <w:b w:val="1"/>
                <w:bCs w:val="1"/>
                <w:color w:val="auto"/>
              </w:rPr>
              <w:t>Fair Value of Purchase Price:</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w:t>
            </w:r>
          </w:p>
        </w:tc>
        <w:tc>
          <w:tcPr>
            <w:tcW w:w="480" w:type="dxa"/>
            <w:vAlign w:val="bottom"/>
            <w:shd w:val="clear" w:color="auto" w:fill="EEEEEE"/>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EEEEEE"/>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Promissory note issued</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3,600,627</w:t>
            </w:r>
          </w:p>
        </w:tc>
        <w:tc>
          <w:tcPr>
            <w:tcW w:w="80" w:type="dxa"/>
            <w:vAlign w:val="bottom"/>
          </w:tcPr>
          <w:p>
            <w:pPr>
              <w:spacing w:after="0"/>
              <w:rPr>
                <w:sz w:val="18"/>
                <w:szCs w:val="18"/>
                <w:color w:val="auto"/>
              </w:rPr>
            </w:pPr>
          </w:p>
        </w:tc>
      </w:tr>
      <w:tr>
        <w:trPr>
          <w:trHeight w:val="230"/>
        </w:trPr>
        <w:tc>
          <w:tcPr>
            <w:tcW w:w="9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issued</w:t>
            </w:r>
          </w:p>
        </w:tc>
        <w:tc>
          <w:tcPr>
            <w:tcW w:w="48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5,528,373</w:t>
            </w:r>
          </w:p>
        </w:tc>
        <w:tc>
          <w:tcPr>
            <w:tcW w:w="80" w:type="dxa"/>
            <w:vAlign w:val="bottom"/>
            <w:shd w:val="clear" w:color="auto" w:fill="EEEEEE"/>
          </w:tcPr>
          <w:p>
            <w:pPr>
              <w:spacing w:after="0"/>
              <w:rPr>
                <w:sz w:val="19"/>
                <w:szCs w:val="19"/>
                <w:color w:val="auto"/>
              </w:rPr>
            </w:pPr>
          </w:p>
        </w:tc>
      </w:tr>
      <w:tr>
        <w:trPr>
          <w:trHeight w:val="263"/>
        </w:trPr>
        <w:tc>
          <w:tcPr>
            <w:tcW w:w="94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purchase consideration</w:t>
            </w: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10,629,000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946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Covenant not to compete</w:t>
            </w:r>
          </w:p>
        </w:tc>
        <w:tc>
          <w:tcPr>
            <w:tcW w:w="480" w:type="dxa"/>
            <w:vAlign w:val="bottom"/>
            <w:shd w:val="clear" w:color="auto" w:fill="EEEEEE"/>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3,459,120</w:t>
            </w:r>
          </w:p>
        </w:tc>
        <w:tc>
          <w:tcPr>
            <w:tcW w:w="80" w:type="dxa"/>
            <w:vAlign w:val="bottom"/>
            <w:shd w:val="clear" w:color="auto" w:fill="EEEEEE"/>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Supplier relationship</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1,179,246</w:t>
            </w:r>
          </w:p>
        </w:tc>
        <w:tc>
          <w:tcPr>
            <w:tcW w:w="80" w:type="dxa"/>
            <w:vAlign w:val="bottom"/>
          </w:tcPr>
          <w:p>
            <w:pPr>
              <w:spacing w:after="0"/>
              <w:rPr>
                <w:sz w:val="18"/>
                <w:szCs w:val="18"/>
                <w:color w:val="auto"/>
              </w:rPr>
            </w:pPr>
          </w:p>
        </w:tc>
      </w:tr>
      <w:tr>
        <w:trPr>
          <w:trHeight w:val="216"/>
        </w:trPr>
        <w:tc>
          <w:tcPr>
            <w:tcW w:w="9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Software</w:t>
            </w:r>
          </w:p>
        </w:tc>
        <w:tc>
          <w:tcPr>
            <w:tcW w:w="4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534,591</w:t>
            </w:r>
          </w:p>
        </w:tc>
        <w:tc>
          <w:tcPr>
            <w:tcW w:w="80" w:type="dxa"/>
            <w:vAlign w:val="bottom"/>
            <w:shd w:val="clear" w:color="auto" w:fill="EEEEEE"/>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1,784,113</w:t>
            </w:r>
          </w:p>
        </w:tc>
        <w:tc>
          <w:tcPr>
            <w:tcW w:w="80" w:type="dxa"/>
            <w:vAlign w:val="bottom"/>
          </w:tcPr>
          <w:p>
            <w:pPr>
              <w:spacing w:after="0"/>
              <w:rPr>
                <w:sz w:val="18"/>
                <w:szCs w:val="18"/>
                <w:color w:val="auto"/>
              </w:rPr>
            </w:pPr>
          </w:p>
        </w:tc>
      </w:tr>
      <w:tr>
        <w:trPr>
          <w:trHeight w:val="216"/>
        </w:trPr>
        <w:tc>
          <w:tcPr>
            <w:tcW w:w="9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Property and equipment</w:t>
            </w:r>
          </w:p>
        </w:tc>
        <w:tc>
          <w:tcPr>
            <w:tcW w:w="4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46,548</w:t>
            </w:r>
          </w:p>
        </w:tc>
        <w:tc>
          <w:tcPr>
            <w:tcW w:w="80" w:type="dxa"/>
            <w:vAlign w:val="bottom"/>
            <w:shd w:val="clear" w:color="auto" w:fill="EEEEEE"/>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Rent deposit</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52,707</w:t>
            </w:r>
          </w:p>
        </w:tc>
        <w:tc>
          <w:tcPr>
            <w:tcW w:w="80" w:type="dxa"/>
            <w:vAlign w:val="bottom"/>
          </w:tcPr>
          <w:p>
            <w:pPr>
              <w:spacing w:after="0"/>
              <w:rPr>
                <w:sz w:val="18"/>
                <w:szCs w:val="18"/>
                <w:color w:val="auto"/>
              </w:rPr>
            </w:pPr>
          </w:p>
        </w:tc>
      </w:tr>
      <w:tr>
        <w:trPr>
          <w:trHeight w:val="216"/>
        </w:trPr>
        <w:tc>
          <w:tcPr>
            <w:tcW w:w="9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ROU asset</w:t>
            </w:r>
          </w:p>
        </w:tc>
        <w:tc>
          <w:tcPr>
            <w:tcW w:w="48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234,578</w:t>
            </w:r>
          </w:p>
        </w:tc>
        <w:tc>
          <w:tcPr>
            <w:tcW w:w="80" w:type="dxa"/>
            <w:vAlign w:val="bottom"/>
            <w:shd w:val="clear" w:color="auto" w:fill="EEEEEE"/>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6,094,144</w:t>
            </w:r>
          </w:p>
        </w:tc>
        <w:tc>
          <w:tcPr>
            <w:tcW w:w="80" w:type="dxa"/>
            <w:vAlign w:val="bottom"/>
          </w:tcPr>
          <w:p>
            <w:pPr>
              <w:spacing w:after="0"/>
              <w:rPr>
                <w:sz w:val="18"/>
                <w:szCs w:val="18"/>
                <w:color w:val="auto"/>
              </w:rPr>
            </w:pPr>
          </w:p>
        </w:tc>
      </w:tr>
      <w:tr>
        <w:trPr>
          <w:trHeight w:val="216"/>
        </w:trPr>
        <w:tc>
          <w:tcPr>
            <w:tcW w:w="9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(1,389,113)</w:t>
            </w:r>
          </w:p>
        </w:tc>
      </w:tr>
      <w:tr>
        <w:trPr>
          <w:trHeight w:val="216"/>
        </w:trPr>
        <w:tc>
          <w:tcPr>
            <w:tcW w:w="94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(1,143,076)</w:t>
            </w:r>
          </w:p>
        </w:tc>
      </w:tr>
      <w:tr>
        <w:trPr>
          <w:trHeight w:val="229"/>
        </w:trPr>
        <w:tc>
          <w:tcPr>
            <w:tcW w:w="94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Lease liability</w:t>
            </w:r>
          </w:p>
        </w:tc>
        <w:tc>
          <w:tcPr>
            <w:tcW w:w="480" w:type="dxa"/>
            <w:vAlign w:val="bottom"/>
            <w:shd w:val="clear" w:color="auto" w:fill="EEEEEE"/>
          </w:tcPr>
          <w:p>
            <w:pPr>
              <w:spacing w:after="0"/>
              <w:rPr>
                <w:sz w:val="19"/>
                <w:szCs w:val="19"/>
                <w:color w:val="auto"/>
              </w:rPr>
            </w:pPr>
          </w:p>
        </w:tc>
        <w:tc>
          <w:tcPr>
            <w:tcW w:w="13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(223,858)</w:t>
            </w:r>
          </w:p>
        </w:tc>
      </w:tr>
      <w:tr>
        <w:trPr>
          <w:trHeight w:val="223"/>
        </w:trPr>
        <w:tc>
          <w:tcPr>
            <w:tcW w:w="946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October 2022, the $1.5 million cash portion of the consideration, which was presented as investment payable, was fully paid 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Anivia since February 16, 2022 have been included in the Company's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Variable interest entity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February 15, 2022, upon acquisition of Anivia, the Company assumed the contractual arrangements between the WFOE and DHS through a variable interest operating entity structure. See Note 4 for details.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provide financial or other support to the VIE for the periods presented where the Company was not otherwise contractually required to provide such support.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and 2022, there was no pledge or collateralization of the VIE assets that would be used to settle obligations of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342" w:lineRule="auto"/>
        <w:rPr>
          <w:sz w:val="20"/>
          <w:szCs w:val="20"/>
          <w:color w:val="auto"/>
        </w:rPr>
      </w:pPr>
      <w:r>
        <w:rPr>
          <w:rFonts w:ascii="Arial" w:cs="Arial" w:eastAsia="Arial" w:hAnsi="Arial"/>
          <w:sz w:val="16"/>
          <w:szCs w:val="16"/>
          <w:color w:val="auto"/>
        </w:rPr>
        <w:t>The carrying amounts of the assets, liabilities and the results of operations of the VIE included in the Company’s unaudited condensed consolidated balance sheets and statements of operations and comprehensive income after the elimination of intercompany balances and transactions with the VIE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w w:val="95"/>
              </w:rPr>
              <w:t>The carrying amount of the VIE’s assets and liabilities were as follows for the periods indicated: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2023</w:t>
            </w:r>
          </w:p>
        </w:tc>
      </w:tr>
      <w:tr>
        <w:trPr>
          <w:trHeight w:val="210"/>
        </w:trPr>
        <w:tc>
          <w:tcPr>
            <w:tcW w:w="7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in bank</w:t>
            </w:r>
          </w:p>
        </w:tc>
        <w:tc>
          <w:tcPr>
            <w:tcW w:w="28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308,366</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341,774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Prepayments and other receivables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421,006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664,886</w:t>
            </w: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Rent deposit</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72,009</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81,624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Office equipment, net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28,751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33,774</w:t>
            </w: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Right of use – noncurrent</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573,259</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6,104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64,510</w:t>
            </w: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Advance from shareholders</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84,718</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85,200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6,278</w:t>
            </w: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576,827</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4,758</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Income tax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275,117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276,683</w:t>
            </w:r>
          </w:p>
        </w:tc>
      </w:tr>
      <w:tr>
        <w:trPr>
          <w:trHeight w:val="216"/>
        </w:trPr>
        <w:tc>
          <w:tcPr>
            <w:tcW w:w="7280" w:type="dxa"/>
            <w:vAlign w:val="bottom"/>
            <w:shd w:val="clear" w:color="auto" w:fill="EEEEEE"/>
          </w:tcPr>
          <w:p>
            <w:pPr>
              <w:spacing w:after="0"/>
              <w:rPr>
                <w:sz w:val="20"/>
                <w:szCs w:val="20"/>
                <w:color w:val="auto"/>
              </w:rPr>
            </w:pPr>
            <w:r>
              <w:rPr>
                <w:rFonts w:ascii="Arial" w:cs="Arial" w:eastAsia="Arial" w:hAnsi="Arial"/>
                <w:sz w:val="18"/>
                <w:szCs w:val="18"/>
                <w:color w:val="auto"/>
              </w:rPr>
              <w:t>Other payables and accrued liabilities</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411,018</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344,735</w:t>
            </w:r>
          </w:p>
        </w:tc>
      </w:tr>
      <w:tr>
        <w:trPr>
          <w:trHeight w:val="432"/>
        </w:trPr>
        <w:tc>
          <w:tcPr>
            <w:tcW w:w="7280" w:type="dxa"/>
            <w:vAlign w:val="bottom"/>
          </w:tcPr>
          <w:p>
            <w:pPr>
              <w:spacing w:after="0"/>
              <w:rPr>
                <w:sz w:val="20"/>
                <w:szCs w:val="20"/>
                <w:color w:val="auto"/>
              </w:rPr>
            </w:pPr>
            <w:r>
              <w:rPr>
                <w:rFonts w:ascii="Arial" w:cs="Arial" w:eastAsia="Arial" w:hAnsi="Arial"/>
                <w:sz w:val="18"/>
                <w:szCs w:val="18"/>
                <w:color w:val="auto"/>
                <w:w w:val="93"/>
              </w:rPr>
              <w:t>The operating results of the VIE were as follows for the three months ended September 30, 2023: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September 30, 2023</w:t>
            </w:r>
          </w:p>
        </w:tc>
        <w:tc>
          <w:tcPr>
            <w:tcW w:w="0" w:type="dxa"/>
            <w:vAlign w:val="bottom"/>
          </w:tcPr>
          <w:p>
            <w:pPr>
              <w:spacing w:after="0"/>
              <w:rPr>
                <w:sz w:val="1"/>
                <w:szCs w:val="1"/>
                <w:color w:val="auto"/>
              </w:rPr>
            </w:pP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Net loss after elimination of intercompany transactions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419,343</w:t>
            </w:r>
          </w:p>
        </w:tc>
        <w:tc>
          <w:tcPr>
            <w:tcW w:w="0" w:type="dxa"/>
            <w:vAlign w:val="bottom"/>
          </w:tcPr>
          <w:p>
            <w:pPr>
              <w:spacing w:after="0"/>
              <w:rPr>
                <w:sz w:val="1"/>
                <w:szCs w:val="1"/>
                <w:color w:val="auto"/>
              </w:rPr>
            </w:pPr>
          </w:p>
        </w:tc>
      </w:tr>
      <w:tr>
        <w:trPr>
          <w:trHeight w:val="418"/>
        </w:trPr>
        <w:tc>
          <w:tcPr>
            <w:tcW w:w="9460" w:type="dxa"/>
            <w:vAlign w:val="bottom"/>
          </w:tcPr>
          <w:p>
            <w:pPr>
              <w:spacing w:after="0"/>
              <w:rPr>
                <w:sz w:val="20"/>
                <w:szCs w:val="20"/>
                <w:color w:val="auto"/>
              </w:rPr>
            </w:pPr>
            <w:r>
              <w:rPr>
                <w:rFonts w:ascii="Arial" w:cs="Arial" w:eastAsia="Arial" w:hAnsi="Arial"/>
                <w:sz w:val="18"/>
                <w:szCs w:val="18"/>
                <w:color w:val="auto"/>
              </w:rPr>
              <w:t>The operating results of the VIE were as follows for the three months ended September 30, 2022 :</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6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4"/>
                <w:szCs w:val="24"/>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2022</w:t>
            </w:r>
          </w:p>
        </w:tc>
        <w:tc>
          <w:tcPr>
            <w:tcW w:w="0" w:type="dxa"/>
            <w:vAlign w:val="bottom"/>
          </w:tcPr>
          <w:p>
            <w:pPr>
              <w:spacing w:after="0"/>
              <w:rPr>
                <w:sz w:val="1"/>
                <w:szCs w:val="1"/>
                <w:color w:val="auto"/>
              </w:rPr>
            </w:pPr>
          </w:p>
        </w:tc>
      </w:tr>
      <w:tr>
        <w:trPr>
          <w:trHeight w:val="195"/>
        </w:trPr>
        <w:tc>
          <w:tcPr>
            <w:tcW w:w="9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Net loss after elimination of intercompany transactions</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733,617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months ended September 30, 2023, the VIE contributed approximately $2.1 million of revenue and $0.05 million of net loss before elimination. For the three months ended September 30, 2022, the VIE contributed approximately $3.2 million of revenue and $0.6 million of net loss before elimination.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Note 6 – Accounts receivable, net</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60" w:type="dxa"/>
            <w:vAlign w:val="bottom"/>
          </w:tcPr>
          <w:p>
            <w:pPr>
              <w:spacing w:after="0"/>
              <w:rPr>
                <w:sz w:val="20"/>
                <w:szCs w:val="20"/>
                <w:color w:val="auto"/>
              </w:rPr>
            </w:pPr>
            <w:r>
              <w:rPr>
                <w:rFonts w:ascii="Arial" w:cs="Arial" w:eastAsia="Arial" w:hAnsi="Arial"/>
                <w:sz w:val="18"/>
                <w:szCs w:val="18"/>
                <w:color w:val="auto"/>
                <w:w w:val="98"/>
              </w:rPr>
              <w:t>Accounts receivable for the Company consisted of the following as of the dates indicated below:</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4"/>
                <w:szCs w:val="24"/>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June 30, 2023</w:t>
            </w:r>
          </w:p>
        </w:tc>
      </w:tr>
      <w:tr>
        <w:trPr>
          <w:trHeight w:val="209"/>
        </w:trPr>
        <w:tc>
          <w:tcPr>
            <w:tcW w:w="75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13,307,282</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14,141,543</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8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(70,000)</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r>
      <w:tr>
        <w:trPr>
          <w:trHeight w:val="223"/>
        </w:trPr>
        <w:tc>
          <w:tcPr>
            <w:tcW w:w="7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receivable</w:t>
            </w: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13,237,282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14,071,543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The changes in allowance for credit losses on accounts receivable are summarized below:</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9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Allowance for</w:t>
            </w:r>
          </w:p>
        </w:tc>
      </w:tr>
      <w:tr>
        <w:trPr>
          <w:trHeight w:val="230"/>
        </w:trPr>
        <w:tc>
          <w:tcPr>
            <w:tcW w:w="9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Credit Losses</w:t>
            </w:r>
          </w:p>
        </w:tc>
      </w:tr>
      <w:tr>
        <w:trPr>
          <w:trHeight w:val="216"/>
        </w:trPr>
        <w:tc>
          <w:tcPr>
            <w:tcW w:w="9460" w:type="dxa"/>
            <w:vAlign w:val="bottom"/>
            <w:shd w:val="clear" w:color="auto" w:fill="EEEEEE"/>
          </w:tcPr>
          <w:p>
            <w:pPr>
              <w:spacing w:after="0"/>
              <w:rPr>
                <w:sz w:val="20"/>
                <w:szCs w:val="20"/>
                <w:color w:val="auto"/>
              </w:rPr>
            </w:pPr>
            <w:r>
              <w:rPr>
                <w:rFonts w:ascii="Arial" w:cs="Arial" w:eastAsia="Arial" w:hAnsi="Arial"/>
                <w:sz w:val="18"/>
                <w:szCs w:val="18"/>
                <w:color w:val="auto"/>
              </w:rPr>
              <w:t>Balance at June 30, 2022</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70,000</w:t>
            </w:r>
          </w:p>
        </w:tc>
      </w:tr>
      <w:tr>
        <w:trPr>
          <w:trHeight w:val="229"/>
        </w:trPr>
        <w:tc>
          <w:tcPr>
            <w:tcW w:w="9460" w:type="dxa"/>
            <w:vAlign w:val="bottom"/>
          </w:tcPr>
          <w:p>
            <w:pPr>
              <w:spacing w:after="0"/>
              <w:rPr>
                <w:sz w:val="20"/>
                <w:szCs w:val="20"/>
                <w:color w:val="auto"/>
              </w:rPr>
            </w:pPr>
            <w:r>
              <w:rPr>
                <w:rFonts w:ascii="Arial" w:cs="Arial" w:eastAsia="Arial" w:hAnsi="Arial"/>
                <w:sz w:val="18"/>
                <w:szCs w:val="18"/>
                <w:color w:val="auto"/>
              </w:rPr>
              <w:t>Allowance recorded during the three months ended September 30, 2022</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September 30, 2022</w:t>
            </w: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9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shd w:val="clear" w:color="auto" w:fill="EEEEEE"/>
          </w:tcPr>
          <w:p>
            <w:pPr>
              <w:spacing w:after="0"/>
              <w:rPr>
                <w:sz w:val="20"/>
                <w:szCs w:val="20"/>
                <w:color w:val="auto"/>
              </w:rPr>
            </w:pPr>
            <w:r>
              <w:rPr>
                <w:rFonts w:ascii="Arial" w:cs="Arial" w:eastAsia="Arial" w:hAnsi="Arial"/>
                <w:sz w:val="18"/>
                <w:szCs w:val="18"/>
                <w:color w:val="auto"/>
              </w:rPr>
              <w:t>Balance at June 30, 2023</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70,000</w:t>
            </w: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Allowance recorded during the three months ended September 30, 2023</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4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September 30, 2023</w:t>
            </w: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June 30, 2023, inventories consisted of finished goods ready for sale, net of allowance for obsolescence, amounted to $15,056,623 and $20,593,889,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2023 and 2022, the Company recorded inventory reserve expense of $105,192 and $74,998, respectively. As of September 30, 2023 and June 30, 2023, allowance for obsolescence was $664,092 and $558,899,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Prepayments and other current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June 30, 2023, prepayments and other current assets consisted of the following:</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Advance to suppliers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Prepaid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Prepaid expenses and other receivables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Less: Allowance for credit losses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0"/>
                <w:szCs w:val="20"/>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7"/>
              </w:rPr>
              <w:t>June 30, 2023</w:t>
            </w:r>
          </w:p>
        </w:tc>
      </w:tr>
      <w:tr>
        <w:trPr>
          <w:trHeight w:val="195"/>
        </w:trPr>
        <w:tc>
          <w:tcPr>
            <w:tcW w:w="20" w:type="dxa"/>
            <w:vAlign w:val="bottom"/>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1,036,012</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1,668,173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41,987</w:t>
            </w:r>
          </w:p>
        </w:tc>
        <w:tc>
          <w:tcPr>
            <w:tcW w:w="200" w:type="dxa"/>
            <w:vAlign w:val="bottom"/>
          </w:tcPr>
          <w:p>
            <w:pPr>
              <w:spacing w:after="0"/>
              <w:rPr>
                <w:sz w:val="18"/>
                <w:szCs w:val="18"/>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45,718</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982,628</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1,393,433</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(249,128)</w:t>
            </w:r>
          </w:p>
        </w:tc>
        <w:tc>
          <w:tcPr>
            <w:tcW w:w="2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(249,128)</w:t>
            </w:r>
          </w:p>
        </w:tc>
      </w:tr>
      <w:tr>
        <w:trPr>
          <w:trHeight w:val="20"/>
        </w:trPr>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1,811,499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2,858,196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-890905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-608330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-325120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692" w:right="3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receivables consisted of delivery fees of $58,954 and $165,962 and receivables from one and two unrelated parties for their use of the Company’s courier accounts at September 30, 2023 and June 30, 2023.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The changes in allowance for credit losses on other receivables are summarized below:</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9460" w:type="dxa"/>
            <w:vAlign w:val="bottom"/>
          </w:tcPr>
          <w:p>
            <w:pPr>
              <w:spacing w:after="0"/>
              <w:rPr>
                <w:sz w:val="24"/>
                <w:szCs w:val="24"/>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Allowance for Credit</w:t>
            </w:r>
          </w:p>
        </w:tc>
      </w:tr>
      <w:tr>
        <w:trPr>
          <w:trHeight w:val="230"/>
        </w:trPr>
        <w:tc>
          <w:tcPr>
            <w:tcW w:w="9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4"/>
              </w:rPr>
              <w:t>Losses</w:t>
            </w:r>
          </w:p>
        </w:tc>
      </w:tr>
      <w:tr>
        <w:trPr>
          <w:trHeight w:val="209"/>
        </w:trPr>
        <w:tc>
          <w:tcPr>
            <w:tcW w:w="9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June 30, 2022</w:t>
            </w:r>
          </w:p>
        </w:tc>
        <w:tc>
          <w:tcPr>
            <w:tcW w:w="340" w:type="dxa"/>
            <w:vAlign w:val="bottom"/>
            <w:tcBorders>
              <w:top w:val="single" w:sz="8" w:color="auto"/>
            </w:tcBorders>
            <w:shd w:val="clear" w:color="auto" w:fill="EEEEEE"/>
          </w:tcPr>
          <w:p>
            <w:pPr>
              <w:jc w:val="right"/>
              <w:ind w:right="178"/>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EEEEE"/>
          </w:tcPr>
          <w:p>
            <w:pPr>
              <w:ind w:left="124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Allowance recorded during the three months ended September 30, 2022</w:t>
            </w:r>
          </w:p>
        </w:tc>
        <w:tc>
          <w:tcPr>
            <w:tcW w:w="340" w:type="dxa"/>
            <w:vAlign w:val="bottom"/>
          </w:tcPr>
          <w:p>
            <w:pPr>
              <w:spacing w:after="0"/>
              <w:rPr>
                <w:sz w:val="19"/>
                <w:szCs w:val="19"/>
                <w:color w:val="auto"/>
              </w:rPr>
            </w:pPr>
          </w:p>
        </w:tc>
        <w:tc>
          <w:tcPr>
            <w:tcW w:w="1440" w:type="dxa"/>
            <w:vAlign w:val="bottom"/>
            <w:gridSpan w:val="2"/>
          </w:tcPr>
          <w:p>
            <w:pPr>
              <w:ind w:left="1240"/>
              <w:spacing w:after="0"/>
              <w:rPr>
                <w:sz w:val="20"/>
                <w:szCs w:val="20"/>
                <w:color w:val="auto"/>
              </w:rPr>
            </w:pPr>
            <w:r>
              <w:rPr>
                <w:rFonts w:ascii="Arial" w:cs="Arial" w:eastAsia="Arial" w:hAnsi="Arial"/>
                <w:sz w:val="18"/>
                <w:szCs w:val="18"/>
                <w:color w:val="auto"/>
              </w:rPr>
              <w:t>–</w:t>
            </w:r>
          </w:p>
        </w:tc>
      </w:tr>
      <w:tr>
        <w:trPr>
          <w:trHeight w:val="223"/>
        </w:trPr>
        <w:tc>
          <w:tcPr>
            <w:tcW w:w="94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September 30, 2022</w:t>
            </w:r>
          </w:p>
        </w:tc>
        <w:tc>
          <w:tcPr>
            <w:tcW w:w="340" w:type="dxa"/>
            <w:vAlign w:val="bottom"/>
            <w:tcBorders>
              <w:top w:val="single" w:sz="8" w:color="auto"/>
              <w:bottom w:val="single" w:sz="8" w:color="auto"/>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ind w:left="124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3558"/>
        <w:spacing w:after="0" w:line="276" w:lineRule="auto"/>
        <w:rPr>
          <w:sz w:val="20"/>
          <w:szCs w:val="20"/>
          <w:color w:val="auto"/>
        </w:rPr>
      </w:pPr>
      <w:r>
        <w:rPr>
          <w:rFonts w:ascii="Arial" w:cs="Arial" w:eastAsia="Arial" w:hAnsi="Arial"/>
          <w:sz w:val="18"/>
          <w:szCs w:val="18"/>
          <w:color w:val="auto"/>
        </w:rPr>
        <w:t>Allowance recorded during the three months ended September 30, 2023 Balance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Non-current prepayments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249,128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35" w:lineRule="exact"/>
        <w:rPr>
          <w:sz w:val="20"/>
          <w:szCs w:val="20"/>
          <w:color w:val="auto"/>
        </w:rPr>
      </w:pPr>
    </w:p>
    <w:p>
      <w:pPr>
        <w:ind w:left="1082" w:hanging="1082"/>
        <w:spacing w:after="0"/>
        <w:tabs>
          <w:tab w:leader="none" w:pos="1082" w:val="left"/>
        </w:tabs>
        <w:numPr>
          <w:ilvl w:val="0"/>
          <w:numId w:val="4"/>
        </w:numPr>
        <w:rPr>
          <w:rFonts w:ascii="Arial" w:cs="Arial" w:eastAsia="Arial" w:hAnsi="Arial"/>
          <w:sz w:val="16"/>
          <w:szCs w:val="16"/>
          <w:color w:val="auto"/>
        </w:rPr>
      </w:pPr>
      <w:r>
        <w:rPr>
          <w:rFonts w:ascii="Arial" w:cs="Arial" w:eastAsia="Arial" w:hAnsi="Arial"/>
          <w:sz w:val="16"/>
          <w:szCs w:val="16"/>
          <w:color w:val="auto"/>
        </w:rPr>
        <w:t>249,128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1062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91" w:lineRule="exact"/>
        <w:rPr>
          <w:sz w:val="20"/>
          <w:szCs w:val="20"/>
          <w:color w:val="auto"/>
        </w:rPr>
      </w:pPr>
    </w:p>
    <w:p>
      <w:pPr>
        <w:sectPr>
          <w:pgSz w:w="11900" w:h="16838" w:orient="portrait"/>
          <w:cols w:equalWidth="0" w:num="2">
            <w:col w:w="8738" w:space="720"/>
            <w:col w:w="1782"/>
          </w:cols>
          <w:pgMar w:left="320" w:top="692" w:right="339" w:bottom="1440" w:gutter="0" w:footer="0" w:header="0"/>
          <w:type w:val="continuous"/>
        </w:sectPr>
      </w:pP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Non-current prepayments included $420,411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$40,623 down payment on a four-year car lease. As of September 30, 2023 and June 30, 2023, total non-current prepayments were $461,034 and $531,456, respectively. For the three months ended September 30, 2023 and 2022, the Company recorded amortization expenses of $70,422 and $107,917, respectively.</w:t>
      </w:r>
    </w:p>
    <w:p>
      <w:pPr>
        <w:sectPr>
          <w:pgSz w:w="11900" w:h="16838" w:orient="portrait"/>
          <w:cols w:equalWidth="0" w:num="1">
            <w:col w:w="11240"/>
          </w:cols>
          <w:pgMar w:left="320" w:top="692" w:right="3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and June 30, 2023, intangible assets, net, consisted of the following: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6"/>
        <w:spacing w:after="0"/>
        <w:rPr>
          <w:sz w:val="20"/>
          <w:szCs w:val="20"/>
          <w:color w:val="auto"/>
        </w:rPr>
      </w:pPr>
      <w:r>
        <w:rPr>
          <w:rFonts w:ascii="Arial" w:cs="Arial" w:eastAsia="Arial" w:hAnsi="Arial"/>
          <w:sz w:val="17"/>
          <w:szCs w:val="17"/>
          <w:b w:val="1"/>
          <w:bCs w:val="1"/>
          <w:color w:val="auto"/>
        </w:rPr>
        <w:t>September 30, 2023</w:t>
      </w:r>
    </w:p>
    <w:p>
      <w:pPr>
        <w:spacing w:after="0" w:line="39" w:lineRule="exact"/>
        <w:rPr>
          <w:sz w:val="20"/>
          <w:szCs w:val="20"/>
          <w:color w:val="auto"/>
        </w:rPr>
      </w:pPr>
    </w:p>
    <w:p>
      <w:pPr>
        <w:ind w:left="966" w:hanging="966"/>
        <w:spacing w:after="0"/>
        <w:tabs>
          <w:tab w:leader="none" w:pos="966" w:val="left"/>
        </w:tabs>
        <w:numPr>
          <w:ilvl w:val="0"/>
          <w:numId w:val="5"/>
        </w:numPr>
        <w:rPr>
          <w:rFonts w:ascii="Arial" w:cs="Arial" w:eastAsia="Arial" w:hAnsi="Arial"/>
          <w:sz w:val="17"/>
          <w:szCs w:val="17"/>
          <w:color w:val="auto"/>
        </w:rPr>
      </w:pPr>
      <w:r>
        <w:rPr>
          <w:rFonts w:ascii="Arial" w:cs="Arial" w:eastAsia="Arial" w:hAnsi="Arial"/>
          <w:sz w:val="17"/>
          <w:szCs w:val="17"/>
          <w:color w:val="auto"/>
        </w:rPr>
        <w:t>3,459,120</w:t>
      </w:r>
    </w:p>
    <w:p>
      <w:pPr>
        <w:spacing w:after="0" w:line="34" w:lineRule="exact"/>
        <w:rPr>
          <w:rFonts w:ascii="Arial" w:cs="Arial" w:eastAsia="Arial" w:hAnsi="Arial"/>
          <w:sz w:val="17"/>
          <w:szCs w:val="17"/>
          <w:color w:val="auto"/>
        </w:rPr>
      </w:pPr>
    </w:p>
    <w:p>
      <w:pPr>
        <w:ind w:left="966"/>
        <w:spacing w:after="0"/>
        <w:rPr>
          <w:rFonts w:ascii="Arial" w:cs="Arial" w:eastAsia="Arial" w:hAnsi="Arial"/>
          <w:sz w:val="17"/>
          <w:szCs w:val="17"/>
          <w:color w:val="auto"/>
        </w:rPr>
      </w:pPr>
      <w:r>
        <w:rPr>
          <w:rFonts w:ascii="Arial" w:cs="Arial" w:eastAsia="Arial" w:hAnsi="Arial"/>
          <w:sz w:val="17"/>
          <w:szCs w:val="17"/>
          <w:color w:val="auto"/>
        </w:rPr>
        <w:t>1,179,246</w:t>
      </w:r>
    </w:p>
    <w:p>
      <w:pPr>
        <w:spacing w:after="0" w:line="20" w:lineRule="exact"/>
        <w:rPr>
          <w:rFonts w:ascii="Arial" w:cs="Arial" w:eastAsia="Arial" w:hAnsi="Arial"/>
          <w:sz w:val="17"/>
          <w:szCs w:val="17"/>
          <w:color w:val="auto"/>
        </w:rPr>
      </w:pPr>
    </w:p>
    <w:p>
      <w:pPr>
        <w:ind w:left="1106"/>
        <w:spacing w:after="0"/>
        <w:rPr>
          <w:rFonts w:ascii="Arial" w:cs="Arial" w:eastAsia="Arial" w:hAnsi="Arial"/>
          <w:sz w:val="17"/>
          <w:szCs w:val="17"/>
          <w:color w:val="auto"/>
        </w:rPr>
      </w:pPr>
      <w:r>
        <w:rPr>
          <w:rFonts w:ascii="Arial" w:cs="Arial" w:eastAsia="Arial" w:hAnsi="Arial"/>
          <w:sz w:val="17"/>
          <w:szCs w:val="17"/>
          <w:color w:val="auto"/>
        </w:rPr>
        <w:t>534,591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(1,055,229)</w:t>
      </w:r>
    </w:p>
    <w:p>
      <w:pPr>
        <w:spacing w:after="0" w:line="35" w:lineRule="exact"/>
        <w:rPr>
          <w:sz w:val="20"/>
          <w:szCs w:val="20"/>
          <w:color w:val="auto"/>
        </w:rPr>
      </w:pPr>
    </w:p>
    <w:p>
      <w:pPr>
        <w:ind w:left="966" w:hanging="966"/>
        <w:spacing w:after="0"/>
        <w:tabs>
          <w:tab w:leader="none" w:pos="966" w:val="left"/>
        </w:tabs>
        <w:numPr>
          <w:ilvl w:val="0"/>
          <w:numId w:val="6"/>
        </w:numPr>
        <w:rPr>
          <w:rFonts w:ascii="Arial" w:cs="Arial" w:eastAsia="Arial" w:hAnsi="Arial"/>
          <w:sz w:val="17"/>
          <w:szCs w:val="17"/>
          <w:color w:val="auto"/>
        </w:rPr>
      </w:pPr>
      <w:r>
        <w:rPr>
          <w:rFonts w:ascii="Arial" w:cs="Arial" w:eastAsia="Arial" w:hAnsi="Arial"/>
          <w:sz w:val="17"/>
          <w:szCs w:val="17"/>
          <w:color w:val="auto"/>
        </w:rPr>
        <w:t>4,117,728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10718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June 30, 2023</w:t>
      </w:r>
    </w:p>
    <w:p>
      <w:pPr>
        <w:spacing w:after="0" w:line="27" w:lineRule="exact"/>
        <w:rPr>
          <w:sz w:val="20"/>
          <w:szCs w:val="20"/>
          <w:color w:val="auto"/>
        </w:rPr>
      </w:pPr>
    </w:p>
    <w:p>
      <w:pPr>
        <w:ind w:left="962" w:hanging="962"/>
        <w:spacing w:after="0"/>
        <w:tabs>
          <w:tab w:leader="none" w:pos="962" w:val="left"/>
        </w:tabs>
        <w:numPr>
          <w:ilvl w:val="0"/>
          <w:numId w:val="7"/>
        </w:numPr>
        <w:rPr>
          <w:rFonts w:ascii="Arial" w:cs="Arial" w:eastAsia="Arial" w:hAnsi="Arial"/>
          <w:sz w:val="17"/>
          <w:szCs w:val="17"/>
          <w:color w:val="auto"/>
        </w:rPr>
      </w:pPr>
      <w:r>
        <w:rPr>
          <w:rFonts w:ascii="Arial" w:cs="Arial" w:eastAsia="Arial" w:hAnsi="Arial"/>
          <w:sz w:val="17"/>
          <w:szCs w:val="17"/>
          <w:color w:val="auto"/>
        </w:rPr>
        <w:t>3,459,120</w:t>
      </w:r>
    </w:p>
    <w:p>
      <w:pPr>
        <w:spacing w:after="0" w:line="34" w:lineRule="exact"/>
        <w:rPr>
          <w:rFonts w:ascii="Arial" w:cs="Arial" w:eastAsia="Arial" w:hAnsi="Arial"/>
          <w:sz w:val="17"/>
          <w:szCs w:val="17"/>
          <w:color w:val="auto"/>
        </w:rPr>
      </w:pPr>
    </w:p>
    <w:p>
      <w:pPr>
        <w:ind w:left="962"/>
        <w:spacing w:after="0"/>
        <w:rPr>
          <w:rFonts w:ascii="Arial" w:cs="Arial" w:eastAsia="Arial" w:hAnsi="Arial"/>
          <w:sz w:val="17"/>
          <w:szCs w:val="17"/>
          <w:color w:val="auto"/>
        </w:rPr>
      </w:pPr>
      <w:r>
        <w:rPr>
          <w:rFonts w:ascii="Arial" w:cs="Arial" w:eastAsia="Arial" w:hAnsi="Arial"/>
          <w:sz w:val="17"/>
          <w:szCs w:val="17"/>
          <w:color w:val="auto"/>
        </w:rPr>
        <w:t>1,179,246</w:t>
      </w:r>
    </w:p>
    <w:p>
      <w:pPr>
        <w:spacing w:after="0" w:line="20" w:lineRule="exact"/>
        <w:rPr>
          <w:rFonts w:ascii="Arial" w:cs="Arial" w:eastAsia="Arial" w:hAnsi="Arial"/>
          <w:sz w:val="17"/>
          <w:szCs w:val="17"/>
          <w:color w:val="auto"/>
        </w:rPr>
      </w:pPr>
    </w:p>
    <w:p>
      <w:pPr>
        <w:ind w:left="1082"/>
        <w:spacing w:after="0"/>
        <w:rPr>
          <w:rFonts w:ascii="Arial" w:cs="Arial" w:eastAsia="Arial" w:hAnsi="Arial"/>
          <w:sz w:val="17"/>
          <w:szCs w:val="17"/>
          <w:color w:val="auto"/>
        </w:rPr>
      </w:pPr>
      <w:r>
        <w:rPr>
          <w:rFonts w:ascii="Arial" w:cs="Arial" w:eastAsia="Arial" w:hAnsi="Arial"/>
          <w:sz w:val="18"/>
          <w:szCs w:val="18"/>
          <w:color w:val="auto"/>
        </w:rPr>
        <w:t>534,591</w:t>
      </w:r>
    </w:p>
    <w:p>
      <w:pPr>
        <w:spacing w:after="0" w:line="9" w:lineRule="exact"/>
        <w:rPr>
          <w:rFonts w:ascii="Arial" w:cs="Arial" w:eastAsia="Arial" w:hAnsi="Arial"/>
          <w:sz w:val="17"/>
          <w:szCs w:val="17"/>
          <w:color w:val="auto"/>
        </w:rPr>
      </w:pPr>
    </w:p>
    <w:p>
      <w:pPr>
        <w:ind w:left="1022"/>
        <w:spacing w:after="0"/>
        <w:rPr>
          <w:rFonts w:ascii="Arial" w:cs="Arial" w:eastAsia="Arial" w:hAnsi="Arial"/>
          <w:sz w:val="17"/>
          <w:szCs w:val="17"/>
          <w:color w:val="auto"/>
        </w:rPr>
      </w:pPr>
      <w:r>
        <w:rPr>
          <w:rFonts w:ascii="Arial" w:cs="Arial" w:eastAsia="Arial" w:hAnsi="Arial"/>
          <w:sz w:val="16"/>
          <w:szCs w:val="16"/>
          <w:color w:val="auto"/>
        </w:rPr>
        <w:t>(892,886)</w:t>
      </w:r>
    </w:p>
    <w:p>
      <w:pPr>
        <w:spacing w:after="0" w:line="58" w:lineRule="exact"/>
        <w:rPr>
          <w:sz w:val="20"/>
          <w:szCs w:val="20"/>
          <w:color w:val="auto"/>
        </w:rPr>
      </w:pPr>
    </w:p>
    <w:p>
      <w:pPr>
        <w:ind w:left="962" w:hanging="962"/>
        <w:spacing w:after="0"/>
        <w:tabs>
          <w:tab w:leader="none" w:pos="962" w:val="left"/>
        </w:tabs>
        <w:numPr>
          <w:ilvl w:val="0"/>
          <w:numId w:val="8"/>
        </w:numPr>
        <w:rPr>
          <w:rFonts w:ascii="Arial" w:cs="Arial" w:eastAsia="Arial" w:hAnsi="Arial"/>
          <w:sz w:val="17"/>
          <w:szCs w:val="17"/>
          <w:color w:val="auto"/>
        </w:rPr>
      </w:pPr>
      <w:r>
        <w:rPr>
          <w:rFonts w:ascii="Arial" w:cs="Arial" w:eastAsia="Arial" w:hAnsi="Arial"/>
          <w:sz w:val="17"/>
          <w:szCs w:val="17"/>
          <w:color w:val="auto"/>
        </w:rPr>
        <w:t>4,280,071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10629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840" w:space="714"/>
            <w:col w:w="1746" w:space="158"/>
            <w:col w:w="1782"/>
          </w:cols>
          <w:pgMar w:left="320" w:top="692" w:right="339" w:bottom="1440" w:gutter="0" w:footer="0" w:header="0"/>
          <w:type w:val="continuous"/>
        </w:sectPr>
      </w:pP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intangible assets were acquired on February 15, 2022 through acquisition of Anivia. The weighted average remaining life for finite-lived intangible assets at September 30, 2023 was approximately 6.95 years. The amortization expense for the three months ended September 30, 2023 and 2022 was $162,343 and $162,343, respectively. At September 30, 2023,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30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2024</w:t>
            </w:r>
          </w:p>
        </w:tc>
        <w:tc>
          <w:tcPr>
            <w:tcW w:w="300" w:type="dxa"/>
            <w:vAlign w:val="bottom"/>
            <w:tcBorders>
              <w:top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487,028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649,371</w:t>
            </w:r>
          </w:p>
        </w:tc>
      </w:tr>
      <w:tr>
        <w:trPr>
          <w:trHeight w:val="216"/>
        </w:trPr>
        <w:tc>
          <w:tcPr>
            <w:tcW w:w="946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649,371</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609,277</w:t>
            </w:r>
          </w:p>
        </w:tc>
      </w:tr>
      <w:tr>
        <w:trPr>
          <w:trHeight w:val="216"/>
        </w:trPr>
        <w:tc>
          <w:tcPr>
            <w:tcW w:w="9460" w:type="dxa"/>
            <w:vAlign w:val="bottom"/>
            <w:shd w:val="clear" w:color="auto" w:fill="EEEEEE"/>
          </w:tcPr>
          <w:p>
            <w:pPr>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468,750</w:t>
            </w: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1,253,931</w:t>
            </w:r>
          </w:p>
        </w:tc>
      </w:tr>
      <w:tr>
        <w:trPr>
          <w:trHeight w:val="223"/>
        </w:trPr>
        <w:tc>
          <w:tcPr>
            <w:tcW w:w="94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EEEEEE"/>
              </w:rPr>
              <w:t>Intangible assets, net</w:t>
            </w:r>
          </w:p>
        </w:tc>
        <w:tc>
          <w:tcPr>
            <w:tcW w:w="300" w:type="dxa"/>
            <w:vAlign w:val="bottom"/>
            <w:tcBorders>
              <w:top w:val="single" w:sz="8" w:color="auto"/>
              <w:bottom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4,117,728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11 – Other payables and accrued liabilities</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60" w:type="dxa"/>
            <w:vAlign w:val="bottom"/>
            <w:gridSpan w:val="5"/>
          </w:tcPr>
          <w:p>
            <w:pPr>
              <w:spacing w:after="0"/>
              <w:rPr>
                <w:sz w:val="20"/>
                <w:szCs w:val="20"/>
                <w:color w:val="auto"/>
              </w:rPr>
            </w:pPr>
            <w:r>
              <w:rPr>
                <w:rFonts w:ascii="Arial" w:cs="Arial" w:eastAsia="Arial" w:hAnsi="Arial"/>
                <w:sz w:val="18"/>
                <w:szCs w:val="18"/>
                <w:color w:val="auto"/>
              </w:rPr>
              <w:t>As of September 30, 2023 and June 30, 2023, other payables and accrued liabilities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2023</w:t>
            </w:r>
          </w:p>
        </w:tc>
      </w:tr>
      <w:tr>
        <w:trPr>
          <w:trHeight w:val="210"/>
        </w:trPr>
        <w:tc>
          <w:tcPr>
            <w:tcW w:w="5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Accrued payables for inventory in transit</w:t>
            </w:r>
          </w:p>
        </w:tc>
        <w:tc>
          <w:tcPr>
            <w:tcW w:w="19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1,310,603</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2,948,551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Accrued Amazon fees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1,117,136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915,319</w:t>
            </w: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Sales taxes payable</w:t>
            </w:r>
          </w:p>
        </w:tc>
        <w:tc>
          <w:tcPr>
            <w:tcW w:w="19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388,968</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448,433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Payroll liabilities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193,190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222,962</w:t>
            </w:r>
          </w:p>
        </w:tc>
      </w:tr>
      <w:tr>
        <w:trPr>
          <w:trHeight w:val="230"/>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Other accrued liabilities and payables</w:t>
            </w:r>
          </w:p>
        </w:tc>
        <w:tc>
          <w:tcPr>
            <w:tcW w:w="19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282,684</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295,802</w:t>
            </w:r>
          </w:p>
        </w:tc>
      </w:tr>
      <w:tr>
        <w:trPr>
          <w:trHeight w:val="209"/>
        </w:trPr>
        <w:tc>
          <w:tcPr>
            <w:tcW w:w="56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3,292,581</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4,831,067</w:t>
            </w:r>
          </w:p>
        </w:tc>
      </w:tr>
      <w:tr>
        <w:trPr>
          <w:trHeight w:val="20"/>
        </w:trPr>
        <w:tc>
          <w:tcPr>
            <w:tcW w:w="5620" w:type="dxa"/>
            <w:vAlign w:val="bottom"/>
            <w:tcBorders>
              <w:top w:val="single" w:sz="8" w:color="EEEEEE"/>
            </w:tcBorders>
          </w:tcPr>
          <w:p>
            <w:pPr>
              <w:spacing w:after="0" w:line="20" w:lineRule="exact"/>
              <w:rPr>
                <w:sz w:val="1"/>
                <w:szCs w:val="1"/>
                <w:color w:val="auto"/>
              </w:rPr>
            </w:pPr>
          </w:p>
        </w:tc>
        <w:tc>
          <w:tcPr>
            <w:tcW w:w="19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controlled VIE, DHS, facilitates the Company in the process of inventory procurement. During the three months ended September 30, 2023 and 2022, the Company purchased a total of $0 and $31,385, respectively, in inventories from a supplier which had a payment term of 90 days with a 2% premium on the purchase price, which was presented as financing cash flows from short term loans on the statement of cash flows. As of September 30, 2023 and June 30, 2023, the outstanding balance included in other payables to this supplier was $0 and $0.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Asset-based revolving loan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2021, the Company entered into a Credit Agreement with JPMorgan Chase Bank, N.A. (“JPMorgan”), as administrative agent, issuing bank and swingline lender, for an asset-based revolving loan (“ABL”) of up to $25 million with key terms listed as follows:</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Borrowing base equal to the sum of</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ØUp to 90% of eligible credit card receivables</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ØUp to 85% of eligible trade accounts receivable</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ØUp to the lesser of (i) 65% of cost of eligible inventory or (ii) 85% of net orderly liquidation value of eligible inventory</w:t>
      </w:r>
    </w:p>
    <w:p>
      <w:pPr>
        <w:spacing w:after="0" w:line="211" w:lineRule="exact"/>
        <w:rPr>
          <w:sz w:val="20"/>
          <w:szCs w:val="20"/>
          <w:color w:val="auto"/>
        </w:rPr>
      </w:pPr>
    </w:p>
    <w:p>
      <w:pPr>
        <w:ind w:left="1260" w:hanging="11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rates of between LIBOR plus 2% and LIBOR plus 2.25% depending on utilization</w:t>
      </w:r>
    </w:p>
    <w:p>
      <w:pPr>
        <w:spacing w:after="0" w:line="23" w:lineRule="exact"/>
        <w:rPr>
          <w:rFonts w:ascii="Arial" w:cs="Arial" w:eastAsia="Arial" w:hAnsi="Arial"/>
          <w:sz w:val="18"/>
          <w:szCs w:val="18"/>
          <w:color w:val="auto"/>
        </w:rPr>
      </w:pPr>
    </w:p>
    <w:p>
      <w:pPr>
        <w:ind w:left="1260" w:hanging="11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Undrawn fee of between 0.25% and 0.375% depending on utilization</w:t>
      </w:r>
    </w:p>
    <w:p>
      <w:pPr>
        <w:spacing w:after="0" w:line="9" w:lineRule="exact"/>
        <w:rPr>
          <w:rFonts w:ascii="Arial" w:cs="Arial" w:eastAsia="Arial" w:hAnsi="Arial"/>
          <w:sz w:val="18"/>
          <w:szCs w:val="18"/>
          <w:color w:val="auto"/>
        </w:rPr>
      </w:pPr>
    </w:p>
    <w:p>
      <w:pPr>
        <w:ind w:left="1260" w:hanging="11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Maturity Date of November 12, 2024</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 year term of the ABL as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Below is a summary of the interest expense recorded for the three months ended September 30,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8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Accrued interest</w:t>
            </w:r>
          </w:p>
        </w:tc>
        <w:tc>
          <w:tcPr>
            <w:tcW w:w="270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ind w:right="9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2"/>
              </w:rPr>
              <w:t>133,615</w:t>
            </w: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156,255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Credit utilization fees</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15,525</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6,762</w:t>
            </w:r>
          </w:p>
        </w:tc>
        <w:tc>
          <w:tcPr>
            <w:tcW w:w="80" w:type="dxa"/>
            <w:vAlign w:val="bottom"/>
          </w:tcPr>
          <w:p>
            <w:pPr>
              <w:spacing w:after="0"/>
              <w:rPr>
                <w:sz w:val="18"/>
                <w:szCs w:val="18"/>
                <w:color w:val="auto"/>
              </w:rPr>
            </w:pPr>
          </w:p>
        </w:tc>
      </w:tr>
      <w:tr>
        <w:trPr>
          <w:trHeight w:val="229"/>
        </w:trPr>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debt discount</w:t>
            </w:r>
          </w:p>
        </w:tc>
        <w:tc>
          <w:tcPr>
            <w:tcW w:w="27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66,305</w:t>
            </w:r>
          </w:p>
        </w:tc>
        <w:tc>
          <w:tcPr>
            <w:tcW w:w="380" w:type="dxa"/>
            <w:vAlign w:val="bottom"/>
            <w:shd w:val="clear" w:color="auto" w:fill="EEEEEE"/>
          </w:tcPr>
          <w:p>
            <w:pPr>
              <w:spacing w:after="0"/>
              <w:rPr>
                <w:sz w:val="19"/>
                <w:szCs w:val="19"/>
                <w:color w:val="auto"/>
              </w:rPr>
            </w:pPr>
          </w:p>
        </w:tc>
        <w:tc>
          <w:tcPr>
            <w:tcW w:w="14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66,305</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215,445</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June 30, 2023, the outstanding amount of the revolving loan payable, net of debt discount and including interest payable was $4,808,322 and $9,791,191, respectively.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11, 2022, the Company and JPMorgan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JPMorgan accurately reflecting the Excess Availability (together, the “Existing Defaults”). Under the terms of the Waiver Letter, JPMorgan agreed to waive the right to enforce an event of default based on the aforementioned Existing Defaults. As of September 30, 2023, the Company was in compliance with the ABL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 payable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In August 2023, the Company paid the third installment of $875,000. For the three months ended September 30, 2023, the Company recorded accrued interest of $19,688 and amortization of note premium of $12,579. For the three months ended September 30, 2022, the Company recorded accrued interest of $52,500 and amortization of note premium of $12,682. As of September 30, 2023, including $255,938 of accrued interest and $19,023 of unamortized premium, the total outstanding balance of the Purchase Note was $1,149,961, which is presented on the unaudited condensed consolidated balance sheet as a current portion of $1,149,961 and a non-current portion of $0. As of June 30, 2023, including $236,250 of accrued interest and $31,602 of unamortized premium, the total outstanding balance of the Purchase Note was $2,017,852, which is presented on the consolidated balance sheet as a current portion of $2,017,852 and a non-current portion of $0.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Short-term loan payable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 million from White Cherry and repaid $1 million on July 31, 2023. For the three months ended September 30, 2023, the Company recorded accrued interest of $6,060. As of September 30, 2023, including the accrued interest, the outstanding balance of the On-demand Loan was $1,006,060.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Starting from March 2022 to January 2023, the Company subleased 50,000 square feet of its warehouse space to Box Harmony, LLC, which is a 40% owned joint venture of the Company as disclosed in Note 1 and Note 2 above. For the three months ended September 30, 2023 and 2022, the Company received and recorded sublease fee of $0 and $247,500 as other non-operating income, respectively. As of September 30, 2023 and June 30, 2023, other receivables due from Box Harmony was $0 and 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15, 2022, the Company assumed $92,246 of advance from shareholders of DHS through acquisition of Anivia. This amount was for capital injection pending capital inspection by the local government in accordance with the PRC rules. As of September 30, 2023 and June 30, 2023, the balance of advance from shareholders was $84,718 and $85,200,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July 8, 2023, the Company entered into an agreement with White Cherry for an on demand loan. See Note 12 above for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corporate income taxes in the United States, upon completion of the acquisition of Anivia in February 2022, the Company is subject to corporate income taxes in People’s Republic of China (“PRC”). Anivia and its subsidiaries are subject to BVI or Hong Kong income taxes but did not have any operations for the year ended June 30, 2022. DHS, the operating VIE of Anivia, is considered a Controlled Foreign Corporation (CFC) defined under IRC Sec. 957(a) since the Company indirectly owns more than 50% voting control of DHS as a result of the Transfer Agreement. Therefore, DHS is subject to the Global Intangible Low-Taxed Income (or GILTI) Tax. DHS is subject to 5% tax rate in PRC. The Company made an election to apply the GILTI high-tax exclusion for DHS under the Final Regulations (T.D. 9902). As the result of the election, no GILTI tax was recorded as of September 30, 2023 and 2022. In addition, as a result of the acquisition, the Company booked a $6,094,144 of goodwill. Since the acquisition was a stock acquisition, the Goodwill is not deductible for tax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three months ended September 30, 2023 and 2022 consisted of the following:</w:t>
      </w:r>
    </w:p>
    <w:p>
      <w:pPr>
        <w:spacing w:after="0" w:line="235" w:lineRule="exact"/>
        <w:rPr>
          <w:sz w:val="20"/>
          <w:szCs w:val="20"/>
          <w:color w:val="auto"/>
        </w:rPr>
      </w:pPr>
    </w:p>
    <w:p>
      <w:pPr>
        <w:ind w:left="7640"/>
        <w:spacing w:after="0"/>
        <w:tabs>
          <w:tab w:leader="none" w:pos="9520" w:val="left"/>
        </w:tabs>
        <w:rPr>
          <w:sz w:val="20"/>
          <w:szCs w:val="20"/>
          <w:color w:val="auto"/>
        </w:rPr>
      </w:pPr>
      <w:r>
        <w:rPr>
          <w:rFonts w:ascii="Arial" w:cs="Arial" w:eastAsia="Arial" w:hAnsi="Arial"/>
          <w:sz w:val="18"/>
          <w:szCs w:val="18"/>
          <w:b w:val="1"/>
          <w:bCs w:val="1"/>
          <w:color w:val="auto"/>
        </w:rPr>
        <w:t>September 30, 2023</w:t>
      </w:r>
      <w:r>
        <w:rPr>
          <w:sz w:val="20"/>
          <w:szCs w:val="20"/>
          <w:color w:val="auto"/>
        </w:rPr>
        <w:tab/>
      </w:r>
      <w:r>
        <w:rPr>
          <w:rFonts w:ascii="Arial" w:cs="Arial" w:eastAsia="Arial" w:hAnsi="Arial"/>
          <w:sz w:val="16"/>
          <w:szCs w:val="16"/>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income tax provision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Total provision for income taxes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(1,705)</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12,470</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9,921</w:t>
            </w:r>
          </w:p>
        </w:tc>
        <w:tc>
          <w:tcPr>
            <w:tcW w:w="60" w:type="dxa"/>
            <w:vAlign w:val="bottom"/>
          </w:tcPr>
          <w:p>
            <w:pPr>
              <w:spacing w:after="0"/>
              <w:rPr>
                <w:sz w:val="19"/>
                <w:szCs w:val="19"/>
                <w:color w:val="auto"/>
              </w:rPr>
            </w:pPr>
          </w:p>
        </w:tc>
      </w:tr>
      <w:tr>
        <w:trPr>
          <w:trHeight w:val="230"/>
        </w:trPr>
        <w:tc>
          <w:tcPr>
            <w:tcW w:w="56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2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9,921</w:t>
            </w:r>
          </w:p>
        </w:tc>
        <w:tc>
          <w:tcPr>
            <w:tcW w:w="60" w:type="dxa"/>
            <w:vAlign w:val="bottom"/>
          </w:tcPr>
          <w:p>
            <w:pPr>
              <w:spacing w:after="0"/>
              <w:rPr>
                <w:sz w:val="18"/>
                <w:szCs w:val="18"/>
                <w:color w:val="auto"/>
              </w:rPr>
            </w:pPr>
          </w:p>
        </w:tc>
      </w:tr>
      <w:tr>
        <w:trPr>
          <w:trHeight w:val="411"/>
        </w:trPr>
        <w:tc>
          <w:tcPr>
            <w:tcW w:w="560" w:type="dxa"/>
            <w:vAlign w:val="bottom"/>
          </w:tcPr>
          <w:p>
            <w:pPr>
              <w:spacing w:after="0"/>
              <w:rPr>
                <w:sz w:val="24"/>
                <w:szCs w:val="24"/>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(284,648)</w:t>
            </w:r>
          </w:p>
        </w:tc>
        <w:tc>
          <w:tcPr>
            <w:tcW w:w="5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(169,467)</w:t>
            </w:r>
          </w:p>
        </w:tc>
      </w:tr>
      <w:tr>
        <w:trPr>
          <w:trHeight w:val="216"/>
        </w:trPr>
        <w:tc>
          <w:tcPr>
            <w:tcW w:w="56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(66,624)</w:t>
            </w:r>
          </w:p>
        </w:tc>
        <w:tc>
          <w:tcPr>
            <w:tcW w:w="5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(103,145)</w:t>
            </w:r>
          </w:p>
        </w:tc>
      </w:tr>
      <w:tr>
        <w:trPr>
          <w:trHeight w:val="244"/>
        </w:trPr>
        <w:tc>
          <w:tcPr>
            <w:tcW w:w="56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64,625</w:t>
            </w:r>
          </w:p>
        </w:tc>
        <w:tc>
          <w:tcPr>
            <w:tcW w:w="5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(185,105)</w:t>
            </w:r>
          </w:p>
        </w:tc>
      </w:tr>
      <w:tr>
        <w:trPr>
          <w:trHeight w:val="210"/>
        </w:trPr>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(286,647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(457,717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53"/>
        </w:trPr>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(275,882)</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(447,796)</w:t>
            </w:r>
          </w:p>
        </w:tc>
      </w:tr>
      <w:tr>
        <w:trPr>
          <w:trHeight w:val="20"/>
        </w:trPr>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-1464945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-1182370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-890905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-616585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-325120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The Company is subject to U.S. federal income tax as well as state income tax in certain jurisdictions. The tax years 2018 to 2021 remain open to examination by the major taxing jurisdictions to which the Company is subject. The following is a reconciliation of income tax expenses at the effective rate to income tax at the calculated statutory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September 30, 2023</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September 30, 2022</w:t>
            </w:r>
          </w:p>
        </w:tc>
      </w:tr>
      <w:tr>
        <w:trPr>
          <w:trHeight w:val="210"/>
        </w:trPr>
        <w:tc>
          <w:tcPr>
            <w:tcW w:w="75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Statutory tax rate</w:t>
            </w:r>
          </w:p>
        </w:tc>
        <w:tc>
          <w:tcPr>
            <w:tcW w:w="16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21.00%</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7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State (net of federal benefit)</w:t>
            </w:r>
          </w:p>
        </w:tc>
        <w:tc>
          <w:tcPr>
            <w:tcW w:w="19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5.82%</w:t>
            </w:r>
          </w:p>
        </w:tc>
        <w:tc>
          <w:tcPr>
            <w:tcW w:w="1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Foreign tax rate difference</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(4.88%)</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r>
      <w:tr>
        <w:trPr>
          <w:trHeight w:val="216"/>
        </w:trPr>
        <w:tc>
          <w:tcPr>
            <w:tcW w:w="7560" w:type="dxa"/>
            <w:vAlign w:val="bottom"/>
            <w:shd w:val="clear" w:color="auto" w:fill="EEEEEE"/>
          </w:tcPr>
          <w:p>
            <w:pPr>
              <w:spacing w:after="0"/>
              <w:rPr>
                <w:sz w:val="20"/>
                <w:szCs w:val="20"/>
                <w:color w:val="auto"/>
              </w:rPr>
            </w:pPr>
            <w:r>
              <w:rPr>
                <w:rFonts w:ascii="Arial" w:cs="Arial" w:eastAsia="Arial" w:hAnsi="Arial"/>
                <w:sz w:val="18"/>
                <w:szCs w:val="18"/>
                <w:color w:val="auto"/>
              </w:rPr>
              <w:t>Impairment loss on goodwill – permanent difference</w:t>
            </w:r>
          </w:p>
        </w:tc>
        <w:tc>
          <w:tcPr>
            <w:tcW w:w="19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(17.8%)</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Net effect of state income tax deduction and other permanent differences</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r>
      <w:tr>
        <w:trPr>
          <w:trHeight w:val="223"/>
        </w:trPr>
        <w:tc>
          <w:tcPr>
            <w:tcW w:w="7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Effective tax rate</w:t>
            </w:r>
          </w:p>
        </w:tc>
        <w:tc>
          <w:tcPr>
            <w:tcW w:w="1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prepaid income taxes to US tax authorities and income tax payable to Chinese tax authorities was $41,987 and $275,117, respectively. As of June 30, 2023, prepaid income taxes to US tax authorities and income tax payable to Chinese tax authorities was $45,718 and $276,683,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which give rise to significant portions of the deferred taxes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89"/>
              </w:rPr>
              <w:t>September 30, 2023</w:t>
            </w:r>
          </w:p>
        </w:tc>
        <w:tc>
          <w:tcPr>
            <w:tcW w:w="200" w:type="dxa"/>
            <w:vAlign w:val="bottom"/>
          </w:tcPr>
          <w:p>
            <w:pPr>
              <w:spacing w:after="0"/>
              <w:rPr>
                <w:sz w:val="20"/>
                <w:szCs w:val="20"/>
                <w:color w:val="auto"/>
              </w:rPr>
            </w:pPr>
          </w:p>
        </w:tc>
        <w:tc>
          <w:tcPr>
            <w:tcW w:w="15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7"/>
              </w:rPr>
              <w:t>June 30, 2023</w:t>
            </w:r>
          </w:p>
        </w:tc>
      </w:tr>
      <w:tr>
        <w:trPr>
          <w:trHeight w:val="209"/>
        </w:trPr>
        <w:tc>
          <w:tcPr>
            <w:tcW w:w="50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25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263A calculation</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41"/>
              <w:spacing w:after="0"/>
              <w:rPr>
                <w:sz w:val="20"/>
                <w:szCs w:val="20"/>
                <w:color w:val="auto"/>
              </w:rPr>
            </w:pPr>
            <w:r>
              <w:rPr>
                <w:rFonts w:ascii="Arial" w:cs="Arial" w:eastAsia="Arial" w:hAnsi="Arial"/>
                <w:sz w:val="18"/>
                <w:szCs w:val="18"/>
                <w:color w:val="auto"/>
              </w:rPr>
              <w:t>174,841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239,142</w:t>
            </w:r>
          </w:p>
        </w:tc>
      </w:tr>
      <w:tr>
        <w:trPr>
          <w:trHeight w:val="216"/>
        </w:trPr>
        <w:tc>
          <w:tcPr>
            <w:tcW w:w="5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Inventory reserve</w:t>
            </w:r>
          </w:p>
        </w:tc>
        <w:tc>
          <w:tcPr>
            <w:tcW w:w="2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178,121</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149,907</w:t>
            </w: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State taxes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141"/>
              <w:spacing w:after="0"/>
              <w:rPr>
                <w:sz w:val="20"/>
                <w:szCs w:val="20"/>
                <w:color w:val="auto"/>
              </w:rPr>
            </w:pPr>
            <w:r>
              <w:rPr>
                <w:rFonts w:ascii="Arial" w:cs="Arial" w:eastAsia="Arial" w:hAnsi="Arial"/>
                <w:sz w:val="18"/>
                <w:szCs w:val="18"/>
                <w:color w:val="auto"/>
              </w:rPr>
              <w:t>2,619</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2,435</w:t>
            </w:r>
          </w:p>
        </w:tc>
      </w:tr>
      <w:tr>
        <w:trPr>
          <w:trHeight w:val="216"/>
        </w:trPr>
        <w:tc>
          <w:tcPr>
            <w:tcW w:w="5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expenses</w:t>
            </w:r>
          </w:p>
        </w:tc>
        <w:tc>
          <w:tcPr>
            <w:tcW w:w="2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330,325</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273,589</w:t>
            </w: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ROU assets / liabilities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141"/>
              <w:spacing w:after="0"/>
              <w:rPr>
                <w:sz w:val="20"/>
                <w:szCs w:val="20"/>
                <w:color w:val="auto"/>
              </w:rPr>
            </w:pPr>
            <w:r>
              <w:rPr>
                <w:rFonts w:ascii="Arial" w:cs="Arial" w:eastAsia="Arial" w:hAnsi="Arial"/>
                <w:sz w:val="18"/>
                <w:szCs w:val="18"/>
                <w:color w:val="auto"/>
              </w:rPr>
              <w:t>114,298</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115,125</w:t>
            </w:r>
          </w:p>
        </w:tc>
      </w:tr>
      <w:tr>
        <w:trPr>
          <w:trHeight w:val="216"/>
        </w:trPr>
        <w:tc>
          <w:tcPr>
            <w:tcW w:w="5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Operation loss</w:t>
            </w:r>
          </w:p>
        </w:tc>
        <w:tc>
          <w:tcPr>
            <w:tcW w:w="2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2,381,758</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2,173,221</w:t>
            </w: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Disallowed interest expense</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141"/>
              <w:spacing w:after="0"/>
              <w:rPr>
                <w:sz w:val="20"/>
                <w:szCs w:val="20"/>
                <w:color w:val="auto"/>
              </w:rPr>
            </w:pPr>
            <w:r>
              <w:rPr>
                <w:rFonts w:ascii="Arial" w:cs="Arial" w:eastAsia="Arial" w:hAnsi="Arial"/>
                <w:sz w:val="18"/>
                <w:szCs w:val="18"/>
                <w:color w:val="auto"/>
              </w:rPr>
              <w:t>194,172</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163,381</w:t>
            </w:r>
          </w:p>
        </w:tc>
      </w:tr>
      <w:tr>
        <w:trPr>
          <w:trHeight w:val="216"/>
        </w:trPr>
        <w:tc>
          <w:tcPr>
            <w:tcW w:w="5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w:t>
            </w:r>
          </w:p>
        </w:tc>
        <w:tc>
          <w:tcPr>
            <w:tcW w:w="2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239,344</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207,726</w:t>
            </w: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right"/>
              <w:ind w:right="81"/>
              <w:spacing w:after="0"/>
              <w:rPr>
                <w:sz w:val="20"/>
                <w:szCs w:val="20"/>
                <w:color w:val="auto"/>
              </w:rPr>
            </w:pPr>
            <w:r>
              <w:rPr>
                <w:rFonts w:ascii="Arial" w:cs="Arial" w:eastAsia="Arial" w:hAnsi="Arial"/>
                <w:sz w:val="18"/>
                <w:szCs w:val="18"/>
                <w:color w:val="auto"/>
              </w:rPr>
              <w:t>(64,145)</w:t>
            </w:r>
          </w:p>
        </w:tc>
        <w:tc>
          <w:tcPr>
            <w:tcW w:w="20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Others</w:t>
            </w:r>
          </w:p>
        </w:tc>
        <w:tc>
          <w:tcPr>
            <w:tcW w:w="25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85,596</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85,596</w:t>
            </w:r>
          </w:p>
        </w:tc>
      </w:tr>
      <w:tr>
        <w:trPr>
          <w:trHeight w:val="209"/>
        </w:trPr>
        <w:tc>
          <w:tcPr>
            <w:tcW w:w="5020" w:type="dxa"/>
            <w:vAlign w:val="bottom"/>
            <w:tcBorders>
              <w:bottom w:val="single" w:sz="8" w:color="EEEEEE"/>
            </w:tcBorders>
          </w:tcPr>
          <w:p>
            <w:pPr>
              <w:ind w:left="360"/>
              <w:spacing w:after="0"/>
              <w:rPr>
                <w:sz w:val="20"/>
                <w:szCs w:val="20"/>
                <w:color w:val="auto"/>
              </w:rPr>
            </w:pPr>
            <w:r>
              <w:rPr>
                <w:rFonts w:ascii="Arial" w:cs="Arial" w:eastAsia="Arial" w:hAnsi="Arial"/>
                <w:sz w:val="18"/>
                <w:szCs w:val="18"/>
                <w:b w:val="1"/>
                <w:bCs w:val="1"/>
                <w:color w:val="auto"/>
              </w:rPr>
              <w:t>Total deferred tax assets</w:t>
            </w:r>
          </w:p>
        </w:tc>
        <w:tc>
          <w:tcPr>
            <w:tcW w:w="2540" w:type="dxa"/>
            <w:vAlign w:val="bottom"/>
            <w:tcBorders>
              <w:bottom w:val="single" w:sz="8" w:color="EEEEEE"/>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3,636,929</w:t>
            </w: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3,410,122</w:t>
            </w:r>
          </w:p>
        </w:tc>
        <w:tc>
          <w:tcPr>
            <w:tcW w:w="100" w:type="dxa"/>
            <w:vAlign w:val="bottom"/>
            <w:tcBorders>
              <w:bottom w:val="single" w:sz="8" w:color="EEEEEE"/>
            </w:tcBorders>
          </w:tcPr>
          <w:p>
            <w:pPr>
              <w:spacing w:after="0"/>
              <w:rPr>
                <w:sz w:val="18"/>
                <w:szCs w:val="18"/>
                <w:color w:val="auto"/>
              </w:rPr>
            </w:pPr>
          </w:p>
        </w:tc>
      </w:tr>
      <w:tr>
        <w:trPr>
          <w:trHeight w:val="210"/>
        </w:trPr>
        <w:tc>
          <w:tcPr>
            <w:tcW w:w="5020" w:type="dxa"/>
            <w:vAlign w:val="bottom"/>
            <w:shd w:val="clear" w:color="auto" w:fill="EEEEEE"/>
          </w:tcPr>
          <w:p>
            <w:pPr>
              <w:spacing w:after="0"/>
              <w:rPr>
                <w:sz w:val="18"/>
                <w:szCs w:val="18"/>
                <w:color w:val="auto"/>
              </w:rPr>
            </w:pPr>
          </w:p>
        </w:tc>
        <w:tc>
          <w:tcPr>
            <w:tcW w:w="2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w:t>
            </w:r>
          </w:p>
        </w:tc>
        <w:tc>
          <w:tcPr>
            <w:tcW w:w="2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(98,484)</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(105,323)</w:t>
            </w: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Intangible assets acquired</w:t>
            </w: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jc w:val="right"/>
              <w:ind w:right="81"/>
              <w:spacing w:after="0"/>
              <w:rPr>
                <w:sz w:val="20"/>
                <w:szCs w:val="20"/>
                <w:color w:val="auto"/>
              </w:rPr>
            </w:pPr>
            <w:r>
              <w:rPr>
                <w:rFonts w:ascii="Arial" w:cs="Arial" w:eastAsia="Arial" w:hAnsi="Arial"/>
                <w:sz w:val="18"/>
                <w:szCs w:val="18"/>
                <w:color w:val="auto"/>
              </w:rPr>
              <w:t>(1,106,006)</w:t>
            </w: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(1,149,549)</w:t>
            </w:r>
          </w:p>
        </w:tc>
      </w:tr>
      <w:tr>
        <w:trPr>
          <w:trHeight w:val="210"/>
        </w:trPr>
        <w:tc>
          <w:tcPr>
            <w:tcW w:w="502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b w:val="1"/>
                <w:bCs w:val="1"/>
                <w:color w:val="auto"/>
              </w:rPr>
              <w:t>Total deferred tax liabilities</w:t>
            </w:r>
          </w:p>
        </w:tc>
        <w:tc>
          <w:tcPr>
            <w:tcW w:w="25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bottom w:val="single" w:sz="8" w:color="auto"/>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(1,204,490</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(1,254,872</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deferred tax assets</w:t>
            </w:r>
          </w:p>
        </w:tc>
        <w:tc>
          <w:tcPr>
            <w:tcW w:w="2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2,432,439</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2,155,250</w:t>
            </w:r>
          </w:p>
        </w:tc>
      </w:tr>
      <w:tr>
        <w:trPr>
          <w:trHeight w:val="20"/>
        </w:trPr>
        <w:tc>
          <w:tcPr>
            <w:tcW w:w="5020" w:type="dxa"/>
            <w:vAlign w:val="bottom"/>
            <w:tcBorders>
              <w:top w:val="single" w:sz="8" w:color="EEEEEE"/>
            </w:tcBorders>
          </w:tcPr>
          <w:p>
            <w:pPr>
              <w:spacing w:after="0" w:line="20" w:lineRule="exact"/>
              <w:rPr>
                <w:sz w:val="1"/>
                <w:szCs w:val="1"/>
                <w:color w:val="auto"/>
              </w:rPr>
            </w:pPr>
          </w:p>
        </w:tc>
        <w:tc>
          <w:tcPr>
            <w:tcW w:w="25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2023, the Company recorded $64,145 of valuation allowance to reduce deferred tax assets for the losses incurred by DHS.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Note 15 – Earnings per share</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3"/>
          </w:tcPr>
          <w:p>
            <w:pPr>
              <w:spacing w:after="0"/>
              <w:rPr>
                <w:sz w:val="20"/>
                <w:szCs w:val="20"/>
                <w:color w:val="auto"/>
              </w:rPr>
            </w:pPr>
            <w:r>
              <w:rPr>
                <w:rFonts w:ascii="Arial" w:cs="Arial" w:eastAsia="Arial" w:hAnsi="Arial"/>
                <w:sz w:val="18"/>
                <w:szCs w:val="18"/>
                <w:color w:val="auto"/>
                <w:w w:val="91"/>
              </w:rPr>
              <w:t>The following table sets forth the computation of basic and diluted earnings per share for the periods presented: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w w:val="94"/>
              </w:rPr>
              <w:t>For the three months ended</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8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Net loss attributable to iPower Inc.</w:t>
            </w:r>
          </w:p>
        </w:tc>
        <w:tc>
          <w:tcPr>
            <w:tcW w:w="1400" w:type="dxa"/>
            <w:vAlign w:val="bottom"/>
            <w:gridSpan w:val="2"/>
            <w:shd w:val="clear" w:color="auto" w:fill="EEEEEE"/>
          </w:tcPr>
          <w:p>
            <w:pPr>
              <w:jc w:val="right"/>
              <w:ind w:right="4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(1,286,515)</w:t>
            </w:r>
          </w:p>
        </w:tc>
        <w:tc>
          <w:tcPr>
            <w:tcW w:w="540" w:type="dxa"/>
            <w:vAlign w:val="bottom"/>
            <w:shd w:val="clear" w:color="auto" w:fill="EEEEEE"/>
          </w:tcPr>
          <w:p>
            <w:pPr>
              <w:jc w:val="right"/>
              <w:ind w:right="387"/>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(4,182,376)</w:t>
            </w:r>
          </w:p>
        </w:tc>
        <w:tc>
          <w:tcPr>
            <w:tcW w:w="0" w:type="dxa"/>
            <w:vAlign w:val="bottom"/>
          </w:tcPr>
          <w:p>
            <w:pPr>
              <w:spacing w:after="0"/>
              <w:rPr>
                <w:sz w:val="1"/>
                <w:szCs w:val="1"/>
                <w:color w:val="auto"/>
              </w:rPr>
            </w:pPr>
          </w:p>
        </w:tc>
      </w:tr>
      <w:tr>
        <w:trPr>
          <w:trHeight w:val="20"/>
        </w:trPr>
        <w:tc>
          <w:tcPr>
            <w:tcW w:w="67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shares used in computing basic and diluted earnings per share*</w:t>
            </w:r>
          </w:p>
        </w:tc>
        <w:tc>
          <w:tcPr>
            <w:tcW w:w="1400" w:type="dxa"/>
            <w:vAlign w:val="bottom"/>
            <w:gridSpan w:val="2"/>
            <w:shd w:val="clear" w:color="auto" w:fill="EEEEEE"/>
          </w:tcPr>
          <w:p>
            <w:pPr>
              <w:jc w:val="right"/>
              <w:ind w:right="40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29,764,515</w:t>
            </w:r>
          </w:p>
        </w:tc>
        <w:tc>
          <w:tcPr>
            <w:tcW w:w="540" w:type="dxa"/>
            <w:vAlign w:val="bottom"/>
            <w:shd w:val="clear" w:color="auto" w:fill="EEEEEE"/>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29,665,716</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Losses per share of ordinary shares - basic and diluted</w:t>
            </w:r>
          </w:p>
        </w:tc>
        <w:tc>
          <w:tcPr>
            <w:tcW w:w="840" w:type="dxa"/>
            <w:vAlign w:val="bottom"/>
            <w:tcBorders>
              <w:top w:val="single" w:sz="8" w:color="EEEEEE"/>
              <w:bottom w:val="single" w:sz="8" w:color="EEEEEE"/>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(0.04</w:t>
            </w:r>
          </w:p>
        </w:tc>
        <w:tc>
          <w:tcPr>
            <w:tcW w:w="220" w:type="dxa"/>
            <w:vAlign w:val="bottom"/>
            <w:vMerge w:val="continue"/>
          </w:tcPr>
          <w:p>
            <w:pPr>
              <w:spacing w:after="0"/>
              <w:rPr>
                <w:sz w:val="17"/>
                <w:szCs w:val="17"/>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33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Due to the ani-dilutive effect, the computation of basic and diluted EPS did not include the shares underlying the exercise of warrants and unvested RSUs as the Company had a net loss for the three months ended September 30, 2023 and 2022.</w:t>
      </w:r>
    </w:p>
    <w:p>
      <w:pPr>
        <w:spacing w:after="0" w:line="170" w:lineRule="exact"/>
        <w:rPr>
          <w:rFonts w:ascii="Arial" w:cs="Arial" w:eastAsia="Arial" w:hAnsi="Arial"/>
          <w:sz w:val="18"/>
          <w:szCs w:val="18"/>
          <w:color w:val="auto"/>
        </w:rPr>
      </w:pPr>
    </w:p>
    <w:p>
      <w:pPr>
        <w:ind w:left="520" w:hanging="33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computation of diluted EPS did not include the shares underlying the exercise of options granted as none of the options were vested as September 30, 2023 and 2022.</w:t>
      </w:r>
    </w:p>
    <w:p>
      <w:pPr>
        <w:spacing w:after="0" w:line="170" w:lineRule="exact"/>
        <w:rPr>
          <w:rFonts w:ascii="Arial" w:cs="Arial" w:eastAsia="Arial" w:hAnsi="Arial"/>
          <w:sz w:val="18"/>
          <w:szCs w:val="18"/>
          <w:color w:val="auto"/>
        </w:rPr>
      </w:pPr>
    </w:p>
    <w:p>
      <w:pPr>
        <w:jc w:val="both"/>
        <w:ind w:left="520" w:hanging="33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September 30, 2023 and 2022, 66,366 and 166,176 vested but unissued shares of restricted stock units under the 2020 Equity Incentive Plan (as discussed in Note 16) are considered issued shares and therefore are included in the computation of basic losses per share when the shares are fully vested.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2023, the total authorized shares of capital stock were 200,000,000 shares consisting of 180,000,000 shares of Common Stock (“Common Stock”) and 20,000,000 shares of preferred stock (the “Preferred Stock”), each with a par value of $0.001 per share.</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a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June 30, 2023, the Company issued 138,557 shares of restricted Common Stock for RSUs vested.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15, 2022, as part of the consideration for the acquisition of Anivia and subsidiaries, as further described in Note 4, the Company issued 3,083,700 restricted shares of the Company’s common stock, valued at $2.27 per share, which was the closing price of the Company’s Common Stock as traded on Nasdaq on February 15, 2022. These shares had a lock-up period of 180 days and are subject to insider trading restrictions. The fair value of the shares was $5,528,373, calculated with a discount of lack of marketability of 21%, which was determined using the Black Scholes Model.</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and June 30, 2023, there were 29,710,939 and 29,710,939 shares of Common Stock issued and outstanding, respectively.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September 30, 2023 and June 30, 2023, respectively, there were no shares of Preferred Stock issued and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completion of the IPO on May 11, 2021, pursuant to their letter agreements, the Company awarded 46,546 restricted stock units (“RSUs”) under the Plan to its independent directors, its Chief Financial Officer, and certain other employees and consultants, all of which vested over 12 months following the grant date and were subject to other restrictions until the filing of a Registration Statement on Form S-8 registering the shares. The fair value of the RSUs was determined based on $5.00 per share, the initial listing price of the Company’s Common Stock on the grant date. During the three months ended September 30, 2023, the Company granted an additional 49,600 shares of RSUs. For the three months ended September 30, 2023 and 2022, the Company recorded $7,500 and $27,500 of stock-based compensation expense. There was no forfeiture of RSUs occurred during the three months ended September 30, 2023 and 2022. As of September 30, 2023 and June 30, 2023, the unvested number of RSUs was 75,462 and 38,793 and the unamortized expense was $58,152 and $22,500, respectively.</w:t>
      </w:r>
    </w:p>
    <w:p>
      <w:pPr>
        <w:sectPr>
          <w:pgSz w:w="11900" w:h="16838" w:orient="portrait"/>
          <w:cols w:equalWidth="0" w:num="1">
            <w:col w:w="11240"/>
          </w:cols>
          <w:pgMar w:left="320" w:top="800"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RSUs granted, but not vested,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RSUs forfeited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RSUs 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RSUs granted, but not vested,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Total Fair Market</w:t>
            </w:r>
          </w:p>
        </w:tc>
      </w:tr>
      <w:tr>
        <w:trPr>
          <w:trHeight w:val="216"/>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RSUs Issued</w:t>
            </w:r>
          </w:p>
        </w:tc>
      </w:tr>
      <w:tr>
        <w:trPr>
          <w:trHeight w:val="234"/>
        </w:trPr>
        <w:tc>
          <w:tcPr>
            <w:tcW w:w="1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6"/>
              </w:rPr>
              <w:t>Total RSUs Issued</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Compensation (1)</w:t>
            </w:r>
          </w:p>
        </w:tc>
      </w:tr>
      <w:tr>
        <w:trPr>
          <w:trHeight w:val="195"/>
        </w:trPr>
        <w:tc>
          <w:tcPr>
            <w:tcW w:w="1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38,793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6"/>
        </w:trPr>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49,600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43,152</w:t>
            </w:r>
          </w:p>
        </w:tc>
      </w:tr>
      <w:tr>
        <w:trPr>
          <w:trHeight w:val="216"/>
        </w:trPr>
        <w:tc>
          <w:tcPr>
            <w:tcW w:w="19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4"/>
        </w:trPr>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(12,931)</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3"/>
        </w:trPr>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75,462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599" w:lineRule="exact"/>
        <w:rPr>
          <w:sz w:val="20"/>
          <w:szCs w:val="20"/>
          <w:color w:val="auto"/>
        </w:rPr>
      </w:pPr>
    </w:p>
    <w:p>
      <w:pPr>
        <w:sectPr>
          <w:pgSz w:w="11900" w:h="16838" w:orient="portrait"/>
          <w:cols w:equalWidth="0" w:num="2">
            <w:col w:w="6840" w:space="720"/>
            <w:col w:w="3680"/>
          </w:cols>
          <w:pgMar w:left="320" w:top="800" w:right="339"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2023, of the 244,942 vested RSUs, 178,576 shares of Common Stock were issued, and 66,366 shares were to be issued in the near future.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Stock Option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exercisable to purchase (i) 3,000,000 shares of Common Stock to Chenlong Tan, CEO and (ii) 330,000 shares of Common Stock to Mr. Vassily. The Option Grants, which were issued on May 13, 2022, have an exercise price of $1.12,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achievement status of the operational milestones as of September 30, 2023 was as follows:</w:t>
      </w:r>
    </w:p>
    <w:p>
      <w:pPr>
        <w:sectPr>
          <w:pgSz w:w="11900" w:h="16838" w:orient="portrait"/>
          <w:cols w:equalWidth="0" w:num="1">
            <w:col w:w="11240"/>
          </w:cols>
          <w:pgMar w:left="320" w:top="800" w:right="339" w:bottom="1440" w:gutter="0" w:footer="0" w:header="0"/>
        </w:sectPr>
      </w:pPr>
    </w:p>
    <w:p>
      <w:pPr>
        <w:spacing w:after="0" w:line="239"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Revenue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915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Milestone</w:t>
            </w: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left="50"/>
              <w:spacing w:after="0" w:line="195" w:lineRule="exact"/>
              <w:rPr>
                <w:sz w:val="20"/>
                <w:szCs w:val="20"/>
                <w:color w:val="auto"/>
              </w:rPr>
            </w:pPr>
            <w:r>
              <w:rPr>
                <w:rFonts w:ascii="Arial" w:cs="Arial" w:eastAsia="Arial" w:hAnsi="Arial"/>
                <w:sz w:val="18"/>
                <w:szCs w:val="18"/>
                <w:color w:val="auto"/>
                <w:w w:val="92"/>
              </w:rPr>
              <w:t>Achievement</w:t>
            </w:r>
          </w:p>
        </w:tc>
      </w:tr>
      <w:tr>
        <w:trPr>
          <w:trHeight w:val="230"/>
        </w:trPr>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6"/>
              </w:rPr>
              <w:t>Status</w:t>
            </w:r>
          </w:p>
        </w:tc>
      </w:tr>
      <w:tr>
        <w:trPr>
          <w:trHeight w:val="411"/>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3140" w:type="dxa"/>
            <w:vAlign w:val="bottom"/>
          </w:tcPr>
          <w:p>
            <w:pPr>
              <w:jc w:val="center"/>
              <w:ind w:left="50"/>
              <w:spacing w:after="0"/>
              <w:rPr>
                <w:sz w:val="20"/>
                <w:szCs w:val="20"/>
                <w:color w:val="auto"/>
              </w:rPr>
            </w:pPr>
            <w:r>
              <w:rPr>
                <w:rFonts w:ascii="Arial" w:cs="Arial" w:eastAsia="Arial" w:hAnsi="Arial"/>
                <w:sz w:val="18"/>
                <w:szCs w:val="18"/>
                <w:color w:val="auto"/>
                <w:w w:val="88"/>
              </w:rPr>
              <w:t>Probable</w:t>
            </w:r>
          </w:p>
        </w:tc>
      </w:tr>
      <w:tr>
        <w:trPr>
          <w:trHeight w:val="216"/>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140" w:type="dxa"/>
            <w:vAlign w:val="bottom"/>
          </w:tcPr>
          <w:p>
            <w:pPr>
              <w:jc w:val="center"/>
              <w:ind w:left="50"/>
              <w:spacing w:after="0"/>
              <w:rPr>
                <w:sz w:val="20"/>
                <w:szCs w:val="20"/>
                <w:color w:val="auto"/>
              </w:rPr>
            </w:pPr>
            <w:r>
              <w:rPr>
                <w:rFonts w:ascii="Arial" w:cs="Arial" w:eastAsia="Arial" w:hAnsi="Arial"/>
                <w:sz w:val="18"/>
                <w:szCs w:val="18"/>
                <w:color w:val="auto"/>
                <w:w w:val="88"/>
              </w:rPr>
              <w:t>Probable</w:t>
            </w:r>
          </w:p>
        </w:tc>
      </w:tr>
      <w:tr>
        <w:trPr>
          <w:trHeight w:val="216"/>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3140" w:type="dxa"/>
            <w:vAlign w:val="bottom"/>
          </w:tcPr>
          <w:p>
            <w:pPr>
              <w:jc w:val="center"/>
              <w:ind w:left="50"/>
              <w:spacing w:after="0"/>
              <w:rPr>
                <w:sz w:val="20"/>
                <w:szCs w:val="20"/>
                <w:color w:val="auto"/>
              </w:rPr>
            </w:pPr>
            <w:r>
              <w:rPr>
                <w:rFonts w:ascii="Arial" w:cs="Arial" w:eastAsia="Arial" w:hAnsi="Arial"/>
                <w:sz w:val="18"/>
                <w:szCs w:val="18"/>
                <w:color w:val="auto"/>
                <w:w w:val="88"/>
              </w:rPr>
              <w:t>Probable</w:t>
            </w:r>
          </w:p>
        </w:tc>
      </w:tr>
      <w:tr>
        <w:trPr>
          <w:trHeight w:val="216"/>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3140" w:type="dxa"/>
            <w:vAlign w:val="bottom"/>
          </w:tcPr>
          <w:p>
            <w:pPr>
              <w:jc w:val="center"/>
              <w:ind w:left="50"/>
              <w:spacing w:after="0"/>
              <w:rPr>
                <w:sz w:val="20"/>
                <w:szCs w:val="20"/>
                <w:color w:val="auto"/>
              </w:rPr>
            </w:pPr>
            <w:r>
              <w:rPr>
                <w:rFonts w:ascii="Arial" w:cs="Arial" w:eastAsia="Arial" w:hAnsi="Arial"/>
                <w:sz w:val="18"/>
                <w:szCs w:val="18"/>
                <w:color w:val="auto"/>
                <w:w w:val="88"/>
              </w:rPr>
              <w:t>Probable</w:t>
            </w:r>
          </w:p>
        </w:tc>
      </w:tr>
      <w:tr>
        <w:trPr>
          <w:trHeight w:val="216"/>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3140" w:type="dxa"/>
            <w:vAlign w:val="bottom"/>
          </w:tcPr>
          <w:p>
            <w:pPr>
              <w:jc w:val="center"/>
              <w:ind w:left="50"/>
              <w:spacing w:after="0"/>
              <w:rPr>
                <w:sz w:val="20"/>
                <w:szCs w:val="20"/>
                <w:color w:val="auto"/>
              </w:rPr>
            </w:pPr>
            <w:r>
              <w:rPr>
                <w:rFonts w:ascii="Arial" w:cs="Arial" w:eastAsia="Arial" w:hAnsi="Arial"/>
                <w:sz w:val="18"/>
                <w:szCs w:val="18"/>
                <w:color w:val="auto"/>
                <w:w w:val="88"/>
              </w:rPr>
              <w:t>Probable</w:t>
            </w:r>
          </w:p>
        </w:tc>
      </w:tr>
      <w:tr>
        <w:trPr>
          <w:trHeight w:val="230"/>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314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Operating Income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33343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Milestone</w:t>
            </w:r>
          </w:p>
        </w:tc>
        <w:tc>
          <w:tcPr>
            <w:tcW w:w="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Achievement</w:t>
            </w:r>
          </w:p>
        </w:tc>
      </w:tr>
      <w:tr>
        <w:trPr>
          <w:trHeight w:val="230"/>
        </w:trPr>
        <w:tc>
          <w:tcPr>
            <w:tcW w:w="1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Status</w:t>
            </w:r>
          </w:p>
        </w:tc>
      </w:tr>
      <w:tr>
        <w:trPr>
          <w:trHeight w:val="411"/>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8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r>
      <w:tr>
        <w:trPr>
          <w:trHeight w:val="230"/>
        </w:trPr>
        <w:tc>
          <w:tcPr>
            <w:tcW w:w="1840" w:type="dxa"/>
            <w:vAlign w:val="bottom"/>
          </w:tcPr>
          <w:p>
            <w:pPr>
              <w:jc w:val="right"/>
              <w:ind w:right="16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8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ectPr>
          <w:pgSz w:w="11900" w:h="16838" w:orient="portrait"/>
          <w:cols w:equalWidth="0" w:num="2">
            <w:col w:w="5660" w:space="220"/>
            <w:col w:w="5360"/>
          </w:cols>
          <w:pgMar w:left="320" w:top="800" w:right="339" w:bottom="1440" w:gutter="0" w:footer="0" w:header="0"/>
          <w:type w:val="continuous"/>
        </w:sectPr>
      </w:pP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Price - $1.12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 95.65%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 –10 years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Free Rate of Return – 2.93%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 Yield – 0%</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fair value of the Option Grants was $3.2 million of which, at September 30, 2023, $2.3 million is deemed probable of vesting. As of September 30, 2023, none of the options had vested. For the three months ended September 30, 2023 and 2022, the Company recorded $110,382 and $110,382 of stock-based compensation expense related to the Option Grants. As of September 30, 2023, unrecognized compensation cost related to tranches probable of vesting is approximately $1.6 million and will be recognized over two years to nine years, depending on the tranche.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17 – Warrants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warrants held by the Convertible Note investors were reclassified to additional paid in capital as the terms became fixed upon closing of the IPO. Through September 30, 2023, none of the private placement investors exercised any of their warrants. As such, as of September 30, 2023 and June 30, 2023, the number of shares issuable under the outstanding warrants was 685,715, with an average exercise price of $5.00 per share.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Concentration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and June 30, 2023, $2,729,161 and $3,735,642, respectively, were deposited with various major financial institutions in the United States and PRC. Accounts at each institution in the United States are insured by the Federal Deposit Insurance Corporation (FDIC) for up to $250,000. The Company had approximately $1.1 million and $2.7 million, respectively, in excess of the FDIC insurance limit, as of September 30, 2023 and June 30, 2023.</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business of DHS, the Company’s VIE, may be impacted by Chinese economic conditions, changes in regulations and laws, and other uncertainties.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and vendor concentration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2023 and 2022, Amazon Vendor and Amazon Seller customers accounted for 91% and 91% of the Company's total revenues, respectively. As of September 30, 2023 and June 30, 2023, accounts receivable from Amazon Vendor and Amazon Seller accounted for 93% and 95% of the Company’s total accounts receivable.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September 30, 2023 and 2022, one supplier accounted for 15% and 19% of the Company's total purchases, respectively. As of September 30, 2023 and June 30, 2023, accounts payable to one supplier accounted for 50% and 49% of the Company’s total accounts payable.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in addition to the primary fulfillment center, the Company leased a second fulfillment center in City of Industry, California. The base rental fee was $27,921 to $29,910 per month through October 31, 2023.</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 will be responsible for its pro rata share of certain costs, including utility costs, insurance and common area costs, as further detailed in the Lease Agreement. Following the Rent Commencement Date, the first two months of the Base Rent will be abated.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was not started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is $114,249, increasing gradually over time to $140,079 per month through the expiration date of May 31, 2028.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2022, the Company leased another fulfillment center in Duarte, California. The base rental fee is $56,000 to $59,410 per month through April 30, 2025.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total commitment for the full term of these leases is $12,649,053. The financial statements reflected $7,763,712 and $7,837,345, respectively, of operating lease right-of-use assets, and $8,193,416 and $8,265,220, respectively, of operating lease liabilities as of September 30, 2023 and June 30,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4"/>
          </w:tcPr>
          <w:p>
            <w:pPr>
              <w:spacing w:after="0"/>
              <w:rPr>
                <w:sz w:val="20"/>
                <w:szCs w:val="20"/>
                <w:color w:val="auto"/>
              </w:rPr>
            </w:pPr>
            <w:r>
              <w:rPr>
                <w:rFonts w:ascii="Arial" w:cs="Arial" w:eastAsia="Arial" w:hAnsi="Arial"/>
                <w:sz w:val="18"/>
                <w:szCs w:val="18"/>
                <w:color w:val="auto"/>
              </w:rPr>
              <w:t>Three months Ended September 30, 2023 and 2022:</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980" w:type="dxa"/>
            <w:vAlign w:val="bottom"/>
            <w:gridSpan w:val="4"/>
          </w:tcPr>
          <w:p>
            <w:pPr>
              <w:spacing w:after="0"/>
              <w:rPr>
                <w:sz w:val="20"/>
                <w:szCs w:val="20"/>
                <w:color w:val="auto"/>
              </w:rPr>
            </w:pPr>
            <w:r>
              <w:rPr>
                <w:rFonts w:ascii="Arial" w:cs="Arial" w:eastAsia="Arial" w:hAnsi="Arial"/>
                <w:sz w:val="18"/>
                <w:szCs w:val="18"/>
                <w:color w:val="auto"/>
              </w:rPr>
              <w:t>Lease cost</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9/30/2023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9/30/2022</w:t>
            </w:r>
          </w:p>
        </w:tc>
        <w:tc>
          <w:tcPr>
            <w:tcW w:w="100" w:type="dxa"/>
            <w:vAlign w:val="bottom"/>
          </w:tcPr>
          <w:p>
            <w:pPr>
              <w:spacing w:after="0"/>
              <w:rPr>
                <w:sz w:val="24"/>
                <w:szCs w:val="24"/>
                <w:color w:val="auto"/>
              </w:rPr>
            </w:pPr>
          </w:p>
        </w:tc>
      </w:tr>
      <w:tr>
        <w:trPr>
          <w:trHeight w:val="20"/>
        </w:trPr>
        <w:tc>
          <w:tcPr>
            <w:tcW w:w="760" w:type="dxa"/>
            <w:vAlign w:val="bottom"/>
            <w:tcBorders>
              <w:top w:val="single" w:sz="8" w:color="auto"/>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r>
      <w:tr>
        <w:trPr>
          <w:trHeight w:val="210"/>
        </w:trPr>
        <w:tc>
          <w:tcPr>
            <w:tcW w:w="69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Operating lease cost (included in G&amp;A in the Company's statement of operations)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792,826</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779,233</w:t>
            </w:r>
          </w:p>
        </w:tc>
        <w:tc>
          <w:tcPr>
            <w:tcW w:w="100" w:type="dxa"/>
            <w:vAlign w:val="bottom"/>
            <w:shd w:val="clear" w:color="auto" w:fill="EEEEEE"/>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320" w:type="dxa"/>
            <w:vAlign w:val="bottom"/>
            <w:tcBorders>
              <w:bottom w:val="single" w:sz="8" w:color="auto"/>
            </w:tcBorders>
            <w:gridSpan w:val="3"/>
            <w:shd w:val="clear" w:color="auto" w:fill="EEEEEE"/>
          </w:tcPr>
          <w:p>
            <w:pPr>
              <w:spacing w:after="0" w:line="176" w:lineRule="exact"/>
              <w:rPr>
                <w:sz w:val="20"/>
                <w:szCs w:val="20"/>
                <w:color w:val="auto"/>
              </w:rPr>
            </w:pPr>
            <w:r>
              <w:rPr>
                <w:rFonts w:ascii="Arial" w:cs="Arial" w:eastAsia="Arial" w:hAnsi="Arial"/>
                <w:sz w:val="18"/>
                <w:szCs w:val="18"/>
                <w:color w:val="auto"/>
                <w:w w:val="93"/>
              </w:rPr>
              <w:t>Other information</w:t>
            </w:r>
          </w:p>
        </w:tc>
        <w:tc>
          <w:tcPr>
            <w:tcW w:w="566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6980" w:type="dxa"/>
            <w:vAlign w:val="bottom"/>
            <w:gridSpan w:val="4"/>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792,317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769,061</w:t>
            </w:r>
          </w:p>
        </w:tc>
      </w:tr>
      <w:tr>
        <w:trPr>
          <w:trHeight w:val="216"/>
        </w:trPr>
        <w:tc>
          <w:tcPr>
            <w:tcW w:w="69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Remaining term in years</w:t>
            </w: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0.08 – 4.67</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0.83 – 5.67</w:t>
            </w:r>
          </w:p>
        </w:tc>
      </w:tr>
      <w:tr>
        <w:trPr>
          <w:trHeight w:val="230"/>
        </w:trPr>
        <w:tc>
          <w:tcPr>
            <w:tcW w:w="6980" w:type="dxa"/>
            <w:vAlign w:val="bottom"/>
            <w:gridSpan w:val="4"/>
          </w:tcPr>
          <w:p>
            <w:pPr>
              <w:spacing w:after="0"/>
              <w:rPr>
                <w:sz w:val="20"/>
                <w:szCs w:val="20"/>
                <w:color w:val="auto"/>
              </w:rPr>
            </w:pPr>
            <w:r>
              <w:rPr>
                <w:rFonts w:ascii="Arial" w:cs="Arial" w:eastAsia="Arial" w:hAnsi="Arial"/>
                <w:sz w:val="18"/>
                <w:szCs w:val="18"/>
                <w:color w:val="auto"/>
              </w:rPr>
              <w:t>Average discount rate - operating leases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5 - 8%</w:t>
            </w:r>
          </w:p>
        </w:tc>
        <w:tc>
          <w:tcPr>
            <w:tcW w:w="2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5 - 8%</w:t>
            </w:r>
          </w:p>
        </w:tc>
      </w:tr>
      <w:tr>
        <w:trPr>
          <w:trHeight w:val="418"/>
        </w:trPr>
        <w:tc>
          <w:tcPr>
            <w:tcW w:w="6980" w:type="dxa"/>
            <w:vAlign w:val="bottom"/>
            <w:gridSpan w:val="4"/>
          </w:tcPr>
          <w:p>
            <w:pPr>
              <w:spacing w:after="0"/>
              <w:rPr>
                <w:sz w:val="20"/>
                <w:szCs w:val="20"/>
                <w:color w:val="auto"/>
              </w:rPr>
            </w:pPr>
            <w:r>
              <w:rPr>
                <w:rFonts w:ascii="Arial" w:cs="Arial" w:eastAsia="Arial" w:hAnsi="Arial"/>
                <w:sz w:val="18"/>
                <w:szCs w:val="18"/>
                <w:color w:val="auto"/>
                <w:w w:val="98"/>
              </w:rPr>
              <w:t>The supplemental balance sheet information related to leases for the period is as follows: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980" w:type="dxa"/>
            <w:vAlign w:val="bottom"/>
            <w:gridSpan w:val="4"/>
          </w:tcPr>
          <w:p>
            <w:pPr>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9/30/2023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6/30/2023</w:t>
            </w:r>
          </w:p>
        </w:tc>
        <w:tc>
          <w:tcPr>
            <w:tcW w:w="100" w:type="dxa"/>
            <w:vAlign w:val="bottom"/>
          </w:tcPr>
          <w:p>
            <w:pPr>
              <w:spacing w:after="0"/>
              <w:rPr>
                <w:sz w:val="24"/>
                <w:szCs w:val="24"/>
                <w:color w:val="auto"/>
              </w:rPr>
            </w:pPr>
          </w:p>
        </w:tc>
      </w:tr>
      <w:tr>
        <w:trPr>
          <w:trHeight w:val="21"/>
        </w:trPr>
        <w:tc>
          <w:tcPr>
            <w:tcW w:w="760" w:type="dxa"/>
            <w:vAlign w:val="bottom"/>
            <w:tcBorders>
              <w:top w:val="single" w:sz="8" w:color="auto"/>
              <w:bottom w:val="single" w:sz="8" w:color="EEEEEE"/>
            </w:tcBorders>
          </w:tcPr>
          <w:p>
            <w:pPr>
              <w:spacing w:after="0" w:line="20" w:lineRule="exact"/>
              <w:rPr>
                <w:sz w:val="1"/>
                <w:szCs w:val="1"/>
                <w:color w:val="auto"/>
              </w:rPr>
            </w:pPr>
          </w:p>
        </w:tc>
        <w:tc>
          <w:tcPr>
            <w:tcW w:w="440" w:type="dxa"/>
            <w:vAlign w:val="bottom"/>
            <w:tcBorders>
              <w:top w:val="single" w:sz="8" w:color="auto"/>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r>
      <w:tr>
        <w:trPr>
          <w:trHeight w:val="209"/>
        </w:trPr>
        <w:tc>
          <w:tcPr>
            <w:tcW w:w="698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Right of use asset - non-current</w:t>
            </w:r>
          </w:p>
        </w:tc>
        <w:tc>
          <w:tcPr>
            <w:tcW w:w="58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7,763,712</w:t>
            </w:r>
          </w:p>
        </w:tc>
        <w:tc>
          <w:tcPr>
            <w:tcW w:w="22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7,837,345</w:t>
            </w: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800"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 current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Lease Liability - non-current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2,169,603</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2,159,173</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6,023,813</w:t>
            </w: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6,106,047</w:t>
            </w:r>
          </w:p>
        </w:tc>
      </w:tr>
      <w:tr>
        <w:trPr>
          <w:trHeight w:val="223"/>
        </w:trPr>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8,193,416</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8,265,220</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-462280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-179705</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8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Maturities of the Company’s lease liabilities are as follows: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9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Operating</w:t>
            </w:r>
          </w:p>
        </w:tc>
      </w:tr>
      <w:tr>
        <w:trPr>
          <w:trHeight w:val="230"/>
        </w:trPr>
        <w:tc>
          <w:tcPr>
            <w:tcW w:w="9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740"/>
              <w:spacing w:after="0"/>
              <w:rPr>
                <w:sz w:val="20"/>
                <w:szCs w:val="20"/>
                <w:color w:val="auto"/>
              </w:rPr>
            </w:pPr>
            <w:r>
              <w:rPr>
                <w:rFonts w:ascii="Arial" w:cs="Arial" w:eastAsia="Arial" w:hAnsi="Arial"/>
                <w:sz w:val="18"/>
                <w:szCs w:val="18"/>
                <w:color w:val="auto"/>
              </w:rPr>
              <w:t>Lease</w:t>
            </w:r>
          </w:p>
        </w:tc>
      </w:tr>
      <w:tr>
        <w:trPr>
          <w:trHeight w:val="210"/>
        </w:trPr>
        <w:tc>
          <w:tcPr>
            <w:tcW w:w="9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For Year ending June 30:</w:t>
            </w:r>
          </w:p>
        </w:tc>
        <w:tc>
          <w:tcPr>
            <w:tcW w:w="2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1,926,465</w:t>
            </w:r>
          </w:p>
        </w:tc>
        <w:tc>
          <w:tcPr>
            <w:tcW w:w="80" w:type="dxa"/>
            <w:vAlign w:val="bottom"/>
          </w:tcPr>
          <w:p>
            <w:pPr>
              <w:spacing w:after="0"/>
              <w:rPr>
                <w:sz w:val="18"/>
                <w:szCs w:val="18"/>
                <w:color w:val="auto"/>
              </w:rPr>
            </w:pPr>
          </w:p>
        </w:tc>
      </w:tr>
      <w:tr>
        <w:trPr>
          <w:trHeight w:val="216"/>
        </w:trPr>
        <w:tc>
          <w:tcPr>
            <w:tcW w:w="946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2,313,210</w:t>
            </w:r>
          </w:p>
        </w:tc>
        <w:tc>
          <w:tcPr>
            <w:tcW w:w="80" w:type="dxa"/>
            <w:vAlign w:val="bottom"/>
            <w:shd w:val="clear" w:color="auto" w:fill="EEEEEE"/>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1,766,797</w:t>
            </w:r>
          </w:p>
        </w:tc>
        <w:tc>
          <w:tcPr>
            <w:tcW w:w="80" w:type="dxa"/>
            <w:vAlign w:val="bottom"/>
          </w:tcPr>
          <w:p>
            <w:pPr>
              <w:spacing w:after="0"/>
              <w:rPr>
                <w:sz w:val="18"/>
                <w:szCs w:val="18"/>
                <w:color w:val="auto"/>
              </w:rPr>
            </w:pPr>
          </w:p>
        </w:tc>
      </w:tr>
      <w:tr>
        <w:trPr>
          <w:trHeight w:val="216"/>
        </w:trPr>
        <w:tc>
          <w:tcPr>
            <w:tcW w:w="9460" w:type="dxa"/>
            <w:vAlign w:val="bottom"/>
            <w:shd w:val="clear" w:color="auto" w:fill="EEEEEE"/>
          </w:tcPr>
          <w:p>
            <w:pPr>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1,596,275</w:t>
            </w:r>
          </w:p>
        </w:tc>
        <w:tc>
          <w:tcPr>
            <w:tcW w:w="80" w:type="dxa"/>
            <w:vAlign w:val="bottom"/>
            <w:shd w:val="clear" w:color="auto" w:fill="EEEEEE"/>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2028</w:t>
            </w:r>
          </w:p>
        </w:tc>
        <w:tc>
          <w:tcPr>
            <w:tcW w:w="2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1,459,407</w:t>
            </w:r>
          </w:p>
        </w:tc>
        <w:tc>
          <w:tcPr>
            <w:tcW w:w="80" w:type="dxa"/>
            <w:vAlign w:val="bottom"/>
          </w:tcPr>
          <w:p>
            <w:pPr>
              <w:spacing w:after="0"/>
              <w:rPr>
                <w:sz w:val="18"/>
                <w:szCs w:val="18"/>
                <w:color w:val="auto"/>
              </w:rPr>
            </w:pPr>
          </w:p>
        </w:tc>
      </w:tr>
      <w:tr>
        <w:trPr>
          <w:trHeight w:val="229"/>
        </w:trPr>
        <w:tc>
          <w:tcPr>
            <w:tcW w:w="9460" w:type="dxa"/>
            <w:vAlign w:val="bottom"/>
            <w:shd w:val="clear" w:color="auto" w:fill="EEEEEE"/>
          </w:tcPr>
          <w:p>
            <w:pPr>
              <w:spacing w:after="0"/>
              <w:rPr>
                <w:sz w:val="20"/>
                <w:szCs w:val="20"/>
                <w:color w:val="auto"/>
              </w:rPr>
            </w:pPr>
            <w:r>
              <w:rPr>
                <w:rFonts w:ascii="Arial" w:cs="Arial" w:eastAsia="Arial" w:hAnsi="Arial"/>
                <w:sz w:val="18"/>
                <w:szCs w:val="18"/>
                <w:color w:val="auto"/>
              </w:rPr>
              <w:t>Less: Imputed interest/present value discount</w:t>
            </w:r>
          </w:p>
        </w:tc>
        <w:tc>
          <w:tcPr>
            <w:tcW w:w="2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(868,738)</w:t>
            </w:r>
          </w:p>
        </w:tc>
      </w:tr>
      <w:tr>
        <w:trPr>
          <w:trHeight w:val="223"/>
        </w:trPr>
        <w:tc>
          <w:tcPr>
            <w:tcW w:w="946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8,193,416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This matter is presently scheduled to hold its evidentiary hearing before a FINRA arbitration panel during the first two weeks of March 2024.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The Company cannot reasonably estimate the amount of potential exposure as of the date of this report.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may have on the Company’s business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both"/>
        <w:spacing w:after="0" w:line="254" w:lineRule="auto"/>
        <w:rPr>
          <w:sz w:val="20"/>
          <w:szCs w:val="20"/>
          <w:color w:val="auto"/>
        </w:rPr>
      </w:pPr>
      <w:r>
        <w:rPr>
          <w:rFonts w:ascii="Arial" w:cs="Arial" w:eastAsia="Arial" w:hAnsi="Arial"/>
          <w:sz w:val="18"/>
          <w:szCs w:val="18"/>
          <w:color w:val="auto"/>
        </w:rPr>
        <w:t>In February 2022, the Russian Federation began conducting military operations against Ukraine, and in October 2023, an armed conflict between Hamas-led Palestinian militant groups and Israeli military forces began. While we do not do business in those regions, the military conflict in Ukraine and in Israel has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they did not have a material effect on our results of operations, financial condition, or liquidity for the three months ended September 30, 2023 and 2022.</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13, 2020, the Company entered into an agreement with Royal Business Bank (the “Lender”) for a total amount of $175,500, pursuant to which the Company issued a promissory note to the Lender (the “PPP Note”). The loan was made pursuant to the Payroll Protection Program established as part of the Coronavirus Aid, Relief and Economic Security Act (the “CARES Act”). On March 22, 2021, the $175,500 PPP Note due to Royal Business Bank was fully forgiven by the SBA.</w:t>
      </w:r>
    </w:p>
    <w:p>
      <w:pPr>
        <w:spacing w:after="0" w:line="187"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its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unaudited condensed consolidated financial statements were available to be issued. Other than as set forth below, there were no material subsequent events that required recognition or additional disclosure in the unaudited condensed consolidated financial statements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On October 31, 2023, the lease agreement for a fulfillment center in City of Industry, California expired, and the Company did not renew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720"/>
        <w:spacing w:after="0" w:line="271"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(the “MD&amp;A”) should be read in conjunction with our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spacing w:after="0" w:line="178"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Driven by tech and data, iPower Inc. is an online supplier of consumer goods, including hydroponics equipment, general gardening supplies and consumer home goods. Through the operations of our e-commerce platforms and channel partners, our 99,000 square foot fulfillment center in Rancho Cucamonga, California, and our combined 98,360 square foot fulfillment centers in Los Angeles,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sales.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are actively developing and acquiring our in-house branded products, which to date include the </w:t>
      </w:r>
      <w:r>
        <w:rPr>
          <w:rFonts w:ascii="Arial" w:cs="Arial" w:eastAsia="Arial" w:hAnsi="Arial"/>
          <w:sz w:val="18"/>
          <w:szCs w:val="18"/>
          <w:b w:val="1"/>
          <w:bCs w:val="1"/>
          <w:i w:val="1"/>
          <w:iCs w:val="1"/>
          <w:color w:val="auto"/>
        </w:rPr>
        <w:t>iPower</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Simple Deluxe</w:t>
      </w:r>
      <w:r>
        <w:rPr>
          <w:rFonts w:ascii="Arial" w:cs="Arial" w:eastAsia="Arial" w:hAnsi="Arial"/>
          <w:sz w:val="18"/>
          <w:szCs w:val="18"/>
          <w:color w:val="auto"/>
        </w:rPr>
        <w:t xml:space="preserve"> brands and more, some of which have been designated as Amazon best seller product leaders and Amazon Choice products, among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Joint Ventures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15, 2022, in exchange for total consideration with a fair value of $10.6 million, we acquired 100% of the ordinary shares of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PRC and which is a wholly foreign-owned enterprise (“WFOE”) of Fly Elephant Limited. The WFOE controls, through a series of contractual arrangements summarized below, the business, revenues and profits of Daheshou (Shenzhen) Information Technology Co., Ltd., a company organized under the Laws of the PRC (the “Operating Company”) and located in Shenzhen, China. The Operating Company is principally engaged in selling a wide range of products and providing logistic services in the PRC.</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10, 2022, we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 and services to assist businesses, including the Company and other businesses, in the marketing of their products. 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GSM limited liability operating agreement (the “GSM LLC Agreement”), the Company will contribute $100,000 to the capital of GSM and Bro Angel granted GSM, pursuant to the terms of an intellectual property licensing agreement, dated February 10, 2022 (the “IP License Agreement”), an exclusive worldwide paid up right and license to use all intellectual property of Bro Angel and its members for the purpose of furthering the proposed business of GSM. The LLC Agreement prohibits the issuance of additional GSM Equity Units and certain other actions unless approved in advance by the Company.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648"/>
        <w:spacing w:after="0" w:line="257" w:lineRule="auto"/>
        <w:rPr>
          <w:sz w:val="20"/>
          <w:szCs w:val="20"/>
          <w:color w:val="auto"/>
        </w:rPr>
      </w:pPr>
      <w:r>
        <w:rPr>
          <w:rFonts w:ascii="Arial" w:cs="Arial" w:eastAsia="Arial" w:hAnsi="Arial"/>
          <w:sz w:val="18"/>
          <w:szCs w:val="18"/>
          <w:color w:val="auto"/>
        </w:rPr>
        <w:t>Pursuant to the GSM Joint Venture Agreement, the Company and GSM also intended to enter into an occupancy management agreement pursuant to which the Company would grant to GSM the right to have access to and use of up to approximately 4,000 square feet of office space along with internet access at the Company’s facility located at 2399 Bateman Avenue, Irwindale, CA 91010. It was contemplated that only approximately 300-400 square feet would initially be used by GSM. However, since the space was never utilized by GSM, iPower resumed using the contemplated space during the fiscal year ended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Brand Development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plan to increase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Disruption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While at present the majority of our products are sourced either in the United States or China, the military conflict between Russia and Ukraine and the military conflict between Israel-Palestinian may nonetheless increase the likelihood of supply chain disruptions and hinder our ability to find the materials we need to make our products. Thus far, as a result of the general global economic disruption, we have experienced a decrease in the speed with which we are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COVID-19 Outbreak and Related Disruptions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the worst of the COVID-19 pandemic has seemingly passed, we are continuing to closely monitor its impact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any regional outbreaks, the impact on consumer activity and behaviors and the effect on our customers, employees, suppliers, and stockholders, all of which are uncertain and cannot be predicted.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Environment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additional to general consumer goods, 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30, 2023 and 2022</w:t>
      </w:r>
    </w:p>
    <w:p>
      <w:pPr>
        <w:spacing w:after="0" w:line="225"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The following table presents certain unaudited condensed consolidated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3"/>
              </w:rPr>
              <w:t>Three Months</w:t>
            </w:r>
          </w:p>
        </w:tc>
        <w:tc>
          <w:tcPr>
            <w:tcW w:w="160" w:type="dxa"/>
            <w:vAlign w:val="bottom"/>
          </w:tcPr>
          <w:p>
            <w:pPr>
              <w:spacing w:after="0"/>
              <w:rPr>
                <w:sz w:val="18"/>
                <w:szCs w:val="18"/>
                <w:color w:val="auto"/>
              </w:rPr>
            </w:pPr>
          </w:p>
        </w:tc>
        <w:tc>
          <w:tcPr>
            <w:tcW w:w="16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3"/>
              </w:rPr>
              <w:t>Three Months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62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0"/>
              </w:rPr>
              <w:t>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80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9"/>
              </w:rPr>
              <w:t>September 30, 2023</w:t>
            </w:r>
          </w:p>
        </w:tc>
        <w:tc>
          <w:tcPr>
            <w:tcW w:w="178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9"/>
              </w:rPr>
              <w:t>September 30, 2022</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Variance</w:t>
            </w: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EEEEEE"/>
          </w:tcPr>
          <w:p>
            <w:pPr>
              <w:jc w:val="right"/>
              <w:ind w:right="1"/>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26,508,374</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26,022,673</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9"/>
                <w:szCs w:val="19"/>
                <w:color w:val="auto"/>
              </w:rPr>
            </w:pPr>
          </w:p>
        </w:tc>
        <w:tc>
          <w:tcPr>
            <w:tcW w:w="1640" w:type="dxa"/>
            <w:vAlign w:val="bottom"/>
            <w:gridSpan w:val="2"/>
          </w:tcPr>
          <w:p>
            <w:pPr>
              <w:jc w:val="right"/>
              <w:ind w:right="141"/>
              <w:spacing w:after="0"/>
              <w:rPr>
                <w:sz w:val="20"/>
                <w:szCs w:val="20"/>
                <w:color w:val="auto"/>
              </w:rPr>
            </w:pPr>
            <w:r>
              <w:rPr>
                <w:rFonts w:ascii="Arial" w:cs="Arial" w:eastAsia="Arial" w:hAnsi="Arial"/>
                <w:sz w:val="18"/>
                <w:szCs w:val="18"/>
                <w:color w:val="auto"/>
              </w:rPr>
              <w:t>14,749,529</w:t>
            </w:r>
          </w:p>
        </w:tc>
        <w:tc>
          <w:tcPr>
            <w:tcW w:w="160" w:type="dxa"/>
            <w:vAlign w:val="bottom"/>
          </w:tcPr>
          <w:p>
            <w:pPr>
              <w:spacing w:after="0"/>
              <w:rPr>
                <w:sz w:val="19"/>
                <w:szCs w:val="19"/>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16,036,957</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11,758,845</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9,985,716</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640" w:type="dxa"/>
            <w:vAlign w:val="bottom"/>
            <w:gridSpan w:val="2"/>
          </w:tcPr>
          <w:p>
            <w:pPr>
              <w:jc w:val="right"/>
              <w:ind w:right="141"/>
              <w:spacing w:after="0"/>
              <w:rPr>
                <w:sz w:val="20"/>
                <w:szCs w:val="20"/>
                <w:color w:val="auto"/>
              </w:rPr>
            </w:pPr>
            <w:r>
              <w:rPr>
                <w:rFonts w:ascii="Arial" w:cs="Arial" w:eastAsia="Arial" w:hAnsi="Arial"/>
                <w:sz w:val="18"/>
                <w:szCs w:val="18"/>
                <w:color w:val="auto"/>
              </w:rPr>
              <w:t>13,027,522</w:t>
            </w:r>
          </w:p>
        </w:tc>
        <w:tc>
          <w:tcPr>
            <w:tcW w:w="160" w:type="dxa"/>
            <w:vAlign w:val="bottom"/>
          </w:tcPr>
          <w:p>
            <w:pPr>
              <w:spacing w:after="0"/>
              <w:rPr>
                <w:sz w:val="19"/>
                <w:szCs w:val="19"/>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14,579,022</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(1,268,677</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(4,593,306</w:t>
            </w:r>
          </w:p>
        </w:tc>
        <w:tc>
          <w:tcPr>
            <w:tcW w:w="220" w:type="dxa"/>
            <w:vAlign w:val="bottom"/>
            <w:tcBorders>
              <w:top w:val="single" w:sz="8" w:color="EEEEEE"/>
            </w:tcBorders>
            <w:shd w:val="clear" w:color="auto" w:fill="EEEEEE"/>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(72.4%)</w:t>
            </w:r>
          </w:p>
        </w:tc>
      </w:tr>
      <w:tr>
        <w:trPr>
          <w:trHeight w:val="209"/>
        </w:trPr>
        <w:tc>
          <w:tcPr>
            <w:tcW w:w="59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(296,556</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(39,671</w:t>
            </w:r>
          </w:p>
        </w:tc>
        <w:tc>
          <w:tcPr>
            <w:tcW w:w="220" w:type="dxa"/>
            <w:vAlign w:val="bottom"/>
            <w:tcBorders>
              <w:bottom w:val="single" w:sz="8" w:color="EEEEEE"/>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647.5%</w:t>
            </w:r>
          </w:p>
        </w:tc>
      </w:tr>
      <w:tr>
        <w:trPr>
          <w:trHeight w:val="210"/>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(1,565,233)</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(4,632,977)</w:t>
            </w: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(66.2%)</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1640" w:type="dxa"/>
            <w:vAlign w:val="bottom"/>
            <w:gridSpan w:val="2"/>
          </w:tcPr>
          <w:p>
            <w:pPr>
              <w:jc w:val="right"/>
              <w:ind w:right="81"/>
              <w:spacing w:after="0"/>
              <w:rPr>
                <w:sz w:val="20"/>
                <w:szCs w:val="20"/>
                <w:color w:val="auto"/>
              </w:rPr>
            </w:pPr>
            <w:r>
              <w:rPr>
                <w:rFonts w:ascii="Arial" w:cs="Arial" w:eastAsia="Arial" w:hAnsi="Arial"/>
                <w:sz w:val="18"/>
                <w:szCs w:val="18"/>
                <w:color w:val="auto"/>
              </w:rPr>
              <w:t>(275,882)</w:t>
            </w:r>
          </w:p>
        </w:tc>
        <w:tc>
          <w:tcPr>
            <w:tcW w:w="16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(447,796)</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(1,289,351)</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(4,185,181)</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(69.2%)</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9"/>
                <w:szCs w:val="19"/>
                <w:color w:val="auto"/>
              </w:rPr>
            </w:pPr>
          </w:p>
        </w:tc>
        <w:tc>
          <w:tcPr>
            <w:tcW w:w="1640" w:type="dxa"/>
            <w:vAlign w:val="bottom"/>
            <w:gridSpan w:val="2"/>
          </w:tcPr>
          <w:p>
            <w:pPr>
              <w:jc w:val="right"/>
              <w:ind w:right="81"/>
              <w:spacing w:after="0"/>
              <w:rPr>
                <w:sz w:val="20"/>
                <w:szCs w:val="20"/>
                <w:color w:val="auto"/>
              </w:rPr>
            </w:pPr>
            <w:r>
              <w:rPr>
                <w:rFonts w:ascii="Arial" w:cs="Arial" w:eastAsia="Arial" w:hAnsi="Arial"/>
                <w:sz w:val="18"/>
                <w:szCs w:val="18"/>
                <w:color w:val="auto"/>
              </w:rPr>
              <w:t>(2,836)</w:t>
            </w:r>
          </w:p>
        </w:tc>
        <w:tc>
          <w:tcPr>
            <w:tcW w:w="16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(2,805)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09"/>
        </w:trPr>
        <w:tc>
          <w:tcPr>
            <w:tcW w:w="59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attributable to iPower Inc.</w:t>
            </w: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(1,286,515)</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(4,182,376)</w:t>
            </w:r>
          </w:p>
        </w:tc>
        <w:tc>
          <w:tcPr>
            <w:tcW w:w="2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(69.2%)</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1640" w:type="dxa"/>
            <w:vAlign w:val="bottom"/>
            <w:gridSpan w:val="2"/>
          </w:tcPr>
          <w:p>
            <w:pPr>
              <w:jc w:val="right"/>
              <w:ind w:right="81"/>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(111,475)</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r>
      <w:tr>
        <w:trPr>
          <w:trHeight w:val="223"/>
        </w:trPr>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loss attributable to iPower Inc.</w:t>
            </w:r>
          </w:p>
        </w:tc>
        <w:tc>
          <w:tcPr>
            <w:tcW w:w="160" w:type="dxa"/>
            <w:vAlign w:val="bottom"/>
            <w:tcBorders>
              <w:top w:val="single" w:sz="8" w:color="auto"/>
              <w:bottom w:val="single" w:sz="8" w:color="auto"/>
            </w:tcBorders>
            <w:shd w:val="clear" w:color="auto" w:fill="EEEEEE"/>
          </w:tcPr>
          <w:p>
            <w:pPr>
              <w:jc w:val="right"/>
              <w:ind w:right="1"/>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(1,287,222</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(4,293,851</w:t>
            </w:r>
          </w:p>
        </w:tc>
        <w:tc>
          <w:tcPr>
            <w:tcW w:w="220" w:type="dxa"/>
            <w:vAlign w:val="bottom"/>
            <w:tcBorders>
              <w:top w:val="single" w:sz="8" w:color="EEEEEE"/>
              <w:bottom w:val="single" w:sz="8" w:color="EEEEEE"/>
            </w:tcBorders>
            <w:shd w:val="clear" w:color="auto" w:fill="EEEEEE"/>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EEEEEE"/>
              <w:bottom w:val="single" w:sz="8" w:color="EEEEEE"/>
            </w:tcBorders>
            <w:gridSpan w:val="2"/>
            <w:shd w:val="clear" w:color="auto" w:fill="EEEEEE"/>
          </w:tcPr>
          <w:p>
            <w:pPr>
              <w:jc w:val="right"/>
              <w:ind w:right="40"/>
              <w:spacing w:after="0" w:line="223" w:lineRule="exact"/>
              <w:rPr>
                <w:sz w:val="20"/>
                <w:szCs w:val="20"/>
                <w:color w:val="auto"/>
              </w:rPr>
            </w:pPr>
            <w:r>
              <w:rPr>
                <w:rFonts w:ascii="Arial" w:cs="Arial" w:eastAsia="Arial" w:hAnsi="Arial"/>
                <w:sz w:val="14"/>
                <w:szCs w:val="14"/>
                <w:color w:val="auto"/>
              </w:rPr>
              <w:t>(70.0%</w:t>
            </w:r>
            <w:r>
              <w:rPr>
                <w:rFonts w:ascii="Arial" w:cs="Arial" w:eastAsia="Arial" w:hAnsi="Arial"/>
                <w:sz w:val="25"/>
                <w:szCs w:val="25"/>
                <w:color w:val="auto"/>
                <w:vertAlign w:val="superscript"/>
              </w:rPr>
              <w:t>)</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38.4%</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 % of revenues</w:t>
            </w:r>
          </w:p>
        </w:tc>
        <w:tc>
          <w:tcPr>
            <w:tcW w:w="160" w:type="dxa"/>
            <w:vAlign w:val="bottom"/>
          </w:tcPr>
          <w:p>
            <w:pPr>
              <w:spacing w:after="0"/>
              <w:rPr>
                <w:sz w:val="18"/>
                <w:szCs w:val="18"/>
                <w:color w:val="auto"/>
              </w:rPr>
            </w:pPr>
          </w:p>
        </w:tc>
        <w:tc>
          <w:tcPr>
            <w:tcW w:w="1640" w:type="dxa"/>
            <w:vAlign w:val="bottom"/>
            <w:gridSpan w:val="2"/>
          </w:tcPr>
          <w:p>
            <w:pPr>
              <w:jc w:val="right"/>
              <w:ind w:right="81"/>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(17.7%)</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Net loss % of revenues</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(4.9%)</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(16.1%)</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Revenues for the three months ended September 30, 2023 increased 1.9% to $26,508,374 as compared to $26,022,673 for the three months ended September 30, 2022. While pricing remained stable, the slightly increased revenue mainly resulted from an increase in sales volume and expansion of sales to other regions, such as Canada, Europe and Asia. However, while the revenues for the current period improved over last year, we cannot be assured that this trend will continue.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Costs of goods sold for the three months ended September 30, 2023 decreased 8.0% to $14,749,529 as compared to $16,036,957 for the three months ended September 30, 2022. The decrease was primarily due to a decrease in freight costs. See discussions on gross profit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Gross profit was $11,758,845 for the three months ended September 30, 2023 as compared to $9,985,716 for the three months ended September 30, 2022. The gross profit ratio increased to 44.4% for the three months ended September 30, 2023 from 38.4% for the three months ended September 30, 2022. The increase in the gross profit ratio was mainly driven by the decrease in costs of goods sold as a result of decreased freight charges during the current period. However, we cannot be assured that this trend will continue.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Operating expenses for the three months ended September 30, 2023 decreased 10.6% to $13,027,522 as compared to $14,579,022 for the three months ended September 30, 2022. The decrease was mainly due to the combination of an increase in selling and fulfillment expenses of $1.6 million as a result of increased costs related to advertising, merchant fees, rental expenses, and delivery fees, and a decrease in general and administrative expenses of $0.1 million, which included payroll expenses, stock-based compensation expense, insurance expenses and other operating expenses, and a decrease of $3.06 million of impairment loss on goodwill triggered by a decrease in the Company’s share price of its common stock and the net loss incurred during the quarter ended September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Loss from operations was $1,268,677 for the three months ended September 30, 2023 as compared to $4,593,306 for the three months ended September 30, 2022. The decrease in loss was resulted from the decrease in operating expenses and the increase in gross profit, as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Other expenses for the three months ended September 30, 2023 was $296,556 as compared to $39,671 for the three months ended September 30, 2022. The increase in other expenses was mainly due to a decrease in other non-operating income of $278,926 resulted from termination of sublease in January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iPower Inc.</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Net loss attributable to iPower Inc. for the three months ended September 30, 2023 was $1,286,515 as compared to $4,182,376 for the three months ended September 30, 2022, representing a decrease of net loss of $2,895,861. The decrease was primarily due to the increase in gross profit and decrease in operating expenses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 Attributable to iPower Inc.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Comprehensive loss attributable to iPower Inc. for the three months ended September 30, 2023 was $1,287,222 as compared to $4,293,851 for the three months ended September 30, 2022, representing a decrease of comprehensive loss of $3,006,629. The decrease was due to the reasons discussed above, along with a decrease in other comprehensive loss of $110,768 as a result of foreign currency translation adjustments resulting from the translation of RMB, the functional currency of our VIE in the PRC, to USD, the reporting currency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During the three months ended September 30, 2023 we primarily funded our operations with cash and cash equivalents generated from operations, as well as through borrowing under our credit facility from JPMorgan Chase Bank ("JPM”). We had cash and cash equivalents of $2,729,161 as of September 30, 2023, representing a $1.0 million decrease from $3,735,642 of cash as of June 30, 2023. The cash decrease was primarily the combined result of the increased cash provided by operating activities and a decrease in net cash provided by financing activities resulting from our payments to pay down the note payable and the JPM revolving line.</w:t>
      </w:r>
    </w:p>
    <w:p>
      <w:pPr>
        <w:spacing w:after="0" w:line="188"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Based on our current operating plan, and despite the current uncertainty resulting from the ongoing COVID-19 pandemic, we believe that our existing cash and cash equivalents and cash flows from operations will be sufficient to finance our operations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jc w:val="both"/>
        <w:ind w:firstLine="648"/>
        <w:spacing w:after="0" w:line="270" w:lineRule="auto"/>
        <w:rPr>
          <w:sz w:val="20"/>
          <w:szCs w:val="20"/>
          <w:color w:val="auto"/>
        </w:rPr>
      </w:pPr>
      <w:r>
        <w:rPr>
          <w:rFonts w:ascii="Arial" w:cs="Arial" w:eastAsia="Arial" w:hAnsi="Arial"/>
          <w:sz w:val="17"/>
          <w:szCs w:val="17"/>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to our margin profile and ability to generate cash. Currently, we have approximately $20 million in unused credit under the revolving line with JPM. Given our current working capital position and available funding from our revolving credit line, we believe we will be able to manage through the current challenges by managing payment terms with customers and vendors.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As of September 30, 2023 and June 30, 2023, our working capital was $11.8 million and $17.9 million, respectively. The historical seasonality in our business during the year can cause cash and cash equivalents, inventory and accounts payable to fluctuate, resulting in changes in our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Net cash provided by operating activities for the three months ended September 30, 2023 and 2022 was $4,052,341 and $379,025, respectively. The increase in cash provided by operating activities mainly resulted from the decrease of accounts receivable, inventories, prepayments and other current assets, partially offset by a decrease of accounts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For the three months ended September 30, 2023 and 2022, net cash used in investing activities was $0 and $57,989, respectively. The decrease in cash used in investing activities was because the Company did not have additional purchase of equipment during the three months ended September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Net cash (used in) provided by financing activities was $(5,075,000) and $2,760,614, respectively, for the three months ended September 30, 2023 and 2022. The main reason the Company experienced an increase in net cash used in financing activities was primarily due to our payment of $7.1 million for: (1) $1.9 million to pay down the note payable to White Cherry; and (2) $5.2 million to pay down the outstanding balance of the asset-based revolving loan facility with JPM.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720"/>
        <w:spacing w:after="0" w:line="288"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Revenue reco</w:t>
      </w:r>
      <w:r>
        <w:rPr>
          <w:rFonts w:ascii="Arial" w:cs="Arial" w:eastAsia="Arial" w:hAnsi="Arial"/>
          <w:sz w:val="18"/>
          <w:szCs w:val="18"/>
          <w:color w:val="auto"/>
        </w:rPr>
        <w:t>g</w:t>
      </w:r>
      <w:r>
        <w:rPr>
          <w:rFonts w:ascii="Arial" w:cs="Arial" w:eastAsia="Arial" w:hAnsi="Arial"/>
          <w:sz w:val="18"/>
          <w:szCs w:val="18"/>
          <w:u w:val="single" w:color="auto"/>
          <w:color w:val="auto"/>
        </w:rPr>
        <w:t>nition</w:t>
      </w:r>
    </w:p>
    <w:p>
      <w:pPr>
        <w:spacing w:after="0" w:line="225"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61"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Payments received prior to the shipment of goods to customers are recorded as customer deposits.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net</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fulfillment, general and administrative expenses. The Company regularly reviews inventory and considers forecasts of future demand, market conditions and product obsolescence.</w:t>
      </w:r>
    </w:p>
    <w:p>
      <w:pPr>
        <w:spacing w:after="0" w:line="188" w:lineRule="exact"/>
        <w:rPr>
          <w:sz w:val="20"/>
          <w:szCs w:val="20"/>
          <w:color w:val="auto"/>
        </w:rPr>
      </w:pPr>
    </w:p>
    <w:p>
      <w:pPr>
        <w:jc w:val="both"/>
        <w:ind w:right="20" w:firstLine="7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which run for a term of 10 years from February 2022 to February 2032,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and Note 5 for details on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Goodwill represents the excess of the purchase price over the fair value of assets acquired and liabilities assumed. The Company accounts for goodwill under </w:t>
      </w:r>
      <w:r>
        <w:rPr>
          <w:rFonts w:ascii="Arial" w:cs="Arial" w:eastAsia="Arial" w:hAnsi="Arial"/>
          <w:sz w:val="18"/>
          <w:szCs w:val="18"/>
          <w:i w:val="1"/>
          <w:iCs w:val="1"/>
          <w:color w:val="auto"/>
        </w:rPr>
        <w:t>ASC Topic 350, Intangibles-Goodwill and Other</w:t>
      </w:r>
      <w:r>
        <w:rPr>
          <w:rFonts w:ascii="Arial" w:cs="Arial" w:eastAsia="Arial" w:hAnsi="Arial"/>
          <w:sz w:val="18"/>
          <w:szCs w:val="18"/>
          <w:color w:val="auto"/>
        </w:rPr>
        <w: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jc w:val="both"/>
        <w:ind w:firstLine="648"/>
        <w:spacing w:after="0" w:line="286" w:lineRule="auto"/>
        <w:rPr>
          <w:sz w:val="20"/>
          <w:szCs w:val="20"/>
          <w:color w:val="auto"/>
        </w:rPr>
      </w:pPr>
      <w:r>
        <w:rPr>
          <w:rFonts w:ascii="Arial" w:cs="Arial" w:eastAsia="Arial" w:hAnsi="Arial"/>
          <w:sz w:val="16"/>
          <w:szCs w:val="16"/>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shall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quarter ended September 30, 2022. The Company also considered the Market Capital Method, which is an alternative market approach, suggested the Company’s goodwill is partially impaired.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September 30, 2023, the Company performed a qualitative goodwill impairment analysis following the steps laid out in ASC 350-20-35-3C and noted no goodwill impairment. As of September 30, 2023 and 2022, the remaining goodwill balance amounted to $3,034,110.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Finite life intangible assets at September 30, 2023 include a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Borders>
              <w:bottom w:val="single" w:sz="8" w:color="EEEEEE"/>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r>
      <w:tr>
        <w:trPr>
          <w:trHeight w:val="210"/>
        </w:trPr>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Covenant Not to Compete</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Supplier relationship</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6 years</w:t>
            </w:r>
          </w:p>
        </w:tc>
      </w:tr>
      <w:tr>
        <w:trPr>
          <w:trHeight w:val="216"/>
        </w:trPr>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Software</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September 30, 2023, there were no indicators of impairment.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 As of September 30, 2023, the Company expected that the deferred tax assets are fully realizable so did not record any valuation allowance.</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its inception on April 11, 2018, and has subsequently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September 30, 2023,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lack effective communication and reconciliation procedures in our controlled subsidiaries, and (ii)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the quarter ended September 30, 2023 that have materially affected, or are reasonably likely to materially affect, our internal controls over financial reporting.</w:t>
      </w:r>
    </w:p>
    <w:p>
      <w:pPr>
        <w:spacing w:after="0" w:line="170"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UHY LLP, our independent registered public accounting firm, is not required to and has not provided an assessment concerning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17"/>
          <w:szCs w:val="17"/>
          <w:color w:val="auto"/>
        </w:rPr>
        <w:t>Our former placement agent, Boustead Securities LLC ("Boustead”), has brought a legal action against us following our communication to Boustead to unilaterally terminate an engagement agreement under which we and Boustead had originally intended for Boustead to be engaged to act as an exclusive underwriter in our initial public offering. To date, we have been unable to reach a settlement with Boustead. On April 30, 2021, Boustead filed a statement of claim with FINRA demanding to arbitrate the dispute, and is seeking, among other things, monetary damages against the Company and D.A. Davidson &amp; Co. The matter is presently scheduled to hold its evidentiary hearing before a FINRA arbitration panel during the first two weeks of March 2024. The actual FINRA arbitration, however, has been postponed and, as a result, a date for the FINRA arbitration hearing has not yet been set. The Company and its special litigation counsel are in the process of preparing for the hearing. We believe that we have meritorious defenses to any claims that Boustead may assert, and we do not believe that such claims will have a material adverse effect on our business, financial condition, or operating results. However, we have agreed to indemnify D.A. Davidson &amp; Co. and the other underwriters who participated in our initial public offering against any liability or expense they may incur or be subject to arising out of the Boustead dispute. In addition, Chenlong Tan, our Chairman, President, and Chief Executive Officer and a beneficial owner of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for such reimbursement to come from sales of shares then owned by Mr. Tan.</w:t>
      </w:r>
    </w:p>
    <w:p>
      <w:pPr>
        <w:spacing w:after="0" w:line="184"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Other than the above, 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Unstable market and economic conditions and potential disruptions in the credit markets may adversely affect our business, including the availability and cost of short-term funds for liquidity requirements and our ability to meet long-term commitments, which could adversely affect our results of operations, cash flows and financial condition.</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internally generated funds are not available from operations, we may be required to rely on the banking and credit markets to meet our financial commitments and short-term liquidity needs. Our access to funds under our revolving credit facility or pursuant to arrangements with other financial institutions is dependent on the financial institution’s ability to meet funding commitments. Financial institutions may not be able to meet their funding commitments if they experience shortages of capital and liquidity or if they experience high volumes of borrowing requests from other borrowers within a short period of time.</w:t>
      </w:r>
    </w:p>
    <w:p>
      <w:pPr>
        <w:spacing w:after="0" w:line="18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the global credit and financial markets have recently experienced extreme volatility and disruptions, including severely diminished liquidity and credit availability, declines in consumer confidence, declines in economic growth, inflationary pressure and interest rate changes and uncertainty about economic stability. More recently, the closures of Silicon Valley Bank, Signature Bank and First Republic Bank and their placement into receivership with the Federal Deposit Insurance Corporation (FDIC) created bank-specific and broader financial institution liquidity risk and concerns. Although the Department of the Treasury, the Federal Reserve and the FDIC jointly released a statement that depositors at Silicon Valley Bank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24, 2023, we received a letter from the Nasdaq Listing Qualifications Staff of The Nasdaq Stock Market LLC (“Nasdaq”) stating that for the 30 consecutive business day period between July 13, 2023 to August 23, 2023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February 20, 2024 (the “Compliance Period”), to regain compliance with the Minimum Bid Price Requirement. To regain compliance, the closing bid price of the Company’s common stock must meet or exceed $1.00 per share for a minimum of 10 consecutive trading days, unless such period is extended by Nasdaq. If the Company does not regain compliance with the Minimum Bid Price Requirement by February 20, 2024, the Company may be eligible for an additional 180-day period to regain compliance. To qualify, the Company would be required to meet the continued listing requirement for market value of publicly held shares and all other initial listing standards for The Nasdaq Capital Market, with the exception of the Minimum Bid Price Requirement, and we would need to provide written notice of our intention to cure the bid price deficiency during the second compliance period, by effecting a reverse stock split, if necessary.</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the Company cannot regain compliance with the Minimum Bid Price Requirement during the Compliance Period or any subsequently granted compliance period, Nasdaq will provide the Company with notice that our common stock will be subject to delisting. At that time, the Company may appeal Nasdaq’s delisting determination to a Nasdaq Hearings Panel. While Nasdaq’s notice to the Company of noncompliance has no immediate effect on the listing of our common stock and our common stock will continue to be listed on The Nasdaq Capital Market under the symbol “IPW,” there can be no assurance that we will regain compliance with the Minimum Bid Price Requirement or maintain compliance with any of the other Nasdaq continued listing requirements. We will continue to monitor the closing bid price of our common stock and may, if appropriate, consider available options to regain compliance with the Minimum Bid Price Requirement.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EQUITY SECURITIES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exhibits are filed or furnished with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17"/>
                <w:szCs w:val="17"/>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Description of Exhibit</w:t>
            </w:r>
          </w:p>
        </w:tc>
        <w:tc>
          <w:tcPr>
            <w:tcW w:w="8420" w:type="dxa"/>
            <w:vAlign w:val="bottom"/>
            <w:gridSpan w:val="3"/>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0000EE"/>
              </w:rPr>
              <w:t xml:space="preserve">Certification of Chief Executive Officer pursuant to Section 302 of the Sarbanes-Oxley Act of 2002 </w:t>
            </w:r>
            <w:r>
              <w:rPr>
                <w:rFonts w:ascii="Arial" w:cs="Arial" w:eastAsia="Arial" w:hAnsi="Arial"/>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60" w:type="dxa"/>
            <w:vAlign w:val="bottom"/>
            <w:gridSpan w:val="2"/>
            <w:shd w:val="clear" w:color="auto" w:fill="0000EE"/>
          </w:tcPr>
          <w:p>
            <w:pPr>
              <w:spacing w:after="0" w:line="20" w:lineRule="exact"/>
              <w:rPr>
                <w:sz w:val="1"/>
                <w:szCs w:val="1"/>
                <w:color w:val="auto"/>
              </w:rPr>
            </w:pPr>
          </w:p>
        </w:tc>
        <w:tc>
          <w:tcPr>
            <w:tcW w:w="29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rPr>
              <w:t xml:space="preserve">Certification of Chief Financial Officer pursuant to Section 302 of the Sarbanes-Oxley Act of 2002 </w:t>
            </w:r>
            <w:r>
              <w:rPr>
                <w:rFonts w:ascii="Arial" w:cs="Arial" w:eastAsia="Arial" w:hAnsi="Arial"/>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60" w:type="dxa"/>
            <w:vAlign w:val="bottom"/>
            <w:gridSpan w:val="2"/>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101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Certification of Chief Executive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rPr>
              <w:t xml:space="preserve">Act of 2002 </w:t>
            </w:r>
            <w:r>
              <w:rPr>
                <w:rFonts w:ascii="Arial" w:cs="Arial" w:eastAsia="Arial" w:hAnsi="Arial"/>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4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906 of the Sarbanes-Oxley Act</w:t>
            </w: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 xml:space="preserve">of 2002 </w:t>
            </w:r>
            <w:r>
              <w:rPr>
                <w:rFonts w:ascii="Arial" w:cs="Arial" w:eastAsia="Arial" w:hAnsi="Arial"/>
                <w:sz w:val="18"/>
                <w:szCs w:val="18"/>
                <w:color w:val="000000"/>
              </w:rPr>
              <w:t>**</w:t>
            </w: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580" w:type="dxa"/>
            <w:vAlign w:val="bottom"/>
            <w:gridSpan w:val="5"/>
          </w:tcPr>
          <w:p>
            <w:pPr>
              <w:spacing w:after="0" w:line="20" w:lineRule="exact"/>
              <w:rPr>
                <w:sz w:val="1"/>
                <w:szCs w:val="1"/>
                <w:color w:val="auto"/>
              </w:rPr>
            </w:pP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9"/>
                <w:szCs w:val="19"/>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Schema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Definition Linkbase Data</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840" w:type="dxa"/>
            <w:vAlign w:val="bottom"/>
            <w:gridSpan w:val="2"/>
          </w:tcPr>
          <w:p>
            <w:pPr>
              <w:ind w:left="2600"/>
              <w:spacing w:after="0"/>
              <w:rPr>
                <w:sz w:val="20"/>
                <w:szCs w:val="20"/>
                <w:color w:val="auto"/>
              </w:rPr>
            </w:pPr>
            <w:r>
              <w:rPr>
                <w:rFonts w:ascii="Arial" w:cs="Arial" w:eastAsia="Arial" w:hAnsi="Arial"/>
                <w:sz w:val="18"/>
                <w:szCs w:val="18"/>
                <w:b w:val="1"/>
                <w:bCs w:val="1"/>
                <w:color w:val="auto"/>
              </w:rPr>
              <w:t>iPower Inc.</w:t>
            </w:r>
          </w:p>
        </w:tc>
        <w:tc>
          <w:tcPr>
            <w:tcW w:w="3360" w:type="dxa"/>
            <w:vAlign w:val="bottom"/>
          </w:tcPr>
          <w:p>
            <w:pPr>
              <w:spacing w:after="0"/>
              <w:rPr>
                <w:sz w:val="20"/>
                <w:szCs w:val="20"/>
                <w:color w:val="auto"/>
              </w:rPr>
            </w:pP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November 14, 2023</w:t>
            </w:r>
          </w:p>
        </w:tc>
        <w:tc>
          <w:tcPr>
            <w:tcW w:w="3840" w:type="dxa"/>
            <w:vAlign w:val="bottom"/>
            <w:gridSpan w:val="2"/>
          </w:tcPr>
          <w:p>
            <w:pPr>
              <w:ind w:left="2600"/>
              <w:spacing w:after="0"/>
              <w:rPr>
                <w:sz w:val="20"/>
                <w:szCs w:val="20"/>
                <w:color w:val="auto"/>
              </w:rPr>
            </w:pPr>
            <w:r>
              <w:rPr>
                <w:rFonts w:ascii="Arial" w:cs="Arial" w:eastAsia="Arial" w:hAnsi="Arial"/>
                <w:sz w:val="18"/>
                <w:szCs w:val="18"/>
                <w:color w:val="auto"/>
              </w:rPr>
              <w:t>By:</w:t>
            </w:r>
          </w:p>
        </w:tc>
        <w:tc>
          <w:tcPr>
            <w:tcW w:w="3360" w:type="dxa"/>
            <w:vAlign w:val="bottom"/>
          </w:tcPr>
          <w:p>
            <w:pPr>
              <w:jc w:val="center"/>
              <w:ind w:right="810"/>
              <w:spacing w:after="0"/>
              <w:rPr>
                <w:sz w:val="20"/>
                <w:szCs w:val="20"/>
                <w:color w:val="auto"/>
              </w:rPr>
            </w:pPr>
            <w:r>
              <w:rPr>
                <w:rFonts w:ascii="Arial" w:cs="Arial" w:eastAsia="Arial" w:hAnsi="Arial"/>
                <w:sz w:val="18"/>
                <w:szCs w:val="18"/>
                <w:color w:val="auto"/>
                <w:w w:val="88"/>
              </w:rPr>
              <w:t>/s/ Chenlong Tan</w:t>
            </w:r>
          </w:p>
        </w:tc>
      </w:tr>
      <w:tr>
        <w:trPr>
          <w:trHeight w:val="195"/>
        </w:trPr>
        <w:tc>
          <w:tcPr>
            <w:tcW w:w="40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tcPr>
          <w:p>
            <w:pPr>
              <w:jc w:val="center"/>
              <w:ind w:right="810"/>
              <w:spacing w:after="0" w:line="195" w:lineRule="exact"/>
              <w:rPr>
                <w:sz w:val="20"/>
                <w:szCs w:val="20"/>
                <w:color w:val="auto"/>
              </w:rPr>
            </w:pPr>
            <w:r>
              <w:rPr>
                <w:rFonts w:ascii="Arial" w:cs="Arial" w:eastAsia="Arial" w:hAnsi="Arial"/>
                <w:sz w:val="18"/>
                <w:szCs w:val="18"/>
                <w:color w:val="auto"/>
                <w:w w:val="90"/>
              </w:rPr>
              <w:t>Chenlong Tan</w:t>
            </w:r>
          </w:p>
        </w:tc>
      </w:tr>
      <w:tr>
        <w:trPr>
          <w:trHeight w:val="230"/>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60" w:type="dxa"/>
            <w:vAlign w:val="bottom"/>
          </w:tcPr>
          <w:p>
            <w:pPr>
              <w:jc w:val="center"/>
              <w:ind w:right="830"/>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November 14, 2023</w:t>
            </w:r>
          </w:p>
        </w:tc>
        <w:tc>
          <w:tcPr>
            <w:tcW w:w="3840" w:type="dxa"/>
            <w:vAlign w:val="bottom"/>
            <w:gridSpan w:val="2"/>
          </w:tcPr>
          <w:p>
            <w:pPr>
              <w:ind w:left="2600"/>
              <w:spacing w:after="0"/>
              <w:rPr>
                <w:sz w:val="20"/>
                <w:szCs w:val="20"/>
                <w:color w:val="auto"/>
              </w:rPr>
            </w:pPr>
            <w:r>
              <w:rPr>
                <w:rFonts w:ascii="Arial" w:cs="Arial" w:eastAsia="Arial" w:hAnsi="Arial"/>
                <w:sz w:val="18"/>
                <w:szCs w:val="18"/>
                <w:color w:val="auto"/>
              </w:rPr>
              <w:t>By:</w:t>
            </w:r>
          </w:p>
        </w:tc>
        <w:tc>
          <w:tcPr>
            <w:tcW w:w="3360" w:type="dxa"/>
            <w:vAlign w:val="bottom"/>
          </w:tcPr>
          <w:p>
            <w:pPr>
              <w:jc w:val="center"/>
              <w:ind w:right="810"/>
              <w:spacing w:after="0"/>
              <w:rPr>
                <w:sz w:val="20"/>
                <w:szCs w:val="20"/>
                <w:color w:val="auto"/>
              </w:rPr>
            </w:pPr>
            <w:r>
              <w:rPr>
                <w:rFonts w:ascii="Arial" w:cs="Arial" w:eastAsia="Arial" w:hAnsi="Arial"/>
                <w:sz w:val="18"/>
                <w:szCs w:val="18"/>
                <w:color w:val="auto"/>
                <w:w w:val="93"/>
              </w:rPr>
              <w:t>/s/ Kevin Vassily</w:t>
            </w:r>
          </w:p>
        </w:tc>
      </w:tr>
      <w:tr>
        <w:trPr>
          <w:trHeight w:val="195"/>
        </w:trPr>
        <w:tc>
          <w:tcPr>
            <w:tcW w:w="40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tcPr>
          <w:p>
            <w:pPr>
              <w:jc w:val="center"/>
              <w:ind w:right="830"/>
              <w:spacing w:after="0" w:line="195" w:lineRule="exact"/>
              <w:rPr>
                <w:sz w:val="20"/>
                <w:szCs w:val="20"/>
                <w:color w:val="auto"/>
              </w:rPr>
            </w:pPr>
            <w:r>
              <w:rPr>
                <w:rFonts w:ascii="Arial" w:cs="Arial" w:eastAsia="Arial" w:hAnsi="Arial"/>
                <w:sz w:val="18"/>
                <w:szCs w:val="18"/>
                <w:color w:val="auto"/>
                <w:w w:val="93"/>
              </w:rPr>
              <w:t>Kevin Vassily</w:t>
            </w:r>
          </w:p>
        </w:tc>
      </w:tr>
      <w:tr>
        <w:trPr>
          <w:trHeight w:val="230"/>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60" w:type="dxa"/>
            <w:vAlign w:val="bottom"/>
          </w:tcPr>
          <w:p>
            <w:pPr>
              <w:jc w:val="center"/>
              <w:ind w:right="830"/>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Chenlong Tan, certify that:</w:t>
      </w:r>
    </w:p>
    <w:p>
      <w:pPr>
        <w:spacing w:after="0" w:line="225" w:lineRule="exact"/>
        <w:rPr>
          <w:sz w:val="20"/>
          <w:szCs w:val="20"/>
          <w:color w:val="auto"/>
        </w:rPr>
      </w:pPr>
    </w:p>
    <w:p>
      <w:pPr>
        <w:ind w:firstLine="526"/>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September 30, 2023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14,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Chenlong Tan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Kevin Vassily, certify that:</w:t>
      </w:r>
    </w:p>
    <w:p>
      <w:pPr>
        <w:spacing w:after="0" w:line="225" w:lineRule="exact"/>
        <w:rPr>
          <w:sz w:val="20"/>
          <w:szCs w:val="20"/>
          <w:color w:val="auto"/>
        </w:rPr>
      </w:pPr>
    </w:p>
    <w:p>
      <w:pPr>
        <w:ind w:firstLine="526"/>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September 30, 2023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14,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Vassily</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September 30, 2023,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14, 2023</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September 30, 2023,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14, 2023</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2023-11-14T19:07:32Z</dcterms:created>
  <dcterms:modified xsi:type="dcterms:W3CDTF">2023-11-14T19:07:32Z</dcterms:modified>
</cp:coreProperties>
</file>