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19,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Optional Closing under Securities Purchase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on December 23, 2025 (the “Prior Form 8-K”), iPower Inc., a Nevada corporation (the “Company”), entered into a Securities Purchase Agreement dated December 22, 2025 (the “Purchase Agreement”) with an institutional investor (the “Investor”) providing for an up to $30,000,000 6% original issue discount senior secured convertible note facility, with an initial closing of $5,184,024 principal amount of series A senior secured convertible notes (the “Series A Notes”), sold in reliance on an exemption from registration statement afforded by Section 4(a)(2) of the Securities Act of 1933, as amended (the “Securities Act”), and Rule 506(b) of Regulation D of the Securities Act; and $1,815,976 principal amount of series B senior secured convertible notes, and an additional $2,000,000 of Series A Notes issuable upon the effectiveness of a resale registration statement on Form S-1 registering the Series A Notes (the “Resale Registration Statement”). The Purchase Agreement further provided for additional purchases of Series A Notes at the Investor’s discretion (each, an “Additional Optional Closing”).</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Investor’s notification to the Company of its intent to execute an Additional Optional Closing for $3,000,000 in aggregate principal amount of Series A Notes, on May 19, 2026, the Company and Investor consummated an Additional Optional Closing. At the Additional Optional Closing, the Company received $2,820,000, excluding fees and expenses, in exchange for issuing a $3,000,000 aggregate principal amount of Series A Notes to the Investor after satisfaction of all applicable closing conditions, including the effectiveness of the resale registration statement and the absence of any Event of Default (as such term is defined in the Form of Series A Senior Secured Convertible Note, filed herewith as Exhibit 10.1). The Series A Note issued at the Additional Optional Closing was issued pursuant to an exemption from registration in accordance with Regulation D of the Securities Act and has a fixed conversion price of $1.03 (120% of the Nasdaq closing price of IPW common stock on May 18, 2026).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the consideration was paid at $940 for each $1,000 of principal amount, and the Company received gross proceeds of approximately $2,820,000 at this closing, before fees and expenses, including a 6% cash fee payable to Digital Offering, who acted as placement agent in the transaction. Following board approval, the Company has committed up to $3.0 million of the Company’s investment funds for the purchase of sUSDai, a yield-bearing digital asset instrument.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the Purchase Agreement’s disclosure covenants, the Company is providing this Current Report on Form 8-K to disclose the completion of this Additional Optional Closing under the Purchase Agreement.</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2026, the Company issued a press release disclosing its entry into the artificial intelligence (“AI”) infrastructure business, including investing in certain digital asset instruments that it deems are aligned with the Company’s AI infrastructure financing mandate. A copy of the press release is furnished herewith as Exhibit 99.1.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provided in this Item 8.01 (including Exhibit 99.1 hereto) is being furnished and shall not be deemed “filed” for purposes of Section 18 of the Exchange Act, or otherwise subject to the liabilities of that section, nor shall it be deemed incorporated by reference into any filing under the Exchange Act or the Securities Act, except as expressly set forth by specific reference in such a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0" w:type="dxa"/>
            <w:vAlign w:val="bottom"/>
          </w:tcPr>
          <w:p>
            <w:pPr>
              <w:spacing w:after="0"/>
              <w:rPr>
                <w:sz w:val="24"/>
                <w:szCs w:val="24"/>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Series A Senior Secured Convertible Note</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19, 2026</w:t>
            </w: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 w:lineRule="exact"/>
        <w:rPr>
          <w:sz w:val="20"/>
          <w:szCs w:val="20"/>
          <w:color w:val="auto"/>
        </w:rPr>
      </w:pPr>
    </w:p>
    <w:p>
      <w:pPr>
        <w:ind w:left="1560" w:hanging="1552"/>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NOTE HAS BEEN ISSUED WITH ORIGINAL ISSUE DISCOUNT (“OID”). PURSUANT TO TREASURY REGULATION §1.1275-3(b) (1), LAWRENCE TAN, A REPRESENTATIVE OF THE COMPANY HEREOF WILL, BEGINNING TEN DAYS AFTER THE ISSUANCE DATE OF THIS NOTE, PROMPTLY MAKE AVAILABLE TO THE HOLDER UPON REQUEST THE INFORMATION DESCRIBED IN TREASURY REGULATION §1.1275-3(b)(1)(i). LAWRENCE TAN MAY BE REACHED AT TELEPHONE NUMBER (626) 863-7344.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 xml:space="preserve">ower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eries</w:t>
      </w:r>
      <w:r>
        <w:rPr>
          <w:rFonts w:ascii="Times New Roman" w:cs="Times New Roman" w:eastAsia="Times New Roman" w:hAnsi="Times New Roman"/>
          <w:sz w:val="18"/>
          <w:szCs w:val="18"/>
          <w:b w:val="1"/>
          <w:bCs w:val="1"/>
          <w:color w:val="auto"/>
        </w:rPr>
        <w:t xml:space="preserve"> A S</w:t>
      </w:r>
      <w:r>
        <w:rPr>
          <w:rFonts w:ascii="Times New Roman" w:cs="Times New Roman" w:eastAsia="Times New Roman" w:hAnsi="Times New Roman"/>
          <w:sz w:val="12"/>
          <w:szCs w:val="12"/>
          <w:b w:val="1"/>
          <w:bCs w:val="1"/>
          <w:color w:val="auto"/>
        </w:rPr>
        <w:t>enior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w:t>
      </w:r>
    </w:p>
    <w:p>
      <w:pPr>
        <w:spacing w:after="0" w:line="229"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Original Issuance Date: May 19, 2026</w:t>
      </w:r>
      <w:r>
        <w:rPr>
          <w:sz w:val="20"/>
          <w:szCs w:val="20"/>
          <w:color w:val="auto"/>
        </w:rPr>
        <w:tab/>
      </w:r>
      <w:r>
        <w:rPr>
          <w:rFonts w:ascii="Times New Roman" w:cs="Times New Roman" w:eastAsia="Times New Roman" w:hAnsi="Times New Roman"/>
          <w:sz w:val="17"/>
          <w:szCs w:val="17"/>
          <w:color w:val="auto"/>
        </w:rPr>
        <w:t>Original Principal Amount: U.S. $3,000,000</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iPower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ATW Digital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XIV LLC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may be reduced pursuant to the terms hereof pursuant to redemption,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set forth above as the Original Issuance Date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until the same becomes due and payable, whether upon the Maturity Date or upon acceleration, conversion, redemption or otherwise (in each case in accordance with the terms hereof). This Series A Senior Secured Convertible Note (including all Senior Secured Convertible Notes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Senior Secured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Senior Secured Convertible Notes issued pursuant to the Securities Purchase Agreement, dated as of December 22, 2025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Certain capitalized terms used herein are defined in Section 33.</w:t>
      </w:r>
    </w:p>
    <w:p>
      <w:pPr>
        <w:spacing w:after="0" w:line="189" w:lineRule="exact"/>
        <w:rPr>
          <w:sz w:val="20"/>
          <w:szCs w:val="20"/>
          <w:color w:val="auto"/>
        </w:rPr>
      </w:pPr>
    </w:p>
    <w:p>
      <w:pPr>
        <w:jc w:val="both"/>
        <w:ind w:firstLine="656"/>
        <w:spacing w:after="0" w:line="261"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accrued and unpaid Late Charges (as defined in Section 26(c))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1280" w:hanging="644"/>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44"/>
        <w:spacing w:after="0" w:line="253" w:lineRule="auto"/>
        <w:tabs>
          <w:tab w:leader="none" w:pos="19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this Note shall commence accruing on the Issuance Date and shall be computed on the basis of a 360-day year and the actual number of calendar days in any such calendar month and shall be payable in arrears for on the first Trading Day of each calendar month (each, an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with the first Interest Date being June 30, 2026. Interest shall be payable on each Interest Date, to the record holder of this Note on the applicable Interest Date, in shares of Common Stock (“</w:t>
      </w:r>
      <w:r>
        <w:rPr>
          <w:rFonts w:ascii="Times New Roman" w:cs="Times New Roman" w:eastAsia="Times New Roman" w:hAnsi="Times New Roman"/>
          <w:sz w:val="18"/>
          <w:szCs w:val="18"/>
          <w:b w:val="1"/>
          <w:bCs w:val="1"/>
          <w:color w:val="auto"/>
        </w:rPr>
        <w:t>Interest Shares</w:t>
      </w:r>
      <w:r>
        <w:rPr>
          <w:rFonts w:ascii="Times New Roman" w:cs="Times New Roman" w:eastAsia="Times New Roman" w:hAnsi="Times New Roman"/>
          <w:sz w:val="18"/>
          <w:szCs w:val="18"/>
          <w:color w:val="auto"/>
        </w:rPr>
        <w:t>”) so long as there has been no Equity Conditions Failure; provided however, that the Company may, at its option following notice to the Holder, pay Interest on any Interest Date in cash (“</w:t>
      </w:r>
      <w:r>
        <w:rPr>
          <w:rFonts w:ascii="Times New Roman" w:cs="Times New Roman" w:eastAsia="Times New Roman" w:hAnsi="Times New Roman"/>
          <w:sz w:val="18"/>
          <w:szCs w:val="18"/>
          <w:b w:val="1"/>
          <w:bCs w:val="1"/>
          <w:color w:val="auto"/>
        </w:rPr>
        <w:t>Cash Interest</w:t>
      </w:r>
      <w:r>
        <w:rPr>
          <w:rFonts w:ascii="Times New Roman" w:cs="Times New Roman" w:eastAsia="Times New Roman" w:hAnsi="Times New Roman"/>
          <w:sz w:val="18"/>
          <w:szCs w:val="18"/>
          <w:color w:val="auto"/>
        </w:rPr>
        <w:t>”) or in a combination of Cash Interest and Interest Shares. The Company shall deliver a written notice (each, an “</w:t>
      </w:r>
      <w:r>
        <w:rPr>
          <w:rFonts w:ascii="Times New Roman" w:cs="Times New Roman" w:eastAsia="Times New Roman" w:hAnsi="Times New Roman"/>
          <w:sz w:val="18"/>
          <w:szCs w:val="18"/>
          <w:b w:val="1"/>
          <w:bCs w:val="1"/>
          <w:color w:val="auto"/>
        </w:rPr>
        <w:t>Interest Election Notice</w:t>
      </w:r>
      <w:r>
        <w:rPr>
          <w:rFonts w:ascii="Times New Roman" w:cs="Times New Roman" w:eastAsia="Times New Roman" w:hAnsi="Times New Roman"/>
          <w:sz w:val="18"/>
          <w:szCs w:val="18"/>
          <w:color w:val="auto"/>
        </w:rPr>
        <w:t>”) to each</w:t>
      </w:r>
    </w:p>
    <w:p>
      <w:pPr>
        <w:spacing w:after="0" w:line="5" w:lineRule="exact"/>
        <w:rPr>
          <w:sz w:val="20"/>
          <w:szCs w:val="20"/>
          <w:color w:val="auto"/>
        </w:rPr>
      </w:pPr>
    </w:p>
    <w:p>
      <w:pPr>
        <w:jc w:val="both"/>
        <w:ind w:left="640"/>
        <w:spacing w:after="0" w:line="242" w:lineRule="auto"/>
        <w:rPr>
          <w:sz w:val="20"/>
          <w:szCs w:val="20"/>
          <w:color w:val="auto"/>
        </w:rPr>
      </w:pPr>
      <w:r>
        <w:rPr>
          <w:rFonts w:ascii="Times New Roman" w:cs="Times New Roman" w:eastAsia="Times New Roman" w:hAnsi="Times New Roman"/>
          <w:sz w:val="18"/>
          <w:szCs w:val="18"/>
          <w:color w:val="auto"/>
        </w:rPr>
        <w:t>holder of the Notes on or prior to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immediately prior to the applicable Interest Date (each, an “</w:t>
      </w:r>
      <w:r>
        <w:rPr>
          <w:rFonts w:ascii="Times New Roman" w:cs="Times New Roman" w:eastAsia="Times New Roman" w:hAnsi="Times New Roman"/>
          <w:sz w:val="18"/>
          <w:szCs w:val="18"/>
          <w:b w:val="1"/>
          <w:bCs w:val="1"/>
          <w:color w:val="auto"/>
        </w:rPr>
        <w:t>Interest Notice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date such notice is delivered to all of the holder, the “</w:t>
      </w:r>
      <w:r>
        <w:rPr>
          <w:rFonts w:ascii="Times New Roman" w:cs="Times New Roman" w:eastAsia="Times New Roman" w:hAnsi="Times New Roman"/>
          <w:sz w:val="18"/>
          <w:szCs w:val="18"/>
          <w:b w:val="1"/>
          <w:bCs w:val="1"/>
          <w:color w:val="auto"/>
        </w:rPr>
        <w:t>Interest Notice Date</w:t>
      </w:r>
      <w:r>
        <w:rPr>
          <w:rFonts w:ascii="Times New Roman" w:cs="Times New Roman" w:eastAsia="Times New Roman" w:hAnsi="Times New Roman"/>
          <w:sz w:val="18"/>
          <w:szCs w:val="18"/>
          <w:color w:val="auto"/>
        </w:rPr>
        <w:t>”) which notice (i) either (A) confirms that Interest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on such Interest Date shall be paid entirely in Interest Shares or (B) elects 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unless the Company has elected to pay such Interest as Cash Interest, the Interest Election Notice shall indicate that unless the Holder waives the Equity Conditions Failure, the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Alternate Conversion Price in effect on the applicable Interest Date.</w:t>
      </w:r>
    </w:p>
    <w:p>
      <w:pPr>
        <w:spacing w:after="0" w:line="198" w:lineRule="exact"/>
        <w:rPr>
          <w:sz w:val="20"/>
          <w:szCs w:val="20"/>
          <w:color w:val="auto"/>
        </w:rPr>
      </w:pPr>
    </w:p>
    <w:p>
      <w:pPr>
        <w:jc w:val="both"/>
        <w:ind w:left="640" w:firstLine="644"/>
        <w:spacing w:after="0" w:line="253" w:lineRule="auto"/>
        <w:tabs>
          <w:tab w:leader="none" w:pos="19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Interest Shares are to be paid on an Interest Date, the Company shall (i) (A) provided that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and the such shares of Common Stock are eligible to be issued without a restricted legend at such time to the Holder pursuant to applicable securities laws (the “</w:t>
      </w:r>
      <w:r>
        <w:rPr>
          <w:rFonts w:ascii="Times New Roman" w:cs="Times New Roman" w:eastAsia="Times New Roman" w:hAnsi="Times New Roman"/>
          <w:sz w:val="18"/>
          <w:szCs w:val="18"/>
          <w:b w:val="1"/>
          <w:bCs w:val="1"/>
          <w:color w:val="auto"/>
        </w:rPr>
        <w:t>Free Tradability Condition</w:t>
      </w:r>
      <w:r>
        <w:rPr>
          <w:rFonts w:ascii="Times New Roman" w:cs="Times New Roman" w:eastAsia="Times New Roman" w:hAnsi="Times New Roman"/>
          <w:sz w:val="18"/>
          <w:szCs w:val="18"/>
          <w:color w:val="auto"/>
        </w:rPr>
        <w:t>”), credit such aggregate number of Interest Shares to which the Holder shall be entitled to the Holder’s or its designee’s balance account with DTC through its Deposit/Withdrawal at Custodian system, or (B) if the Transfer Agent is not participating in FAST or the Free Tradability Condition is not satisfied, issue and deliver on the applicable Interest Date, to the address set forth in the register maintained by the Company for such purpose pursuant to the Securities Purchase Agreement or to such address as specified by the Holder in writing to the Company at least one (1) Business Day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w:t>
      </w:r>
    </w:p>
    <w:p>
      <w:pPr>
        <w:spacing w:after="0" w:line="194" w:lineRule="exact"/>
        <w:rPr>
          <w:rFonts w:ascii="Times New Roman" w:cs="Times New Roman" w:eastAsia="Times New Roman" w:hAnsi="Times New Roman"/>
          <w:sz w:val="18"/>
          <w:szCs w:val="18"/>
          <w:color w:val="auto"/>
        </w:rPr>
      </w:pPr>
    </w:p>
    <w:p>
      <w:pPr>
        <w:jc w:val="both"/>
        <w:ind w:left="640" w:firstLine="644"/>
        <w:spacing w:after="0" w:line="253" w:lineRule="auto"/>
        <w:tabs>
          <w:tab w:leader="none" w:pos="19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Interest on an Interest Date, Interest on this Note shall accrue at the Interest Rate and be payable by way of inclusion of the Interest in the Conversion Amount (as defined below) on each Conversion Date (as defined below) in accordance with Section 3(b)(i) or upon any redemption in accordance with Section 13 or any required payment upon any Bankruptcy Event of Default (as defined below). From and after the occurrence and during the continuance of any Event of Default (as defined below), the Interest Rate in effect with respect to such determination shall automatically be increased to the Default Rate. In the event that such Event of Default is subsequently cured (and no other Event of Default then exists, including, without limitation, for 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94" w:lineRule="exact"/>
        <w:rPr>
          <w:rFonts w:ascii="Times New Roman" w:cs="Times New Roman" w:eastAsia="Times New Roman" w:hAnsi="Times New Roman"/>
          <w:sz w:val="18"/>
          <w:szCs w:val="18"/>
          <w:color w:val="auto"/>
        </w:rPr>
      </w:pPr>
    </w:p>
    <w:p>
      <w:pPr>
        <w:ind w:left="-20" w:firstLine="656"/>
        <w:spacing w:after="0" w:line="282" w:lineRule="auto"/>
        <w:tabs>
          <w:tab w:leader="none" w:pos="12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shares of Common Stock (as defined below), on the terms and conditions set forth in this Section 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5" w:name="page6"/>
    <w:bookmarkEnd w:id="5"/>
    <w:p>
      <w:pPr>
        <w:jc w:val="both"/>
        <w:ind w:left="-320" w:firstLine="644"/>
        <w:spacing w:after="0" w:line="255"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8" w:lineRule="exact"/>
        <w:rPr>
          <w:rFonts w:ascii="Times New Roman" w:cs="Times New Roman" w:eastAsia="Times New Roman" w:hAnsi="Times New Roman"/>
          <w:sz w:val="18"/>
          <w:szCs w:val="18"/>
          <w:color w:val="auto"/>
        </w:rPr>
      </w:pPr>
    </w:p>
    <w:p>
      <w:pPr>
        <w:ind w:left="-320" w:firstLine="644"/>
        <w:spacing w:after="0" w:line="282"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972"/>
        <w:spacing w:after="0" w:line="263" w:lineRule="auto"/>
        <w:tabs>
          <w:tab w:leader="none" w:pos="16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Principal of this Note to be converted, redeemed or otherwise with respect to which this determination is being made, (B) accrued and unpaid Interest with respect to such Principal of this Note,</w:t>
      </w:r>
    </w:p>
    <w:p>
      <w:pPr>
        <w:spacing w:after="0" w:line="260"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Late Charges with respect to such Principal of this Note and Interest, and (E) any other unpaid amounts pursuant to the Transaction Documents (as defined in the Securities Purchase Agreement), if any.</w:t>
      </w:r>
    </w:p>
    <w:p>
      <w:pPr>
        <w:spacing w:after="0" w:line="177" w:lineRule="exact"/>
        <w:rPr>
          <w:rFonts w:ascii="Times New Roman" w:cs="Times New Roman" w:eastAsia="Times New Roman" w:hAnsi="Times New Roman"/>
          <w:sz w:val="18"/>
          <w:szCs w:val="18"/>
          <w:color w:val="auto"/>
        </w:rPr>
      </w:pPr>
    </w:p>
    <w:p>
      <w:pPr>
        <w:ind w:firstLine="972"/>
        <w:spacing w:after="0" w:line="286" w:lineRule="auto"/>
        <w:tabs>
          <w:tab w:leader="none" w:pos="162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$1.03, subject to adjustment as provided herein (including, without limitation, Section 7(h) below).</w:t>
      </w:r>
    </w:p>
    <w:p>
      <w:pPr>
        <w:spacing w:after="0" w:line="158" w:lineRule="exact"/>
        <w:rPr>
          <w:rFonts w:ascii="Times New Roman" w:cs="Times New Roman" w:eastAsia="Times New Roman" w:hAnsi="Times New Roman"/>
          <w:sz w:val="18"/>
          <w:szCs w:val="18"/>
          <w:color w:val="auto"/>
        </w:rPr>
      </w:pPr>
    </w:p>
    <w:p>
      <w:pPr>
        <w:ind w:left="980" w:hanging="656"/>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796" w:right="339" w:bottom="1440" w:gutter="0" w:footer="0" w:header="0"/>
        </w:sectPr>
      </w:pPr>
    </w:p>
    <w:bookmarkStart w:id="6" w:name="page7"/>
    <w:bookmarkEnd w:id="6"/>
    <w:p>
      <w:pPr>
        <w:jc w:val="both"/>
        <w:ind w:left="180" w:firstLine="652"/>
        <w:spacing w:after="0" w:line="251" w:lineRule="auto"/>
        <w:tabs>
          <w:tab w:leader="none" w:pos="14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(whether via electronic mail or otherwise), for receipt on or prior to 6 p.m., New York time, on such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and a representation as to whether such shares of Common Stock are eligible to be freely resold without any restricted legend (each, an “</w:t>
      </w: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 (1) provided that the Transfer Agent is participating in FAST and the Free Tradability Condition is satisfied,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or the Free Tradability Condition is not satisfied,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 Business Day after receipt of this Note and at its own expense, issue and deliver to the Holder (or its designee) a new Note (in accordance with Section 20(d)) representing the outstanding Principal not converted; provided, that during such period the Holder shall be permitted to convert such new Note regardless of the date the actual certificate evidencing such new Note is delivered to the Holder (or its designee). The Person or Persons entitled to receive the shares of Common Stock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 w:cs="Times New Roman" w:eastAsia="Times New Roman" w:hAnsi="Times New Roman"/>
          <w:sz w:val="18"/>
          <w:szCs w:val="18"/>
          <w:b w:val="1"/>
          <w:bCs w:val="1"/>
          <w:color w:val="auto"/>
        </w:rPr>
        <w:t>Conversion Period</w:t>
      </w:r>
      <w:r>
        <w:rPr>
          <w:rFonts w:ascii="Times New Roman" w:cs="Times New Roman" w:eastAsia="Times New Roman" w:hAnsi="Times New Roman"/>
          <w:sz w:val="18"/>
          <w:szCs w:val="18"/>
          <w:color w:val="auto"/>
        </w:rPr>
        <w:t>”), as necessary, such that the aggregate voting rights of any shares of Common Stock (including such Conversion Shares) beneficially owned by the Holder and/or any Attribution Parties, collectively, on any such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Underlying Securities (as defined in the Securities Purchase Agreement) with respect to which the Holder has entered into a contract for sale, and delivered a copy of the prospectus included as part of the particular Registration Statement to the extent applicable, and for which the Holder has not yet settled.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7" w:name="page8"/>
    <w:bookmarkEnd w:id="7"/>
    <w:p>
      <w:pPr>
        <w:jc w:val="both"/>
        <w:ind w:left="180" w:firstLine="652"/>
        <w:spacing w:after="0" w:line="251" w:lineRule="auto"/>
        <w:tabs>
          <w:tab w:leader="none" w:pos="14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Failure to Timely Convert. If the Company shall fail, for any reason or for no reason, on or prior to the applicable Share Delivery Deadline, either (I) if the Transfer Agent is not participating in FAST or the Free Tradability Condition is not satisfied, to issue and deliver to the Holder (or its designee) a certificate for the number of shares of Common Stock to which the Holder is entitled and register such shares of Common Stock on the Company’s share register or, if the Transfer Agent is participating in FAST and the Free Tradability Condition is satisfied,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 w:cs="Times New Roman" w:eastAsia="Times New Roman" w:hAnsi="Times New Roman"/>
          <w:sz w:val="18"/>
          <w:szCs w:val="18"/>
          <w:b w:val="1"/>
          <w:bCs w:val="1"/>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on more than two (2) occasions, then, in addition to all other remedies available to the Holder, (1) the Company shall pay in cash to the Holder on each day after such Share Delivery Deadline that the issuance of such shares of Common Stock is not timely effected an amount equal to 1%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applicable Share Delivery Deadline either</w:t>
      </w:r>
    </w:p>
    <w:p>
      <w:pPr>
        <w:spacing w:after="0" w:line="7" w:lineRule="exact"/>
        <w:rPr>
          <w:rFonts w:ascii="Times New Roman" w:cs="Times New Roman" w:eastAsia="Times New Roman" w:hAnsi="Times New Roman"/>
          <w:sz w:val="18"/>
          <w:szCs w:val="18"/>
          <w:color w:val="auto"/>
        </w:rPr>
      </w:pPr>
    </w:p>
    <w:p>
      <w:pPr>
        <w:jc w:val="both"/>
        <w:ind w:left="180" w:firstLine="4"/>
        <w:spacing w:after="0" w:line="250" w:lineRule="auto"/>
        <w:tabs>
          <w:tab w:leader="none" w:pos="4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not participating in FAST or the Free Tradability Condition is not satisfied, the Company shall fail to issue and deliver to the Holder (or its designee) a certificate and register such shares of Common Stock on the Company’s share register or, if the Transfer Agent is participating in FAST and the Free Tradability Condition is satisfied,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 w:name="page9"/>
    <w:bookmarkEnd w:id="8"/>
    <w:p>
      <w:pPr>
        <w:jc w:val="both"/>
        <w:ind w:left="180" w:firstLine="652"/>
        <w:spacing w:after="0" w:line="252" w:lineRule="auto"/>
        <w:tabs>
          <w:tab w:leader="none" w:pos="14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one (1) Business Day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one (1) Business Day of such occurrence, then the Register shall be automatically deemed updated to reflect such occurrence.</w:t>
      </w:r>
    </w:p>
    <w:p>
      <w:pPr>
        <w:spacing w:after="0" w:line="190"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7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p>
    <w:p>
      <w:pPr>
        <w:spacing w:after="0" w:line="19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9" w:name="page10"/>
    <w:bookmarkEnd w:id="9"/>
    <w:p>
      <w:pPr>
        <w:jc w:val="both"/>
        <w:ind w:left="180" w:firstLine="652"/>
        <w:spacing w:after="0" w:line="251" w:lineRule="auto"/>
        <w:tabs>
          <w:tab w:leader="none" w:pos="14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Outstanding Share Number</w:t>
      </w:r>
      <w:r>
        <w:rPr>
          <w:rFonts w:ascii="Times New Roman" w:cs="Times New Roman" w:eastAsia="Times New Roman" w:hAnsi="Times New Roman"/>
          <w:sz w:val="18"/>
          <w:szCs w:val="18"/>
          <w:color w:val="auto"/>
        </w:rPr>
        <w:t>”). If the Company receives a Conversion Notice from the Holder at a time when the actual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 time increase (with such increase not effective</w:t>
      </w:r>
    </w:p>
    <w:p>
      <w:pPr>
        <w:spacing w:after="0" w:line="3" w:lineRule="exact"/>
        <w:rPr>
          <w:sz w:val="20"/>
          <w:szCs w:val="20"/>
          <w:color w:val="auto"/>
        </w:rPr>
      </w:pPr>
    </w:p>
    <w:p>
      <w:pPr>
        <w:jc w:val="both"/>
        <w:ind w:left="180"/>
        <w:spacing w:after="0" w:line="209" w:lineRule="auto"/>
        <w:rPr>
          <w:sz w:val="20"/>
          <w:szCs w:val="20"/>
          <w:color w:val="auto"/>
        </w:rPr>
      </w:pPr>
      <w:r>
        <w:rPr>
          <w:rFonts w:ascii="Times New Roman" w:cs="Times New Roman" w:eastAsia="Times New Roman" w:hAnsi="Times New Roman"/>
          <w:sz w:val="18"/>
          <w:szCs w:val="18"/>
          <w:color w:val="auto"/>
        </w:rPr>
        <w:t>until the sixty-first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sixty-first</w:t>
      </w:r>
    </w:p>
    <w:p>
      <w:pPr>
        <w:spacing w:after="0" w:line="2"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or amended and shall apply to a successor holder of this Note.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0" w:name="page11"/>
    <w:bookmarkEnd w:id="10"/>
    <w:p>
      <w:pPr>
        <w:jc w:val="both"/>
        <w:ind w:left="180" w:firstLine="652"/>
        <w:spacing w:after="0" w:line="251" w:lineRule="auto"/>
        <w:tabs>
          <w:tab w:leader="none" w:pos="14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issuance by the Company of 20% or more of the Company’s outstanding Common Stock at a price below the “Minimum Price” as required under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Meeting Deadline (as defined in the Securities Purchase Agreement), in the event that the Company is prohibited from issuing shares of Common Stock pursuant to this Section 3(d)(i) (the “</w:t>
      </w:r>
      <w:r>
        <w:rPr>
          <w:rFonts w:ascii="Times New Roman" w:cs="Times New Roman" w:eastAsia="Times New Roman" w:hAnsi="Times New Roman"/>
          <w:sz w:val="18"/>
          <w:szCs w:val="18"/>
          <w:b w:val="1"/>
          <w:bCs w:val="1"/>
          <w:color w:val="auto"/>
        </w:rPr>
        <w:t>Exchange Cap Shares</w:t>
      </w:r>
      <w:r>
        <w:rPr>
          <w:rFonts w:ascii="Times New Roman" w:cs="Times New Roman" w:eastAsia="Times New Roman" w:hAnsi="Times New Roman"/>
          <w:sz w:val="18"/>
          <w:szCs w:val="18"/>
          <w:color w:val="auto"/>
        </w:rPr>
        <w:t>”),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 and (ii) to the extent of any Buy-In related thereto, any Buy-In Payment Amount, any brokerage commissions and other out-of-pocket expenses, if any, of the Holder incurred in connection therewith (collectively, the “</w:t>
      </w:r>
      <w:r>
        <w:rPr>
          <w:rFonts w:ascii="Times New Roman" w:cs="Times New Roman" w:eastAsia="Times New Roman" w:hAnsi="Times New Roman"/>
          <w:sz w:val="18"/>
          <w:szCs w:val="18"/>
          <w:b w:val="1"/>
          <w:bCs w:val="1"/>
          <w:color w:val="auto"/>
        </w:rPr>
        <w:t>Exchange Cap Share Cancellation Amount</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Alternate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47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Optional Conversion</w:t>
      </w:r>
      <w:r>
        <w:rPr>
          <w:rFonts w:ascii="Times New Roman" w:cs="Times New Roman" w:eastAsia="Times New Roman" w:hAnsi="Times New Roman"/>
          <w:sz w:val="18"/>
          <w:szCs w:val="18"/>
          <w:color w:val="auto"/>
        </w:rPr>
        <w:t>. Subject to Section 3(d), at any time, the Holder may, at the Holder’s option, convert (each,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and the date of such Alternate Optional Conversion, each, an “</w:t>
      </w:r>
      <w:r>
        <w:rPr>
          <w:rFonts w:ascii="Times New Roman" w:cs="Times New Roman" w:eastAsia="Times New Roman" w:hAnsi="Times New Roman"/>
          <w:sz w:val="18"/>
          <w:szCs w:val="18"/>
          <w:b w:val="1"/>
          <w:bCs w:val="1"/>
          <w:color w:val="auto"/>
        </w:rPr>
        <w:t>Alternate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all, or any part of, the Conversion Amount (such portion of the Conversion Amount subject to such Alternate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Optional Conversion, the “</w:t>
      </w:r>
      <w:r>
        <w:rPr>
          <w:rFonts w:ascii="Times New Roman" w:cs="Times New Roman" w:eastAsia="Times New Roman" w:hAnsi="Times New Roman"/>
          <w:sz w:val="18"/>
          <w:szCs w:val="18"/>
          <w:b w:val="1"/>
          <w:bCs w:val="1"/>
          <w:color w:val="auto"/>
        </w:rPr>
        <w:t>Alternate Optional Conversion Amount</w:t>
      </w:r>
      <w:r>
        <w:rPr>
          <w:rFonts w:ascii="Times New Roman" w:cs="Times New Roman" w:eastAsia="Times New Roman" w:hAnsi="Times New Roman"/>
          <w:sz w:val="18"/>
          <w:szCs w:val="18"/>
          <w:color w:val="auto"/>
        </w:rPr>
        <w:t>”) into shares of Common Stock at the applicable Alternate Conversion Price.</w:t>
      </w:r>
    </w:p>
    <w:p>
      <w:pPr>
        <w:spacing w:after="0" w:line="183" w:lineRule="exact"/>
        <w:rPr>
          <w:sz w:val="20"/>
          <w:szCs w:val="20"/>
          <w:color w:val="auto"/>
        </w:rPr>
      </w:pPr>
    </w:p>
    <w:p>
      <w:pPr>
        <w:jc w:val="both"/>
        <w:ind w:left="180" w:firstLine="652"/>
        <w:spacing w:after="0" w:line="253" w:lineRule="auto"/>
        <w:tabs>
          <w:tab w:leader="none" w:pos="14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Conversion Upon an Event of Default.</w:t>
      </w:r>
      <w:r>
        <w:rPr>
          <w:rFonts w:ascii="Times New Roman" w:cs="Times New Roman" w:eastAsia="Times New Roman" w:hAnsi="Times New Roman"/>
          <w:sz w:val="18"/>
          <w:szCs w:val="18"/>
          <w:color w:val="auto"/>
        </w:rPr>
        <w:t xml:space="preserve"> Subject to Section 3(d), at any time during any Event of Default Redemption Right Period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cs="Times New Roman" w:eastAsia="Times New Roman" w:hAnsi="Times New Roman"/>
          <w:sz w:val="18"/>
          <w:szCs w:val="18"/>
          <w:b w:val="1"/>
          <w:bCs w:val="1"/>
          <w:color w:val="auto"/>
        </w:rPr>
        <w:t>Alternate 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 Conversion</w:t>
      </w:r>
      <w:r>
        <w:rPr>
          <w:rFonts w:ascii="Times New Roman" w:cs="Times New Roman" w:eastAsia="Times New Roman" w:hAnsi="Times New Roman"/>
          <w:sz w:val="18"/>
          <w:szCs w:val="18"/>
          <w:color w:val="auto"/>
        </w:rPr>
        <w:t>” and together with each Alternate Optional Conversion,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Alternate Event of Default Conversion, each, an “</w:t>
      </w:r>
      <w:r>
        <w:rPr>
          <w:rFonts w:ascii="Times New Roman" w:cs="Times New Roman" w:eastAsia="Times New Roman" w:hAnsi="Times New Roman"/>
          <w:sz w:val="18"/>
          <w:szCs w:val="18"/>
          <w:b w:val="1"/>
          <w:bCs w:val="1"/>
          <w:color w:val="auto"/>
        </w:rPr>
        <w:t>Alternate Event of Default Conversion Date</w:t>
      </w:r>
      <w:r>
        <w:rPr>
          <w:rFonts w:ascii="Times New Roman" w:cs="Times New Roman" w:eastAsia="Times New Roman" w:hAnsi="Times New Roman"/>
          <w:sz w:val="18"/>
          <w:szCs w:val="18"/>
          <w:color w:val="auto"/>
        </w:rPr>
        <w:t>”, and together with each Alternate Optional Conversion Date,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 the “</w:t>
      </w:r>
      <w:r>
        <w:rPr>
          <w:rFonts w:ascii="Times New Roman" w:cs="Times New Roman" w:eastAsia="Times New Roman" w:hAnsi="Times New Roman"/>
          <w:sz w:val="18"/>
          <w:szCs w:val="18"/>
          <w:b w:val="1"/>
          <w:bCs w:val="1"/>
          <w:color w:val="auto"/>
        </w:rPr>
        <w:t>Alternate Event of Default Conversion Amount</w:t>
      </w:r>
      <w:r>
        <w:rPr>
          <w:rFonts w:ascii="Times New Roman" w:cs="Times New Roman" w:eastAsia="Times New Roman" w:hAnsi="Times New Roman"/>
          <w:sz w:val="18"/>
          <w:szCs w:val="18"/>
          <w:color w:val="auto"/>
        </w:rPr>
        <w:t>” and together with each Alternate Optional Conversion Amount,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applicable Alternate Conversion Price.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1" w:name="page12"/>
    <w:bookmarkEnd w:id="11"/>
    <w:p>
      <w:pPr>
        <w:jc w:val="both"/>
        <w:ind w:left="644" w:firstLine="652"/>
        <w:spacing w:after="0" w:line="252" w:lineRule="auto"/>
        <w:tabs>
          <w:tab w:leader="none" w:pos="19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Event of Default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p>
    <w:p>
      <w:pPr>
        <w:spacing w:after="0" w:line="194"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4" w:firstLine="644"/>
        <w:spacing w:after="0" w:line="28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(ix), (x) and (xi)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19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applicable Registration Statement to be filed with the SEC on or prior to the date that is five (5) days after the applicable Filing Deadline (as defined in the Registration Rights Agreement) or the failure of the applicable Registration Statement to be declared effective by the SEC on or prior to the date that is ten (10) days after the applicable Effectiveness Deadline (as defined in the Registration Rights Agreement) (including any applicable grace periods in the Registration Rights Agreement, as applicable);</w:t>
      </w:r>
    </w:p>
    <w:p>
      <w:pPr>
        <w:spacing w:after="0" w:line="183" w:lineRule="exact"/>
        <w:rPr>
          <w:sz w:val="20"/>
          <w:szCs w:val="20"/>
          <w:color w:val="auto"/>
        </w:rPr>
      </w:pPr>
    </w:p>
    <w:p>
      <w:pPr>
        <w:jc w:val="both"/>
        <w:ind w:left="644" w:firstLine="652"/>
        <w:spacing w:after="0" w:line="256" w:lineRule="auto"/>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Underlying Securities for sale of all of such holder’s Underlying Securities in accordance with the terms of the Registration Rights Agreement, and such lapse or unavailability continues for a period of five (5) consecutive days or for more than an aggregate of ten (10) days in any 365-day period (excluding days during an Allowable Grace Period (as defined in the Registration Rights Agreement));</w:t>
      </w:r>
    </w:p>
    <w:p>
      <w:pPr>
        <w:spacing w:after="0" w:line="187"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trading or listed (as applicable) on an Eligible Market for a period of seven (7) consecutive Trading Days;</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8" w:lineRule="auto"/>
        <w:tabs>
          <w:tab w:leader="none" w:pos="1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on more than two occasions,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187" w:lineRule="exact"/>
        <w:rPr>
          <w:rFonts w:ascii="Times New Roman" w:cs="Times New Roman" w:eastAsia="Times New Roman" w:hAnsi="Times New Roman"/>
          <w:sz w:val="18"/>
          <w:szCs w:val="18"/>
          <w:color w:val="auto"/>
        </w:rPr>
      </w:pPr>
    </w:p>
    <w:p>
      <w:pPr>
        <w:jc w:val="both"/>
        <w:ind w:left="644" w:firstLine="652"/>
        <w:spacing w:after="0" w:line="213" w:lineRule="auto"/>
        <w:tabs>
          <w:tab w:leader="none" w:pos="194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except to the extent the Company is in compliance with Section 12(b) below, at any time following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2" w:name="page13"/>
    <w:bookmarkEnd w:id="12"/>
    <w:p>
      <w:pPr>
        <w:jc w:val="both"/>
        <w:ind w:left="180" w:firstLine="652"/>
        <w:spacing w:after="0" w:line="256"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the Collateral Subsidiary’s (as defined in the Securities Purchase Agreement) failure to pay to the Holder any amount of Principal, Interest, Late Charges or other amounts when and as due under this Note (including, without limitation, the Company’s or any Collateral Subsidiary’s failure to pay any redemption payments or amounts hereunder) or any other Transaction Document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shares of Common Stock issued to the Holder upon conversion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under, redemption of or acceleration prior to maturity of at least an aggregate of $1,500,000 of Indebtedness (as defined in the Securities Purchase Agreement) of the Company or any of its Subsidiaries, other than with respect to any Other Notes;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sixty (60) days of their initiation;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$1,000,000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or which occurs in the ordinary course of business shall not be included in calculating the $1,000,000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3" w:name="page14"/>
    <w:bookmarkEnd w:id="13"/>
    <w:p>
      <w:pPr>
        <w:jc w:val="both"/>
        <w:ind w:left="180" w:firstLine="652"/>
        <w:spacing w:after="0" w:line="253"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individually or in the aggregate, either (i) fails to pay, when due, within any applicable grace period, any payment with respect to any Indebtedness in excess of $1,000,000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 and such default or event of default is not cured within 10 days following such occurrence;</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or any covenant or other term or condition set forth in any Transaction Document, except, in the case of a breach of a covenant or term or condition that is curable, only if such breach remains uncured for a period of four (4) consecutive Trading Days (or following the applicable cure period set forth in the applicable Transaction Document, if any);</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false or inaccurate certification (including a false or inaccurate deemed certification) by the Company that either (A) the Equity Conditions are satisfied, (B) there has been no Equity Conditions Failure, or (C) as to whether any Event of Default has occurred;</w:t>
      </w:r>
    </w:p>
    <w:p>
      <w:pPr>
        <w:spacing w:after="0" w:line="17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or any Subsidiary to comply with any provision of Section 15 of</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(as defined in the Securities Purchase Agreement) (“Material Adverse Effect”); provided, however, that none of the following shall be deemed to constitute or shall be taken into account in determining whether a Material Adverse Effect has occurred, except to the extent such event has a materially disproportionate adverse impact on the Company relative to other companies in the same industry: changes in general economic or financial market conditions; changes in the securities, credit, currency, blockchain/digital-asset, or other financial markets; changes or developments affecting the industry in which the Company operates; changes in law, regulation, GAAP, or the interpretation thereof; geopolitical events (including acts of war, terrorism, pandemics, natural disasters); any failure to meet internal or external projections, estimates, or budgets (it being understood that the underlying causes may be considered);</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(including, without limitation, the Security Documents (as defined in the Securities Purchase Agreement) and the Guaranties (as defined in the Securities Purchase Agreement))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4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separate valid and perfected and, except to the extent permitted by the terms hereof or thereof, first priority Lien (as defined in the Securities Purchase Agreement) on the Collateral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4" w:name="page15"/>
    <w:bookmarkEnd w:id="14"/>
    <w:p>
      <w:pPr>
        <w:jc w:val="both"/>
        <w:ind w:left="640" w:firstLine="652"/>
        <w:spacing w:after="0" w:line="261" w:lineRule="auto"/>
        <w:tabs>
          <w:tab w:leader="none" w:pos="19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any Collateral, whether or not insured, or any strike, lockout, labor dispute, embargo, condemnation, act of God or public enemy, or other casualty which causes, for more than twenty (20) consecutive days, the cessation or substantial curtailment of revenue producing activities at any facility of the Company or any Subsidiary, if any such event or circumstance could have a Material Adverse Effect; or</w:t>
      </w:r>
    </w:p>
    <w:p>
      <w:pPr>
        <w:spacing w:after="0" w:line="179" w:lineRule="exact"/>
        <w:rPr>
          <w:rFonts w:ascii="Times New Roman" w:cs="Times New Roman" w:eastAsia="Times New Roman" w:hAnsi="Times New Roman"/>
          <w:sz w:val="18"/>
          <w:szCs w:val="18"/>
          <w:color w:val="auto"/>
        </w:rPr>
      </w:pPr>
    </w:p>
    <w:p>
      <w:pPr>
        <w:ind w:left="1940" w:hanging="648"/>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Notes) occurs with respect to any Other Notes.</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one (1) Business Day deliver written notice thereof via electronic mail (the “</w:t>
      </w:r>
      <w:r>
        <w:rPr>
          <w:rFonts w:ascii="Times New Roman" w:cs="Times New Roman" w:eastAsia="Times New Roman" w:hAnsi="Times New Roman"/>
          <w:sz w:val="18"/>
          <w:szCs w:val="18"/>
          <w:b w:val="1"/>
          <w:bCs w:val="1"/>
          <w:color w:val="auto"/>
        </w:rPr>
        <w:t>Email Notice</w:t>
      </w:r>
      <w:r>
        <w:rPr>
          <w:rFonts w:ascii="Times New Roman" w:cs="Times New Roman" w:eastAsia="Times New Roman" w:hAnsi="Times New Roman"/>
          <w:sz w:val="18"/>
          <w:szCs w:val="18"/>
          <w:color w:val="auto"/>
        </w:rPr>
        <w:t>”), which Email Notice shall be deemed satisfactory so long as the Holder confirms receipt within two Business Days, or overnight courier (with next day delivery specified) in the event the Holder has not confirmed receipt of the Email Notice within two Business Days following delivery (an “</w:t>
      </w:r>
      <w:r>
        <w:rPr>
          <w:rFonts w:ascii="Times New Roman" w:cs="Times New Roman" w:eastAsia="Times New Roman" w:hAnsi="Times New Roman"/>
          <w:sz w:val="18"/>
          <w:szCs w:val="18"/>
          <w:b w:val="1"/>
          <w:bCs w:val="1"/>
          <w:color w:val="auto"/>
        </w:rPr>
        <w:t>Event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Event of Default (such earlier date, the “</w:t>
      </w:r>
      <w:r>
        <w:rPr>
          <w:rFonts w:ascii="Times New Roman" w:cs="Times New Roman" w:eastAsia="Times New Roman" w:hAnsi="Times New Roman"/>
          <w:sz w:val="18"/>
          <w:szCs w:val="18"/>
          <w:b w:val="1"/>
          <w:bCs w:val="1"/>
          <w:color w:val="auto"/>
        </w:rPr>
        <w:t>Event of Default Right Commencement Date</w:t>
      </w:r>
      <w:r>
        <w:rPr>
          <w:rFonts w:ascii="Times New Roman" w:cs="Times New Roman" w:eastAsia="Times New Roman" w:hAnsi="Times New Roman"/>
          <w:sz w:val="18"/>
          <w:szCs w:val="18"/>
          <w:color w:val="auto"/>
        </w:rPr>
        <w:t>”) and ending (such ending date, the “</w:t>
      </w:r>
      <w:r>
        <w:rPr>
          <w:rFonts w:ascii="Times New Roman" w:cs="Times New Roman" w:eastAsia="Times New Roman" w:hAnsi="Times New Roman"/>
          <w:sz w:val="18"/>
          <w:szCs w:val="18"/>
          <w:b w:val="1"/>
          <w:bCs w:val="1"/>
          <w:color w:val="auto"/>
        </w:rPr>
        <w:t>Event of</w:t>
      </w:r>
    </w:p>
    <w:p>
      <w:pPr>
        <w:spacing w:after="0" w:line="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Default Right Expiration Date</w:t>
      </w:r>
      <w:r>
        <w:rPr>
          <w:rFonts w:ascii="Times New Roman" w:cs="Times New Roman" w:eastAsia="Times New Roman" w:hAnsi="Times New Roman"/>
          <w:sz w:val="18"/>
          <w:szCs w:val="18"/>
          <w:color w:val="auto"/>
        </w:rPr>
        <w:t>”, and each such period, an “</w:t>
      </w:r>
      <w:r>
        <w:rPr>
          <w:rFonts w:ascii="Times New Roman" w:cs="Times New Roman" w:eastAsia="Times New Roman" w:hAnsi="Times New Roman"/>
          <w:sz w:val="18"/>
          <w:szCs w:val="18"/>
          <w:b w:val="1"/>
          <w:bCs w:val="1"/>
          <w:color w:val="auto"/>
        </w:rPr>
        <w:t>Event of Default Redemption Right Period</w:t>
      </w:r>
      <w:r>
        <w:rPr>
          <w:rFonts w:ascii="Times New Roman" w:cs="Times New Roman" w:eastAsia="Times New Roman" w:hAnsi="Times New Roman"/>
          <w:sz w:val="18"/>
          <w:szCs w:val="18"/>
          <w:color w:val="auto"/>
        </w:rPr>
        <w:t>”)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may require the Company to redeem (regardless of whether such Event of Default has been cured on or prior to the Event of Default Right Expiration Date) all or any portion of this Note by delivering written notice thereof (the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 Each portion of this Note subject to redemption by the Company pursuant to this Section 4(b) shall be redeemed by the Company at a price equal to the greater of (i) the product of (A) the Conversion Amount to be redeemed multiplied by (B) the Redemption Premium and (ii) solely to the extent as of the date of such Event of Default Redemption Notice either (1) an Event of Default exists under any of clauses (i) to (v) and/or (vii) of Section 4(a) above and/or (2) an Equity Conditions Failure then exists, as applicable, (each, an “</w:t>
      </w:r>
      <w:r>
        <w:rPr>
          <w:rFonts w:ascii="Times New Roman" w:cs="Times New Roman" w:eastAsia="Times New Roman" w:hAnsi="Times New Roman"/>
          <w:sz w:val="18"/>
          <w:szCs w:val="18"/>
          <w:b w:val="1"/>
          <w:bCs w:val="1"/>
          <w:color w:val="auto"/>
        </w:rPr>
        <w:t>Equity Default Event</w:t>
      </w:r>
      <w:r>
        <w:rPr>
          <w:rFonts w:ascii="Times New Roman" w:cs="Times New Roman" w:eastAsia="Times New Roman" w:hAnsi="Times New Roman"/>
          <w:sz w:val="18"/>
          <w:szCs w:val="18"/>
          <w:color w:val="auto"/>
        </w:rPr>
        <w:t>”), the product of (X) the Conversion Rate with respect to the Conversion Amount in effect at such time as the Holder delivers an Event of Default Redemption Notice multiplied by (Y) the Closing Sale Price of the Common Stock on the day of the Event of Default Redemption Notice or if the Event of Default Redemption Notice is issued on a day that is not a Trading Day, then the Trading Day ended immediately prior to such Event of Default Redemption Notice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208" w:lineRule="exact"/>
        <w:rPr>
          <w:sz w:val="20"/>
          <w:szCs w:val="20"/>
          <w:color w:val="auto"/>
        </w:rPr>
      </w:pPr>
    </w:p>
    <w:p>
      <w:pPr>
        <w:jc w:val="both"/>
        <w:ind w:firstLine="644"/>
        <w:spacing w:after="0" w:line="254"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Event of Default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15" w:name="page16"/>
    <w:bookmarkEnd w:id="15"/>
    <w:p>
      <w:pPr>
        <w:ind w:left="840" w:hanging="656"/>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60" w:firstLine="644"/>
        <w:spacing w:after="0" w:line="251" w:lineRule="auto"/>
        <w:tabs>
          <w:tab w:leader="none" w:pos="8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205" w:lineRule="exact"/>
        <w:rPr>
          <w:rFonts w:ascii="Times New Roman" w:cs="Times New Roman" w:eastAsia="Times New Roman" w:hAnsi="Times New Roman"/>
          <w:sz w:val="18"/>
          <w:szCs w:val="18"/>
          <w:color w:val="auto"/>
        </w:rPr>
      </w:pPr>
    </w:p>
    <w:p>
      <w:pPr>
        <w:jc w:val="both"/>
        <w:ind w:left="-460" w:firstLine="644"/>
        <w:spacing w:after="0" w:line="251" w:lineRule="auto"/>
        <w:tabs>
          <w:tab w:leader="none" w:pos="8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 Change of Control; Redemption Right</w:t>
      </w:r>
      <w:r>
        <w:rPr>
          <w:rFonts w:ascii="Times New Roman" w:cs="Times New Roman" w:eastAsia="Times New Roman" w:hAnsi="Times New Roman"/>
          <w:sz w:val="18"/>
          <w:szCs w:val="18"/>
          <w:color w:val="auto"/>
        </w:rPr>
        <w:t>. No sooner than twenty (20) Trading Days nor later than ten (10) Trading Days prior to the consummation of a Change of Control (the “</w:t>
      </w:r>
      <w:r>
        <w:rPr>
          <w:rFonts w:ascii="Times New Roman" w:cs="Times New Roman" w:eastAsia="Times New Roman" w:hAnsi="Times New Roman"/>
          <w:sz w:val="18"/>
          <w:szCs w:val="18"/>
          <w:b w:val="1"/>
          <w:bCs w:val="1"/>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deliver written notice thereof via electronic mail, if the Holder confirms receipt within two Business Days, otherwise written notice shall be sent by overnight courier to the Holder (a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8"/>
          <w:szCs w:val="18"/>
          <w:b w:val="1"/>
          <w:bCs w:val="1"/>
          <w:color w:val="auto"/>
        </w:rPr>
        <w:t>Change of Control Redemption Notice</w:t>
      </w:r>
      <w:r>
        <w:rPr>
          <w:rFonts w:ascii="Times New Roman" w:cs="Times New Roman" w:eastAsia="Times New Roman" w:hAnsi="Times New Roman"/>
          <w:sz w:val="18"/>
          <w:szCs w:val="18"/>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and, only when Equity Conditions are not satisfied, (ii) the product of (A) the Conversion Amount being redeemed multiplied by (B) the quotient determined by dividing (I) the Closing Price of the shares of Common Stock on the day the Holder delivers the Change of Control Redemption Notice (or the Trading Day ended immediately prior to the time the Change of Control Redemption Notice is delivered on a non-Trading Day) by (II) the Conversion Price then in effect and (iii) only when Equity Conditions are not satisfied,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 Redemption Price</w:t>
      </w:r>
      <w:r>
        <w:rPr>
          <w:rFonts w:ascii="Times New Roman" w:cs="Times New Roman" w:eastAsia="Times New Roman" w:hAnsi="Times New Roman"/>
          <w:sz w:val="18"/>
          <w:szCs w:val="18"/>
          <w:color w:val="auto"/>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6" w:name="page17"/>
    <w:bookmarkEnd w:id="16"/>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8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solely to the extent that the Conversion Price then in effect is greater than 115% of the New Issuance Price, the Conversion Price then in effect shall be reduced to an amount equal to 115% of the New Issuance Price. For all purposes of the foregoing (including, without limitation, determining the adjusted Conversion Price and the New Issuance Price under this Section 7(a)), the following shall be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17" w:name="page18"/>
    <w:bookmarkEnd w:id="17"/>
    <w:p>
      <w:pPr>
        <w:jc w:val="both"/>
        <w:ind w:left="180" w:firstLine="652"/>
        <w:spacing w:after="0" w:line="252"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47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8" w:name="page19"/>
    <w:bookmarkEnd w:id="18"/>
    <w:p>
      <w:pPr>
        <w:jc w:val="both"/>
        <w:ind w:left="180" w:firstLine="652"/>
        <w:spacing w:after="0" w:line="251" w:lineRule="auto"/>
        <w:tabs>
          <w:tab w:leader="none" w:pos="14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w:t>
      </w:r>
    </w:p>
    <w:p>
      <w:pPr>
        <w:spacing w:after="0" w:line="5" w:lineRule="exact"/>
        <w:rPr>
          <w:sz w:val="20"/>
          <w:szCs w:val="20"/>
          <w:color w:val="auto"/>
        </w:rPr>
      </w:pPr>
    </w:p>
    <w:p>
      <w:pPr>
        <w:jc w:val="both"/>
        <w:ind w:left="180" w:right="20"/>
        <w:spacing w:after="0" w:line="221" w:lineRule="auto"/>
        <w:rPr>
          <w:sz w:val="20"/>
          <w:szCs w:val="20"/>
          <w:color w:val="auto"/>
        </w:rPr>
      </w:pPr>
      <w:r>
        <w:rPr>
          <w:rFonts w:ascii="Times New Roman" w:cs="Times New Roman" w:eastAsia="Times New Roman" w:hAnsi="Times New Roman"/>
          <w:sz w:val="18"/>
          <w:szCs w:val="18"/>
          <w:color w:val="auto"/>
        </w:rPr>
        <w:t>within five (5) Trading Days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98" w:lineRule="exact"/>
        <w:rPr>
          <w:sz w:val="20"/>
          <w:szCs w:val="20"/>
          <w:color w:val="auto"/>
        </w:rPr>
      </w:pPr>
    </w:p>
    <w:p>
      <w:pPr>
        <w:ind w:left="1480" w:hanging="648"/>
        <w:spacing w:after="0"/>
        <w:tabs>
          <w:tab w:leader="none" w:pos="14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w:t>
      </w:r>
    </w:p>
    <w:p>
      <w:pPr>
        <w:spacing w:after="0" w:line="27" w:lineRule="exact"/>
        <w:rPr>
          <w:rFonts w:ascii="Times New Roman" w:cs="Times New Roman" w:eastAsia="Times New Roman" w:hAnsi="Times New Roman"/>
          <w:sz w:val="18"/>
          <w:szCs w:val="18"/>
          <w:color w:val="auto"/>
        </w:rPr>
      </w:pPr>
    </w:p>
    <w:p>
      <w:pPr>
        <w:jc w:val="both"/>
        <w:ind w:left="180" w:firstLine="4"/>
        <w:spacing w:after="0" w:line="253" w:lineRule="auto"/>
        <w:tabs>
          <w:tab w:leader="none" w:pos="5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89" w:lineRule="exact"/>
        <w:rPr>
          <w:sz w:val="20"/>
          <w:szCs w:val="20"/>
          <w:color w:val="auto"/>
        </w:rPr>
      </w:pPr>
    </w:p>
    <w:p>
      <w:pPr>
        <w:jc w:val="both"/>
        <w:ind w:left="-460" w:firstLine="644"/>
        <w:spacing w:after="0" w:line="253" w:lineRule="auto"/>
        <w:tabs>
          <w:tab w:leader="none" w:pos="8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9" w:name="page20"/>
    <w:bookmarkEnd w:id="19"/>
    <w:p>
      <w:pPr>
        <w:jc w:val="both"/>
        <w:ind w:firstLine="644"/>
        <w:spacing w:after="0" w:line="253"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of Adjusted Conversion Price</w:t>
      </w:r>
      <w:r>
        <w:rPr>
          <w:rFonts w:ascii="Times New Roman" w:cs="Times New Roman" w:eastAsia="Times New Roman" w:hAnsi="Times New Roman"/>
          <w:sz w:val="18"/>
          <w:szCs w:val="18"/>
          <w:color w:val="auto"/>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if no response within two (2) Business Days,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187" w:lineRule="exact"/>
        <w:rPr>
          <w:rFonts w:ascii="Times New Roman" w:cs="Times New Roman" w:eastAsia="Times New Roman" w:hAnsi="Times New Roman"/>
          <w:sz w:val="18"/>
          <w:szCs w:val="18"/>
          <w:color w:val="auto"/>
        </w:rPr>
      </w:pPr>
    </w:p>
    <w:p>
      <w:pPr>
        <w:jc w:val="both"/>
        <w:ind w:firstLine="644"/>
        <w:spacing w:after="0" w:line="232" w:lineRule="auto"/>
        <w:tabs>
          <w:tab w:leader="none" w:pos="12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Adjustments</w:t>
      </w:r>
      <w:r>
        <w:rPr>
          <w:rFonts w:ascii="Times New Roman" w:cs="Times New Roman" w:eastAsia="Times New Roman" w:hAnsi="Times New Roman"/>
          <w:sz w:val="18"/>
          <w:szCs w:val="18"/>
          <w:color w:val="auto"/>
        </w:rPr>
        <w:t>. If at any time and from time to time on or after the Subscription Date there occurs any stock split, stock dividend, stock combination recapitalization or other similar transaction involving the Common Stock (each, a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Conversion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in effect (after giving effect to the adjustment in Section 7(b) above), then on the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immediately following such</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Stock Combination Event Date, the Conversion Price then in effect on such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200" w:lineRule="exact"/>
        <w:rPr>
          <w:sz w:val="20"/>
          <w:szCs w:val="20"/>
          <w:color w:val="auto"/>
        </w:rPr>
      </w:pPr>
    </w:p>
    <w:p>
      <w:pPr>
        <w:jc w:val="both"/>
        <w:ind w:firstLine="644"/>
        <w:spacing w:after="0" w:line="254"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92" w:lineRule="exact"/>
        <w:rPr>
          <w:rFonts w:ascii="Times New Roman" w:cs="Times New Roman" w:eastAsia="Times New Roman" w:hAnsi="Times New Roman"/>
          <w:sz w:val="18"/>
          <w:szCs w:val="18"/>
          <w:color w:val="auto"/>
        </w:rPr>
      </w:pPr>
    </w:p>
    <w:p>
      <w:pPr>
        <w:jc w:val="both"/>
        <w:ind w:firstLine="644"/>
        <w:spacing w:after="0" w:line="203" w:lineRule="auto"/>
        <w:tabs>
          <w:tab w:leader="none" w:pos="1296"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0" w:lineRule="exact"/>
        <w:rPr>
          <w:rFonts w:ascii="Times New Roman" w:cs="Times New Roman" w:eastAsia="Times New Roman" w:hAnsi="Times New Roman"/>
          <w:sz w:val="36"/>
          <w:szCs w:val="36"/>
          <w:color w:val="auto"/>
          <w:vertAlign w:val="superscript"/>
        </w:rPr>
      </w:pPr>
    </w:p>
    <w:p>
      <w:pPr>
        <w:jc w:val="both"/>
        <w:ind w:right="20" w:firstLine="644"/>
        <w:spacing w:after="0" w:line="266" w:lineRule="auto"/>
        <w:tabs>
          <w:tab w:leader="none" w:pos="12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reduce the then current Conversion Price of each of the Notes, in whole or in part,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0" w:name="page21"/>
    <w:bookmarkEnd w:id="20"/>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 AT THE COMPANY’S ELECTION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At any time the Company shall have the right to redeem all, or any portion, of the Conversion Amount then remaining under this Note (the “</w:t>
      </w:r>
      <w:r>
        <w:rPr>
          <w:rFonts w:ascii="Times New Roman" w:cs="Times New Roman" w:eastAsia="Times New Roman" w:hAnsi="Times New Roman"/>
          <w:sz w:val="18"/>
          <w:szCs w:val="18"/>
          <w:b w:val="1"/>
          <w:bCs w:val="1"/>
          <w:color w:val="auto"/>
        </w:rPr>
        <w:t>Company Optional Redemption Amount</w:t>
      </w:r>
      <w:r>
        <w:rPr>
          <w:rFonts w:ascii="Times New Roman" w:cs="Times New Roman" w:eastAsia="Times New Roman" w:hAnsi="Times New Roman"/>
          <w:sz w:val="18"/>
          <w:szCs w:val="18"/>
          <w:color w:val="auto"/>
        </w:rPr>
        <w:t>”) on the Company Optional Redemption Date (each as defined below) (a “</w:t>
      </w:r>
      <w:r>
        <w:rPr>
          <w:rFonts w:ascii="Times New Roman" w:cs="Times New Roman" w:eastAsia="Times New Roman" w:hAnsi="Times New Roman"/>
          <w:sz w:val="18"/>
          <w:szCs w:val="18"/>
          <w:b w:val="1"/>
          <w:bCs w:val="1"/>
          <w:color w:val="auto"/>
        </w:rPr>
        <w:t>Company Optional Redemption</w:t>
      </w:r>
      <w:r>
        <w:rPr>
          <w:rFonts w:ascii="Times New Roman" w:cs="Times New Roman" w:eastAsia="Times New Roman" w:hAnsi="Times New Roman"/>
          <w:sz w:val="18"/>
          <w:szCs w:val="18"/>
          <w:color w:val="auto"/>
        </w:rPr>
        <w:t>”). Such portion of this Note subject to redemption pursuant to this Section 8(a) shall be redeemed by the Company in cash at a price (the “</w:t>
      </w:r>
      <w:r>
        <w:rPr>
          <w:rFonts w:ascii="Times New Roman" w:cs="Times New Roman" w:eastAsia="Times New Roman" w:hAnsi="Times New Roman"/>
          <w:sz w:val="18"/>
          <w:szCs w:val="18"/>
          <w:b w:val="1"/>
          <w:bCs w:val="1"/>
          <w:color w:val="auto"/>
        </w:rPr>
        <w:t>Company Optional Redemption Price</w:t>
      </w:r>
      <w:r>
        <w:rPr>
          <w:rFonts w:ascii="Times New Roman" w:cs="Times New Roman" w:eastAsia="Times New Roman" w:hAnsi="Times New Roman"/>
          <w:sz w:val="18"/>
          <w:szCs w:val="18"/>
          <w:color w:val="auto"/>
        </w:rPr>
        <w:t>”) equal to 110% (or, if during an Event of Default Redemption Right Period, 115%) of the Conversion Amount being redeemed as of the Company Optional Redemption Date. The Company may exercise its right to require redemption under this Section 8(a) by delivering a written notice thereof by electronic mail and overnight courier to all, but not less than all, of the holders of Notes (the “</w:t>
      </w:r>
      <w:r>
        <w:rPr>
          <w:rFonts w:ascii="Times New Roman" w:cs="Times New Roman" w:eastAsia="Times New Roman" w:hAnsi="Times New Roman"/>
          <w:sz w:val="18"/>
          <w:szCs w:val="18"/>
          <w:b w:val="1"/>
          <w:bCs w:val="1"/>
          <w:color w:val="auto"/>
        </w:rPr>
        <w:t>Company Optional Redemption Notice</w:t>
      </w:r>
      <w:r>
        <w:rPr>
          <w:rFonts w:ascii="Times New Roman" w:cs="Times New Roman" w:eastAsia="Times New Roman" w:hAnsi="Times New Roman"/>
          <w:sz w:val="18"/>
          <w:szCs w:val="18"/>
          <w:color w:val="auto"/>
        </w:rPr>
        <w:t>” and the date all of the holders of Notes received such notice is referred to as the “</w:t>
      </w:r>
      <w:r>
        <w:rPr>
          <w:rFonts w:ascii="Times New Roman" w:cs="Times New Roman" w:eastAsia="Times New Roman" w:hAnsi="Times New Roman"/>
          <w:sz w:val="18"/>
          <w:szCs w:val="18"/>
          <w:b w:val="1"/>
          <w:bCs w:val="1"/>
          <w:color w:val="auto"/>
        </w:rPr>
        <w:t>Company Optional Redemption Notice Date</w:t>
      </w:r>
      <w:r>
        <w:rPr>
          <w:rFonts w:ascii="Times New Roman" w:cs="Times New Roman" w:eastAsia="Times New Roman" w:hAnsi="Times New Roman"/>
          <w:sz w:val="18"/>
          <w:szCs w:val="18"/>
          <w:color w:val="auto"/>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(the “</w:t>
      </w:r>
      <w:r>
        <w:rPr>
          <w:rFonts w:ascii="Times New Roman" w:cs="Times New Roman" w:eastAsia="Times New Roman" w:hAnsi="Times New Roman"/>
          <w:sz w:val="18"/>
          <w:szCs w:val="18"/>
          <w:b w:val="1"/>
          <w:bCs w:val="1"/>
          <w:color w:val="auto"/>
        </w:rPr>
        <w:t>Company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which date shall not be less than twenty (20) Trading Days nor more than forty (40) Trading Days following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Optional Redemption Notice Date,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Notwithstanding anything herein to the contrary,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(at Company’s discretion with respect to allocations of redemptions in part). Redemptions made pursuant to this Section 8(a) shall be made in accordance with Section 13.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w:t>
      </w:r>
    </w:p>
    <w:p>
      <w:pPr>
        <w:spacing w:after="0" w:line="205" w:lineRule="exact"/>
        <w:rPr>
          <w:rFonts w:ascii="Times New Roman" w:cs="Times New Roman" w:eastAsia="Times New Roman" w:hAnsi="Times New Roman"/>
          <w:sz w:val="18"/>
          <w:szCs w:val="18"/>
          <w:color w:val="auto"/>
        </w:rPr>
      </w:pPr>
    </w:p>
    <w:p>
      <w:pPr>
        <w:ind w:left="4" w:firstLine="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Redemption Requirement</w:t>
      </w:r>
      <w:r>
        <w:rPr>
          <w:rFonts w:ascii="Times New Roman" w:cs="Times New Roman" w:eastAsia="Times New Roman" w:hAnsi="Times New Roman"/>
          <w:sz w:val="18"/>
          <w:szCs w:val="18"/>
          <w:color w:val="auto"/>
        </w:rPr>
        <w:t>. If the Company elects to cause a Company Optional Redemption of this Note pursuant to Section 8(a) above, then it must simultaneously take the same action with respect to all of the Other Notes.</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PLACEMENT OPTIONAL REDEMPTION</w:t>
      </w:r>
    </w:p>
    <w:p>
      <w:pPr>
        <w:spacing w:after="0" w:line="221"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(the “</w:t>
      </w:r>
      <w:r>
        <w:rPr>
          <w:rFonts w:ascii="Times New Roman" w:cs="Times New Roman" w:eastAsia="Times New Roman" w:hAnsi="Times New Roman"/>
          <w:sz w:val="18"/>
          <w:szCs w:val="18"/>
          <w:b w:val="1"/>
          <w:bCs w:val="1"/>
          <w:color w:val="auto"/>
        </w:rPr>
        <w:t>Holder Subsequent Placement Notice Date</w:t>
      </w:r>
      <w:r>
        <w:rPr>
          <w:rFonts w:ascii="Times New Roman" w:cs="Times New Roman" w:eastAsia="Times New Roman" w:hAnsi="Times New Roman"/>
          <w:sz w:val="18"/>
          <w:szCs w:val="18"/>
          <w:color w:val="auto"/>
        </w:rPr>
        <w:t>”) becomes aware of the occurrence of a Subsequent Placement (as defined in the Securities Purchase Agreement) (in each case, other than with respect to Excluded Securities (as defined in the Securities Purchase Agreement)) (each, an “</w:t>
      </w:r>
      <w:r>
        <w:rPr>
          <w:rFonts w:ascii="Times New Roman" w:cs="Times New Roman" w:eastAsia="Times New Roman" w:hAnsi="Times New Roman"/>
          <w:sz w:val="18"/>
          <w:szCs w:val="18"/>
          <w:b w:val="1"/>
          <w:bCs w:val="1"/>
          <w:color w:val="auto"/>
        </w:rPr>
        <w:t>Eligible Subsequent Placement</w:t>
      </w:r>
      <w:r>
        <w:rPr>
          <w:rFonts w:ascii="Times New Roman" w:cs="Times New Roman" w:eastAsia="Times New Roman" w:hAnsi="Times New Roman"/>
          <w:sz w:val="18"/>
          <w:szCs w:val="18"/>
          <w:color w:val="auto"/>
        </w:rPr>
        <w:t>”), and (y) the time of consummation of such Eligible Subsequent Placement, the Holder shall have the right, in its sole discretion, to require that the Company redeem (each, a “</w:t>
      </w:r>
      <w:r>
        <w:rPr>
          <w:rFonts w:ascii="Times New Roman" w:cs="Times New Roman" w:eastAsia="Times New Roman" w:hAnsi="Times New Roman"/>
          <w:sz w:val="18"/>
          <w:szCs w:val="18"/>
          <w:b w:val="1"/>
          <w:bCs w:val="1"/>
          <w:color w:val="auto"/>
        </w:rPr>
        <w:t>Subsequent Placement Optional Redemption</w:t>
      </w:r>
      <w:r>
        <w:rPr>
          <w:rFonts w:ascii="Times New Roman" w:cs="Times New Roman" w:eastAsia="Times New Roman" w:hAnsi="Times New Roman"/>
          <w:sz w:val="18"/>
          <w:szCs w:val="18"/>
          <w:color w:val="auto"/>
        </w:rPr>
        <w:t>”) all, or any portion, of the Conversion Amount under this Note not in excess of (together with any Subsequent Placement Optional Redemption Amount (as defined in the applicable other Note of the Holder) of any other Notes of the Holder) the Holder’s Holder Pro Rata Amount of 20% of the net proceeds of such Eligible Subsequent Placement (the “</w:t>
      </w:r>
      <w:r>
        <w:rPr>
          <w:rFonts w:ascii="Times New Roman" w:cs="Times New Roman" w:eastAsia="Times New Roman" w:hAnsi="Times New Roman"/>
          <w:sz w:val="18"/>
          <w:szCs w:val="18"/>
          <w:b w:val="1"/>
          <w:bCs w:val="1"/>
          <w:color w:val="auto"/>
        </w:rPr>
        <w:t>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by delivering written notice thereof (an “</w:t>
      </w:r>
      <w:r>
        <w:rPr>
          <w:rFonts w:ascii="Times New Roman" w:cs="Times New Roman" w:eastAsia="Times New Roman" w:hAnsi="Times New Roman"/>
          <w:sz w:val="18"/>
          <w:szCs w:val="18"/>
          <w:b w:val="1"/>
          <w:bCs w:val="1"/>
          <w:color w:val="auto"/>
        </w:rPr>
        <w:t>Subsequent Placement Optional Redemption Notice</w:t>
      </w:r>
      <w:r>
        <w:rPr>
          <w:rFonts w:ascii="Times New Roman" w:cs="Times New Roman" w:eastAsia="Times New Roman" w:hAnsi="Times New Roman"/>
          <w:sz w:val="18"/>
          <w:szCs w:val="18"/>
          <w:color w:val="auto"/>
        </w:rPr>
        <w:t>”) to the Company. The Company shall notify the Holder in writing no later than five (5) Trading Days after the occurrence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Eligible Subsequent Placement, which notice shall include (i) the sale price of each Eligible Subsequent Placement, (ii) the date of each Eligible Subsequent Placement and (iii) the aggregate gross proceeds of each Eligible Subsequent Placement. Notwithstanding the foregoing, if the Holder is participating in an Eligible Subsequent Placement, upon the written request of the Holder,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Eligible Subsequent Placement.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 w:name="page22"/>
    <w:bookmarkEnd w:id="21"/>
    <w:p>
      <w:pPr>
        <w:jc w:val="both"/>
        <w:ind w:left="640" w:firstLine="644"/>
        <w:spacing w:after="0" w:line="253" w:lineRule="auto"/>
        <w:tabs>
          <w:tab w:leader="none" w:pos="193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Subsequent Placement Optional Redemption Notice shall indicate that all, or such applicable portion, as set forth in the applicable Subsequent Placement Optional Redemption Notice, of the Conversion Amount of this Note (with a Subsequent Placement Optional Redemption Price not in excess of such applicable Eligible Subsequent Placement Optional Redemption Amount) the Holder is electing to have redeemed (the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and the date of such Subsequent Placement Optional Redemption (the “</w:t>
      </w:r>
      <w:r>
        <w:rPr>
          <w:rFonts w:ascii="Times New Roman" w:cs="Times New Roman" w:eastAsia="Times New Roman" w:hAnsi="Times New Roman"/>
          <w:sz w:val="18"/>
          <w:szCs w:val="18"/>
          <w:b w:val="1"/>
          <w:bCs w:val="1"/>
          <w:color w:val="auto"/>
        </w:rPr>
        <w:t>Subsequent Placement Optional Redemption Date</w:t>
      </w:r>
      <w:r>
        <w:rPr>
          <w:rFonts w:ascii="Times New Roman" w:cs="Times New Roman" w:eastAsia="Times New Roman" w:hAnsi="Times New Roman"/>
          <w:sz w:val="18"/>
          <w:szCs w:val="18"/>
          <w:color w:val="auto"/>
        </w:rPr>
        <w:t>”), which shall be the later of (x) the fifth (5th) Business Day after the date of the applicable Subsequent Placement Optional Redemption Notice and (y) the date of the consummation of such Eligible Subsequent Placement. The portion of the Conversion Amount of this Note subject to redemption pursuant to this Section 8 shall be redeemed by the Company in cash at a price equal to 110% of the Subsequent Placement Optional Redemption Amount being redeemed as of the Subsequent Placement Optional Redemption Date (the “</w:t>
      </w:r>
      <w:r>
        <w:rPr>
          <w:rFonts w:ascii="Times New Roman" w:cs="Times New Roman" w:eastAsia="Times New Roman" w:hAnsi="Times New Roman"/>
          <w:sz w:val="18"/>
          <w:szCs w:val="18"/>
          <w:b w:val="1"/>
          <w:bCs w:val="1"/>
          <w:color w:val="auto"/>
        </w:rPr>
        <w:t>Subsequent Placement Optional Redemption Price</w:t>
      </w:r>
      <w:r>
        <w:rPr>
          <w:rFonts w:ascii="Times New Roman" w:cs="Times New Roman" w:eastAsia="Times New Roman" w:hAnsi="Times New Roman"/>
          <w:sz w:val="18"/>
          <w:szCs w:val="18"/>
          <w:color w:val="auto"/>
        </w:rPr>
        <w:t>”). Redemptions required by this Section 8 shall be made in accordance with the provisions of Section 13.</w:t>
      </w:r>
    </w:p>
    <w:p>
      <w:pPr>
        <w:spacing w:after="0" w:line="194"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 OPTIONAL REDEMPTION</w:t>
      </w:r>
    </w:p>
    <w:p>
      <w:pPr>
        <w:spacing w:after="0" w:line="225" w:lineRule="exact"/>
        <w:rPr>
          <w:rFonts w:ascii="Times New Roman" w:cs="Times New Roman" w:eastAsia="Times New Roman" w:hAnsi="Times New Roman"/>
          <w:sz w:val="18"/>
          <w:szCs w:val="18"/>
          <w:color w:val="auto"/>
        </w:rPr>
      </w:pPr>
    </w:p>
    <w:p>
      <w:pPr>
        <w:jc w:val="both"/>
        <w:ind w:left="640" w:firstLine="644"/>
        <w:spacing w:after="0" w:line="253" w:lineRule="auto"/>
        <w:tabs>
          <w:tab w:leader="none" w:pos="19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Crypto Collateral Value (as defined in the Security Agreement) fails to exceeds 150% of the Conversion Amount of the Notes then outstanding, from and after the earlier of (x) the date the Holder becomes aware of the occurrence of an Asset Sale (as defined below)(including any insurance and condemnation proceeds thereof) (each, a “</w:t>
      </w:r>
      <w:r>
        <w:rPr>
          <w:rFonts w:ascii="Times New Roman" w:cs="Times New Roman" w:eastAsia="Times New Roman" w:hAnsi="Times New Roman"/>
          <w:sz w:val="18"/>
          <w:szCs w:val="18"/>
          <w:b w:val="1"/>
          <w:bCs w:val="1"/>
          <w:color w:val="auto"/>
        </w:rPr>
        <w:t>Holder Asset Sale Notice Date</w:t>
      </w:r>
      <w:r>
        <w:rPr>
          <w:rFonts w:ascii="Times New Roman" w:cs="Times New Roman" w:eastAsia="Times New Roman" w:hAnsi="Times New Roman"/>
          <w:sz w:val="18"/>
          <w:szCs w:val="18"/>
          <w:color w:val="auto"/>
        </w:rPr>
        <w:t>”) and (y) the time of consummation of an Asset Sale (other than sales of inventory and product in the ordinary course of business) (each, an “</w:t>
      </w:r>
      <w:r>
        <w:rPr>
          <w:rFonts w:ascii="Times New Roman" w:cs="Times New Roman" w:eastAsia="Times New Roman" w:hAnsi="Times New Roman"/>
          <w:sz w:val="18"/>
          <w:szCs w:val="18"/>
          <w:b w:val="1"/>
          <w:bCs w:val="1"/>
          <w:color w:val="auto"/>
        </w:rPr>
        <w:t>Eligible Asset Sale</w:t>
      </w:r>
      <w:r>
        <w:rPr>
          <w:rFonts w:ascii="Times New Roman" w:cs="Times New Roman" w:eastAsia="Times New Roman" w:hAnsi="Times New Roman"/>
          <w:sz w:val="18"/>
          <w:szCs w:val="18"/>
          <w:color w:val="auto"/>
        </w:rPr>
        <w:t>”), the Holder shall have the right, in its sole discretion, to require that the Company redeem (each an “</w:t>
      </w:r>
      <w:r>
        <w:rPr>
          <w:rFonts w:ascii="Times New Roman" w:cs="Times New Roman" w:eastAsia="Times New Roman" w:hAnsi="Times New Roman"/>
          <w:sz w:val="18"/>
          <w:szCs w:val="18"/>
          <w:b w:val="1"/>
          <w:bCs w:val="1"/>
          <w:color w:val="auto"/>
        </w:rPr>
        <w:t>Asset Sale Optional Redemption</w:t>
      </w:r>
      <w:r>
        <w:rPr>
          <w:rFonts w:ascii="Times New Roman" w:cs="Times New Roman" w:eastAsia="Times New Roman" w:hAnsi="Times New Roman"/>
          <w:sz w:val="18"/>
          <w:szCs w:val="18"/>
          <w:color w:val="auto"/>
        </w:rPr>
        <w:t>”) all, or any portion, of the Conversion Amount under this Note not in excess of (together with any Asset Sale Optional Redemption Amount (as defined in the applicable other Note of the Holder) of any other Notes of the Holder) the Holder’s Holder Pro Rata Amount of 20% of the net proceeds (including any insurance and condemnation proceeds with respect thereto) of such Eligible Asset Sale (each, an “</w:t>
      </w:r>
      <w:r>
        <w:rPr>
          <w:rFonts w:ascii="Times New Roman" w:cs="Times New Roman" w:eastAsia="Times New Roman" w:hAnsi="Times New Roman"/>
          <w:sz w:val="18"/>
          <w:szCs w:val="18"/>
          <w:b w:val="1"/>
          <w:bCs w:val="1"/>
          <w:color w:val="auto"/>
        </w:rPr>
        <w:t>Eligible Asset Sale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Amount</w:t>
      </w:r>
      <w:r>
        <w:rPr>
          <w:rFonts w:ascii="Times New Roman" w:cs="Times New Roman" w:eastAsia="Times New Roman" w:hAnsi="Times New Roman"/>
          <w:sz w:val="18"/>
          <w:szCs w:val="18"/>
          <w:color w:val="auto"/>
        </w:rPr>
        <w:t>”) by delivering written notice thereof (each, an “</w:t>
      </w:r>
      <w:r>
        <w:rPr>
          <w:rFonts w:ascii="Times New Roman" w:cs="Times New Roman" w:eastAsia="Times New Roman" w:hAnsi="Times New Roman"/>
          <w:sz w:val="18"/>
          <w:szCs w:val="18"/>
          <w:b w:val="1"/>
          <w:bCs w:val="1"/>
          <w:color w:val="auto"/>
        </w:rPr>
        <w:t>Asset Sale Optional Redemption Notice</w:t>
      </w:r>
      <w:r>
        <w:rPr>
          <w:rFonts w:ascii="Times New Roman" w:cs="Times New Roman" w:eastAsia="Times New Roman" w:hAnsi="Times New Roman"/>
          <w:sz w:val="18"/>
          <w:szCs w:val="18"/>
          <w:color w:val="auto"/>
        </w:rPr>
        <w:t>”, and each date thereof,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Redemption Notice Date</w:t>
      </w:r>
      <w:r>
        <w:rPr>
          <w:rFonts w:ascii="Times New Roman" w:cs="Times New Roman" w:eastAsia="Times New Roman" w:hAnsi="Times New Roman"/>
          <w:sz w:val="18"/>
          <w:szCs w:val="18"/>
          <w:color w:val="auto"/>
        </w:rPr>
        <w:t>”) to the Company.</w:t>
      </w:r>
    </w:p>
    <w:p>
      <w:pPr>
        <w:spacing w:after="0" w:line="194" w:lineRule="exact"/>
        <w:rPr>
          <w:rFonts w:ascii="Times New Roman" w:cs="Times New Roman" w:eastAsia="Times New Roman" w:hAnsi="Times New Roman"/>
          <w:sz w:val="18"/>
          <w:szCs w:val="18"/>
          <w:color w:val="auto"/>
        </w:rPr>
      </w:pPr>
    </w:p>
    <w:p>
      <w:pPr>
        <w:jc w:val="both"/>
        <w:ind w:left="640" w:firstLine="644"/>
        <w:spacing w:after="0" w:line="252" w:lineRule="auto"/>
        <w:tabs>
          <w:tab w:leader="none" w:pos="19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Asset Sale Optional Redemption Notice shall indicate that all, or such applicable portion, as set forth in the applicable Asset Sale Optional Redemption Notice, of the Conversion Amount of this Note (with an Asset Sale Optional Redemption Price not in excess of such applicable Eligible Asset Sale Optional Redemption Amount) the Holder is electing to have redeemed (each,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Optional Redemption Amount</w:t>
      </w:r>
      <w:r>
        <w:rPr>
          <w:rFonts w:ascii="Times New Roman" w:cs="Times New Roman" w:eastAsia="Times New Roman" w:hAnsi="Times New Roman"/>
          <w:sz w:val="18"/>
          <w:szCs w:val="18"/>
          <w:color w:val="auto"/>
        </w:rPr>
        <w:t>”) and the date of such Asset Sale Optional Redemption (each, an “</w:t>
      </w:r>
      <w:r>
        <w:rPr>
          <w:rFonts w:ascii="Times New Roman" w:cs="Times New Roman" w:eastAsia="Times New Roman" w:hAnsi="Times New Roman"/>
          <w:sz w:val="18"/>
          <w:szCs w:val="18"/>
          <w:b w:val="1"/>
          <w:bCs w:val="1"/>
          <w:color w:val="auto"/>
        </w:rPr>
        <w:t>Asset Sale Optional Redemption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be the later of (x) the fifth (5th) Business Day after the date of the applicable Asset Sale Optional Redemption Notice and (y) the date of the consummation of such Eligible Asset Sale. The portion of the Conversion Amount of this Note subject to redemption pursuant to this Section 10 shall be redeemed by the Company in cash at a price equal to 110% of the greater of (i) the Asset Sale Optional Redemption Amount being redeemed as of the Asset Sale Optional Redemption Date and (ii) the product of (1) the quotient of (A) the Asset Sale Optional Redemption Amount being redeemed divided by (b) the Alternate Conversion Price then in effect as of the Asset Sale Optional Redemption Date multiplied by</w:t>
      </w:r>
    </w:p>
    <w:p>
      <w:pPr>
        <w:spacing w:after="0" w:line="6" w:lineRule="exact"/>
        <w:rPr>
          <w:rFonts w:ascii="Times New Roman" w:cs="Times New Roman" w:eastAsia="Times New Roman" w:hAnsi="Times New Roman"/>
          <w:sz w:val="18"/>
          <w:szCs w:val="18"/>
          <w:color w:val="auto"/>
        </w:rPr>
      </w:pPr>
    </w:p>
    <w:p>
      <w:pPr>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the Closing Sale Price of the Common Stock on Holder Asset Sale Notice Date (each, an “</w:t>
      </w:r>
      <w:r>
        <w:rPr>
          <w:rFonts w:ascii="Times New Roman" w:cs="Times New Roman" w:eastAsia="Times New Roman" w:hAnsi="Times New Roman"/>
          <w:sz w:val="18"/>
          <w:szCs w:val="18"/>
          <w:b w:val="1"/>
          <w:bCs w:val="1"/>
          <w:color w:val="auto"/>
        </w:rPr>
        <w:t>Asset Sale Optional Redemption Price</w:t>
      </w:r>
      <w:r>
        <w:rPr>
          <w:rFonts w:ascii="Times New Roman" w:cs="Times New Roman" w:eastAsia="Times New Roman" w:hAnsi="Times New Roman"/>
          <w:sz w:val="18"/>
          <w:szCs w:val="18"/>
          <w:color w:val="auto"/>
        </w:rPr>
        <w:t>”). Redemptions required by this Section 10 shall be made in accordance with the provisions of Section 13.</w:t>
      </w:r>
    </w:p>
    <w:p>
      <w:pPr>
        <w:spacing w:after="0" w:line="181"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12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2" w:name="page23"/>
    <w:bookmarkEnd w:id="22"/>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Notes remain outstanding, the Company shall at all times reserve at least 100%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(including, without limitation, each increase in the number of shares so reserved) shall be allocated pro rata among the holders of the Notes based on the original principal amount of the Notes held by each holder on the Initial Closing Date (as defined in the Securities Purchase Agreement) or increase in the number of reserved shares, as the case may be (the “</w:t>
      </w:r>
      <w:r>
        <w:rPr>
          <w:rFonts w:ascii="Times New Roman" w:cs="Times New Roman" w:eastAsia="Times New Roman" w:hAnsi="Times New Roman"/>
          <w:sz w:val="18"/>
          <w:szCs w:val="18"/>
          <w:b w:val="1"/>
          <w:bCs w:val="1"/>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94"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shareholders of its issued and outstanding shares of Common Stock to approve the increase in the number of authorized shares of Common Stock, the Company may satisfy this obligation by obtaining such consent and submitting for filing with the Commission an Information Statement on Schedule 14C.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12(b);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3" w:name="page24"/>
    <w:bookmarkEnd w:id="23"/>
    <w:p>
      <w:pPr>
        <w:ind w:left="1280" w:hanging="64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44"/>
        <w:spacing w:after="0" w:line="251" w:lineRule="auto"/>
        <w:tabs>
          <w:tab w:leader="none" w:pos="19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(each, an “</w:t>
      </w:r>
      <w:r>
        <w:rPr>
          <w:rFonts w:ascii="Times New Roman" w:cs="Times New Roman" w:eastAsia="Times New Roman" w:hAnsi="Times New Roman"/>
          <w:sz w:val="18"/>
          <w:szCs w:val="18"/>
          <w:b w:val="1"/>
          <w:bCs w:val="1"/>
          <w:color w:val="auto"/>
        </w:rPr>
        <w:t>Event of Default Redemption Date</w:t>
      </w:r>
      <w:r>
        <w:rPr>
          <w:rFonts w:ascii="Times New Roman" w:cs="Times New Roman" w:eastAsia="Times New Roman" w:hAnsi="Times New Roman"/>
          <w:sz w:val="18"/>
          <w:szCs w:val="18"/>
          <w:color w:val="auto"/>
        </w:rPr>
        <w:t>”).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otherwise(each, an “</w:t>
      </w:r>
      <w:r>
        <w:rPr>
          <w:rFonts w:ascii="Times New Roman" w:cs="Times New Roman" w:eastAsia="Times New Roman" w:hAnsi="Times New Roman"/>
          <w:sz w:val="18"/>
          <w:szCs w:val="18"/>
          <w:b w:val="1"/>
          <w:bCs w:val="1"/>
          <w:color w:val="auto"/>
        </w:rPr>
        <w:t>Change of Control Redemption Date</w:t>
      </w:r>
      <w:r>
        <w:rPr>
          <w:rFonts w:ascii="Times New Roman" w:cs="Times New Roman" w:eastAsia="Times New Roman" w:hAnsi="Times New Roman"/>
          <w:sz w:val="18"/>
          <w:szCs w:val="18"/>
          <w:color w:val="auto"/>
        </w:rPr>
        <w:t>”).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4" w:lineRule="exact"/>
        <w:rPr>
          <w:rFonts w:ascii="Times New Roman" w:cs="Times New Roman" w:eastAsia="Times New Roman" w:hAnsi="Times New Roman"/>
          <w:sz w:val="18"/>
          <w:szCs w:val="18"/>
          <w:color w:val="auto"/>
        </w:rPr>
      </w:pPr>
    </w:p>
    <w:p>
      <w:pPr>
        <w:jc w:val="both"/>
        <w:ind w:left="640" w:firstLine="644"/>
        <w:spacing w:after="0" w:line="253" w:lineRule="auto"/>
        <w:tabs>
          <w:tab w:leader="none" w:pos="19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following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91" w:lineRule="exact"/>
        <w:rPr>
          <w:rFonts w:ascii="Times New Roman" w:cs="Times New Roman" w:eastAsia="Times New Roman" w:hAnsi="Times New Roman"/>
          <w:sz w:val="18"/>
          <w:szCs w:val="18"/>
          <w:color w:val="auto"/>
        </w:rPr>
      </w:pPr>
    </w:p>
    <w:p>
      <w:pPr>
        <w:ind w:left="-20" w:right="20" w:firstLine="656"/>
        <w:spacing w:after="0" w:line="282" w:lineRule="auto"/>
        <w:tabs>
          <w:tab w:leader="none" w:pos="12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without limitation, Chapter 78 of the Nevada Revised Statute) and as expressly provided in this Note.</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223" w:lineRule="exact"/>
        <w:rPr>
          <w:rFonts w:ascii="Times New Roman" w:cs="Times New Roman" w:eastAsia="Times New Roman" w:hAnsi="Times New Roman"/>
          <w:sz w:val="18"/>
          <w:szCs w:val="18"/>
          <w:color w:val="auto"/>
        </w:rPr>
      </w:pPr>
    </w:p>
    <w:p>
      <w:pPr>
        <w:ind w:left="640" w:right="20" w:firstLine="644"/>
        <w:spacing w:after="0" w:line="284" w:lineRule="auto"/>
        <w:tabs>
          <w:tab w:leader="none" w:pos="19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and any Additional Notes, if any, and (b) shall be senior to all other Indebtedness of the Company and its Subsidiaries (other than Permitted Indebtedness secured by Permitted Liens).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4" w:name="page25"/>
    <w:bookmarkEnd w:id="24"/>
    <w:p>
      <w:pPr>
        <w:jc w:val="both"/>
        <w:ind w:left="-460" w:firstLine="644"/>
        <w:spacing w:after="0" w:line="266"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 and Investments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(other than Permitted Preferred Redemptions (as defined in the Securities Purchase Agreement) at such time as no Event of Default has occurred and is continuing).</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 (each,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other than Asset Sales made in compliance with Section 10 above. Notwithstanding this Section 15(f), during the term of this Note, the Company shall not be restricted from selling (or spinning out) of all, or any part, of its ecommerce or manufacturing related business of Global Product Marketing Inc., E Marketing Solutions, Inc., Global Social Media, LLC, Box Harmony LLC, Anivia Ltd, United Package NV Ltd, Fly Elephant Limited and Dayourenzai (Shenzhen ) Technology Co, Ltd. as the Company and its Board of Directors deem to be in the best interests of the Company (collectively, the “</w:t>
      </w:r>
      <w:r>
        <w:rPr>
          <w:rFonts w:ascii="Times New Roman" w:cs="Times New Roman" w:eastAsia="Times New Roman" w:hAnsi="Times New Roman"/>
          <w:sz w:val="18"/>
          <w:szCs w:val="18"/>
          <w:b w:val="1"/>
          <w:bCs w:val="1"/>
          <w:color w:val="auto"/>
        </w:rPr>
        <w:t>Ecommerce Sales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Indebtedness</w:t>
      </w:r>
      <w:r>
        <w:rPr>
          <w:rFonts w:ascii="Times New Roman" w:cs="Times New Roman" w:eastAsia="Times New Roman" w:hAnsi="Times New Roman"/>
          <w:sz w:val="18"/>
          <w:szCs w:val="18"/>
          <w:color w:val="auto"/>
        </w:rPr>
        <w:t>. The Company shall not, and the Company shall cause each of its Subsidiaries to not, directly or indirectly, permit any Indebtedness of the Company or any of its Subsidiaries to mature or accelerate prior to the Maturity Date (other than as permitted under Section 4(g) of the Securities Purchase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 (other than in connection with the Ecommerce Sales).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other than as the Company may determine to discontinue or close any Subsidiaries outside of iPower Smart LLC or any other entity that holds the Crypto Collateral.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5" w:name="page26"/>
    <w:bookmarkEnd w:id="25"/>
    <w:p>
      <w:pPr>
        <w:jc w:val="both"/>
        <w:ind w:left="-460" w:firstLine="644"/>
        <w:spacing w:after="0" w:line="261"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 (other than in connection with the Ecommerce Sales).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with respect to the Ecommerce Sales,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Issuances</w:t>
      </w:r>
      <w:r>
        <w:rPr>
          <w:rFonts w:ascii="Times New Roman" w:cs="Times New Roman" w:eastAsia="Times New Roman" w:hAnsi="Times New Roman"/>
          <w:sz w:val="18"/>
          <w:szCs w:val="18"/>
          <w:color w:val="auto"/>
        </w:rPr>
        <w:t>. The Company shall not, directly or indirectly, without the prior written consent of the Required Holders, (i) issue any Notes (other than as contemplated by the Securities Purchase Agreement and the Notes) or (ii) issue any other securities that would cause a breach or default under the Notes.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Subsidiaries</w:t>
      </w:r>
      <w:r>
        <w:rPr>
          <w:rFonts w:ascii="Times New Roman" w:cs="Times New Roman" w:eastAsia="Times New Roman" w:hAnsi="Times New Roman"/>
          <w:sz w:val="18"/>
          <w:szCs w:val="18"/>
          <w:color w:val="auto"/>
        </w:rPr>
        <w:t>. Simultaneously with the acquisition or formation of each New Subsidiary, the Company shall cause such New Subsidiary to execute, and deliver to each holder of Notes, all Security Documents and Guaranties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 In no case shall this Section 15(o) apply to the GPM Entities and their ecommerce and ecommerce-related business.</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Collateral; Collateral Records</w:t>
      </w:r>
      <w:r>
        <w:rPr>
          <w:rFonts w:ascii="Times New Roman" w:cs="Times New Roman" w:eastAsia="Times New Roman" w:hAnsi="Times New Roman"/>
          <w:sz w:val="18"/>
          <w:szCs w:val="18"/>
          <w:color w:val="auto"/>
        </w:rPr>
        <w:t>. The Company shall (i) give the Collateral Agent not less than thirty (30) days’ prior written notice of any change in the location of any Collateral,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p>
    <w:p>
      <w:pPr>
        <w:spacing w:after="0" w:line="19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8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Crypto Control Accounts</w:t>
      </w:r>
      <w:r>
        <w:rPr>
          <w:rFonts w:ascii="Times New Roman" w:cs="Times New Roman" w:eastAsia="Times New Roman" w:hAnsi="Times New Roman"/>
          <w:sz w:val="18"/>
          <w:szCs w:val="18"/>
          <w:color w:val="auto"/>
        </w:rPr>
        <w:t>. The Company shall not, directly or indirectly, default, breach or fail in any material respect to comply with any provision of any of the Crypto Control Account Agreements (as defined in the 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6" w:name="page27"/>
    <w:bookmarkEnd w:id="26"/>
    <w:p>
      <w:pPr>
        <w:jc w:val="both"/>
        <w:ind w:left="640" w:firstLine="644"/>
        <w:spacing w:after="0" w:line="258" w:lineRule="auto"/>
        <w:tabs>
          <w:tab w:leader="none" w:pos="19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19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9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 Test; Announcement of Operating Results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292"/>
        <w:spacing w:after="0" w:line="261" w:lineRule="auto"/>
        <w:tabs>
          <w:tab w:leader="none" w:pos="2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 Test</w:t>
      </w:r>
      <w:r>
        <w:rPr>
          <w:rFonts w:ascii="Times New Roman" w:cs="Times New Roman" w:eastAsia="Times New Roman" w:hAnsi="Times New Roman"/>
          <w:sz w:val="18"/>
          <w:szCs w:val="18"/>
          <w:color w:val="auto"/>
        </w:rPr>
        <w:t>. At any time any Notes remains outstanding, (x) the Company’s Available Cash as of the last calendar day in each Fiscal Quarter (each, a “</w:t>
      </w:r>
      <w:r>
        <w:rPr>
          <w:rFonts w:ascii="Times New Roman" w:cs="Times New Roman" w:eastAsia="Times New Roman" w:hAnsi="Times New Roman"/>
          <w:sz w:val="18"/>
          <w:szCs w:val="18"/>
          <w:b w:val="1"/>
          <w:bCs w:val="1"/>
          <w:color w:val="auto"/>
        </w:rPr>
        <w:t>Covenant Measuring Date</w:t>
      </w:r>
      <w:r>
        <w:rPr>
          <w:rFonts w:ascii="Times New Roman" w:cs="Times New Roman" w:eastAsia="Times New Roman" w:hAnsi="Times New Roman"/>
          <w:sz w:val="18"/>
          <w:szCs w:val="18"/>
          <w:color w:val="auto"/>
        </w:rPr>
        <w:t>”) shall equal or exceed $200,000 (provided, that if the Company’s Available Cash is less than $200,000 at such time of determination, the Company shall have seven (7) consecutive calendar days during which the Company may cure such Available Cash) (the “</w:t>
      </w:r>
      <w:r>
        <w:rPr>
          <w:rFonts w:ascii="Times New Roman" w:cs="Times New Roman" w:eastAsia="Times New Roman" w:hAnsi="Times New Roman"/>
          <w:sz w:val="18"/>
          <w:szCs w:val="18"/>
          <w:b w:val="1"/>
          <w:bCs w:val="1"/>
          <w:color w:val="auto"/>
        </w:rPr>
        <w:t>Minimum Liquidity Test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40" w:firstLine="1292"/>
        <w:spacing w:after="0" w:line="261" w:lineRule="auto"/>
        <w:tabs>
          <w:tab w:leader="none" w:pos="2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Results Announcement</w:t>
      </w:r>
      <w:r>
        <w:rPr>
          <w:rFonts w:ascii="Times New Roman" w:cs="Times New Roman" w:eastAsia="Times New Roman" w:hAnsi="Times New Roman"/>
          <w:sz w:val="18"/>
          <w:szCs w:val="18"/>
          <w:color w:val="auto"/>
        </w:rPr>
        <w:t>. Commencing on the initial Covenant Measuring Date, the Company shall publicly disclose and disseminate (such date, the “</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if the Minimum Liquidity Test has not been satisfied for such Fiscal Quarter or</w:t>
      </w:r>
    </w:p>
    <w:p>
      <w:pPr>
        <w:jc w:val="both"/>
        <w:ind w:left="640"/>
        <w:spacing w:after="0" w:line="241" w:lineRule="auto"/>
        <w:rPr>
          <w:sz w:val="20"/>
          <w:szCs w:val="20"/>
          <w:color w:val="auto"/>
        </w:rPr>
      </w:pPr>
      <w:r>
        <w:rPr>
          <w:rFonts w:ascii="Times New Roman" w:cs="Times New Roman" w:eastAsia="Times New Roman" w:hAnsi="Times New Roman"/>
          <w:sz w:val="18"/>
          <w:szCs w:val="18"/>
          <w:color w:val="auto"/>
        </w:rPr>
        <w:t>Fiscal Year, as applicable, a statement to that effect no later than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end of such Fiscal Quarter or Fiscal Year, as applicable, and such announcement shall include a statement to the effect that the Company is (or is not, as applicable) in breach of the Minimum Liquidity Test for such Fiscal Quarter or Fiscal Year, as applicable. On the Announcement Date, the Company shall also provide to the Holder a certification, executed on behalf of the Company by the Chief Financial Officer of the Company, certifying that the Company satisfied the Minimum Liquidity Test for such Fiscal Quarter or Fiscal Year, as applicable, if that is the case. If the Company has failed to meet the Minimum Liquidity Test for a Fiscal Quarter or Fiscal Year, as applicable, (each a “</w:t>
      </w:r>
      <w:r>
        <w:rPr>
          <w:rFonts w:ascii="Times New Roman" w:cs="Times New Roman" w:eastAsia="Times New Roman" w:hAnsi="Times New Roman"/>
          <w:sz w:val="18"/>
          <w:szCs w:val="18"/>
          <w:b w:val="1"/>
          <w:bCs w:val="1"/>
          <w:color w:val="auto"/>
        </w:rPr>
        <w:t>Financial Covenant Failure</w:t>
      </w:r>
      <w:r>
        <w:rPr>
          <w:rFonts w:ascii="Times New Roman" w:cs="Times New Roman" w:eastAsia="Times New Roman" w:hAnsi="Times New Roman"/>
          <w:sz w:val="18"/>
          <w:szCs w:val="18"/>
          <w:color w:val="auto"/>
        </w:rPr>
        <w:t>”), on or prior to the Announcement Date, the Company shall provide to the Holders a written certification, executed on behalf of the Company by the Chief Financial Officer of the Company, certifying that the Minimum Liquidity Test has not been met for such Fiscal Quarter or Fiscal Year, as applicable (a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Covenant Failure Notice</w:t>
      </w:r>
      <w:r>
        <w:rPr>
          <w:rFonts w:ascii="Times New Roman" w:cs="Times New Roman" w:eastAsia="Times New Roman" w:hAnsi="Times New Roman"/>
          <w:sz w:val="18"/>
          <w:szCs w:val="18"/>
          <w:color w:val="auto"/>
        </w:rPr>
        <w:t>”). Concurrently with the delivery of each Financial Covenant Failure Notice to the Holders, the Company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publicly available (as part of a Quarterly Report on Form 10-Q, Annual Report on Form 10-K or on a Current Report on Form 8-K, or otherwise) the Financial Covenant Failure Notice and the fact that an Event of Default has occurred under the Notes.</w:t>
      </w:r>
    </w:p>
    <w:p>
      <w:pPr>
        <w:spacing w:after="0" w:line="201" w:lineRule="exact"/>
        <w:rPr>
          <w:sz w:val="20"/>
          <w:szCs w:val="20"/>
          <w:color w:val="auto"/>
        </w:rPr>
      </w:pPr>
    </w:p>
    <w:p>
      <w:pPr>
        <w:ind w:left="-20" w:firstLine="656"/>
        <w:spacing w:after="0" w:line="282" w:lineRule="auto"/>
        <w:tabs>
          <w:tab w:leader="none" w:pos="12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and the Other Notes are secured to the extent and in the manner set forth in the Transaction Documents (including, without limitation, the Security Agreement, the other Security Documents and the Guaranties).</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27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7" w:name="page28"/>
    <w:bookmarkEnd w:id="27"/>
    <w:p>
      <w:pPr>
        <w:ind w:left="-20" w:firstLine="656"/>
        <w:spacing w:after="0" w:line="282" w:lineRule="auto"/>
        <w:tabs>
          <w:tab w:leader="none" w:pos="1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and this Section 18, which may not be amended, modified or waived by the parties hereto, the prior written consent of the Holder shall be required for any change, waiver or amendment to this Note.</w:t>
      </w:r>
    </w:p>
    <w:p>
      <w:pPr>
        <w:spacing w:after="0" w:line="161" w:lineRule="exact"/>
        <w:rPr>
          <w:rFonts w:ascii="Times New Roman" w:cs="Times New Roman" w:eastAsia="Times New Roman" w:hAnsi="Times New Roman"/>
          <w:sz w:val="18"/>
          <w:szCs w:val="18"/>
          <w:color w:val="auto"/>
        </w:rPr>
      </w:pPr>
    </w:p>
    <w:p>
      <w:pPr>
        <w:ind w:left="-20" w:firstLine="656"/>
        <w:spacing w:after="0" w:line="282" w:lineRule="auto"/>
        <w:tabs>
          <w:tab w:leader="none" w:pos="1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44"/>
        <w:spacing w:after="0" w:line="256" w:lineRule="auto"/>
        <w:tabs>
          <w:tab w:leader="none" w:pos="19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rFonts w:ascii="Times New Roman" w:cs="Times New Roman" w:eastAsia="Times New Roman" w:hAnsi="Times New Roman"/>
          <w:sz w:val="18"/>
          <w:szCs w:val="18"/>
          <w:color w:val="auto"/>
        </w:rPr>
      </w:pPr>
    </w:p>
    <w:p>
      <w:pPr>
        <w:jc w:val="both"/>
        <w:ind w:left="640" w:firstLine="644"/>
        <w:spacing w:after="0" w:line="258" w:lineRule="auto"/>
        <w:tabs>
          <w:tab w:leader="none" w:pos="19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spacing w:after="0" w:line="183" w:lineRule="exact"/>
        <w:rPr>
          <w:rFonts w:ascii="Times New Roman" w:cs="Times New Roman" w:eastAsia="Times New Roman" w:hAnsi="Times New Roman"/>
          <w:sz w:val="18"/>
          <w:szCs w:val="18"/>
          <w:color w:val="auto"/>
        </w:rPr>
      </w:pPr>
    </w:p>
    <w:p>
      <w:pPr>
        <w:jc w:val="both"/>
        <w:ind w:left="640" w:firstLine="644"/>
        <w:spacing w:after="0" w:line="261" w:lineRule="auto"/>
        <w:tabs>
          <w:tab w:leader="none" w:pos="19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left="640" w:firstLine="644"/>
        <w:spacing w:after="0" w:line="255" w:lineRule="auto"/>
        <w:tabs>
          <w:tab w:leader="none" w:pos="19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27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8" w:name="page29"/>
    <w:bookmarkEnd w:id="28"/>
    <w:p>
      <w:pPr>
        <w:jc w:val="both"/>
        <w:ind w:left="-20" w:firstLine="656"/>
        <w:spacing w:after="0" w:line="255" w:lineRule="auto"/>
        <w:tabs>
          <w:tab w:leader="none" w:pos="12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2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Initial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2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spacing w:after="0" w:line="179"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280" w:firstLine="652"/>
        <w:spacing w:after="0" w:line="253" w:lineRule="auto"/>
        <w:tabs>
          <w:tab w:leader="none" w:pos="257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a Closing Bid Price, a Closing Sale Price, a Conversion Price, an Alternate Conversion Price,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 Scholes Consideration Value, such VWAP or such fair market value, or the arithmetic calculation of such</w:t>
      </w:r>
    </w:p>
    <w:p>
      <w:pPr>
        <w:spacing w:after="0" w:line="1" w:lineRule="exact"/>
        <w:rPr>
          <w:sz w:val="20"/>
          <w:szCs w:val="20"/>
          <w:color w:val="auto"/>
        </w:rPr>
      </w:pPr>
    </w:p>
    <w:p>
      <w:pPr>
        <w:jc w:val="both"/>
        <w:ind w:left="1280"/>
        <w:spacing w:after="0" w:line="227" w:lineRule="auto"/>
        <w:rPr>
          <w:sz w:val="20"/>
          <w:szCs w:val="20"/>
          <w:color w:val="auto"/>
        </w:rPr>
      </w:pPr>
      <w:r>
        <w:rPr>
          <w:rFonts w:ascii="Times New Roman" w:cs="Times New Roman" w:eastAsia="Times New Roman" w:hAnsi="Times New Roman"/>
          <w:sz w:val="18"/>
          <w:szCs w:val="18"/>
          <w:color w:val="auto"/>
        </w:rPr>
        <w:t>Conversion Rate or such applicable Redemption Price (as the case may be), at any time after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 subject to the consent of the Company not to be unreasonably or untimely withheld.</w:t>
      </w:r>
    </w:p>
    <w:p>
      <w:pPr>
        <w:spacing w:after="0" w:line="199" w:lineRule="exact"/>
        <w:rPr>
          <w:sz w:val="20"/>
          <w:szCs w:val="20"/>
          <w:color w:val="auto"/>
        </w:rPr>
      </w:pPr>
    </w:p>
    <w:p>
      <w:pPr>
        <w:jc w:val="both"/>
        <w:ind w:left="1280" w:firstLine="652"/>
        <w:spacing w:after="0" w:line="261" w:lineRule="auto"/>
        <w:tabs>
          <w:tab w:leader="none" w:pos="25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(A) a copy of the initial dispute submission so delivered in accordance with the first sentence of this Section 25 and (B) written documentation supporting its position with respect to</w:t>
      </w:r>
    </w:p>
    <w:p>
      <w:pPr>
        <w:jc w:val="both"/>
        <w:ind w:left="1280"/>
        <w:spacing w:after="0" w:line="241" w:lineRule="auto"/>
        <w:rPr>
          <w:sz w:val="20"/>
          <w:szCs w:val="20"/>
          <w:color w:val="auto"/>
        </w:rPr>
      </w:pPr>
      <w:r>
        <w:rPr>
          <w:rFonts w:ascii="Times New Roman" w:cs="Times New Roman" w:eastAsia="Times New Roman" w:hAnsi="Times New Roman"/>
          <w:sz w:val="18"/>
          <w:szCs w:val="18"/>
          <w:color w:val="auto"/>
        </w:rPr>
        <w:t>such dispute, in each case, no later than 5:00 p.m. (New York time) by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immediately following the date on which the Holder selected such investment bank (the “</w:t>
      </w:r>
      <w:r>
        <w:rPr>
          <w:rFonts w:ascii="Times New Roman" w:cs="Times New Roman" w:eastAsia="Times New Roman" w:hAnsi="Times New Roman"/>
          <w:sz w:val="18"/>
          <w:szCs w:val="18"/>
          <w:b w:val="1"/>
          <w:bCs w:val="1"/>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9" w:name="page30"/>
    <w:bookmarkEnd w:id="29"/>
    <w:p>
      <w:pPr>
        <w:jc w:val="both"/>
        <w:ind w:left="644" w:firstLine="652"/>
        <w:spacing w:after="0" w:line="261" w:lineRule="auto"/>
        <w:tabs>
          <w:tab w:leader="none" w:pos="19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25 constitutes an agreement to arbitrate between the Company and the Holder (and constitutes an arbitration agreement) under the Delaware Uniform Arbitration Act, as amended, in order to compel compliance with this Section 25,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 (C) 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Wilmington, Delaware in lieu of utilizing the procedures set forth in this Section 25 and (v) nothing in this Section 25 shall limit the Holder from obtaining any injunctive relief or other equitable remedies (including, without limitation, with respect to any matters described in this Section 25).</w:t>
      </w:r>
    </w:p>
    <w:p>
      <w:pPr>
        <w:spacing w:after="0" w:line="19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84"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wire transfer or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0" w:name="page31"/>
    <w:bookmarkEnd w:id="30"/>
    <w:p>
      <w:pPr>
        <w:ind w:firstLine="656"/>
        <w:spacing w:after="0" w:line="282"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of law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 w:cs="Times New Roman" w:eastAsia="Times New Roman" w:hAnsi="Times New Roman"/>
          <w:sz w:val="18"/>
          <w:szCs w:val="18"/>
          <w:b w:val="1"/>
          <w:bCs w:val="1"/>
          <w:color w:val="auto"/>
        </w:rPr>
        <w:t>THE COMPANY HEREBY</w:t>
      </w:r>
    </w:p>
    <w:p>
      <w:pPr>
        <w:spacing w:after="0" w:line="2"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IRREVOCABLY WAIVES ANY RIGHT IT MAY HAVE TO, AND AGREES NOT TO REQUEST, A JURY TRIAL FOR THE ADJUDICATION OF ANY DISPUTE HEREUNDER OR IN CONNECTION WITH OR ARISING OUT OF THIS NOTE OR ANY TRANSACTION CONTEMPLATED HEREBY.</w:t>
      </w:r>
    </w:p>
    <w:p>
      <w:pPr>
        <w:spacing w:after="0" w:line="1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175" w:lineRule="exact"/>
        <w:rPr>
          <w:rFonts w:ascii="Times New Roman" w:cs="Times New Roman" w:eastAsia="Times New Roman" w:hAnsi="Times New Roman"/>
          <w:sz w:val="18"/>
          <w:szCs w:val="18"/>
          <w:color w:val="auto"/>
        </w:rPr>
      </w:pPr>
    </w:p>
    <w:p>
      <w:pPr>
        <w:ind w:left="980" w:firstLine="972"/>
        <w:spacing w:after="0" w:line="282" w:lineRule="auto"/>
        <w:tabs>
          <w:tab w:leader="none" w:pos="260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Delaware or in the courts of any other jurisdiction that will give effect to such conversion being made on such date: or</w:t>
      </w:r>
    </w:p>
    <w:p>
      <w:pPr>
        <w:spacing w:after="0" w:line="161" w:lineRule="exact"/>
        <w:rPr>
          <w:rFonts w:ascii="Times New Roman" w:cs="Times New Roman" w:eastAsia="Times New Roman" w:hAnsi="Times New Roman"/>
          <w:sz w:val="18"/>
          <w:szCs w:val="18"/>
          <w:color w:val="auto"/>
        </w:rPr>
      </w:pPr>
    </w:p>
    <w:p>
      <w:pPr>
        <w:jc w:val="both"/>
        <w:ind w:left="980" w:firstLine="972"/>
        <w:spacing w:after="0" w:line="266" w:lineRule="auto"/>
        <w:tabs>
          <w:tab w:leader="none" w:pos="260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 w:cs="Times New Roman" w:eastAsia="Times New Roman" w:hAnsi="Times New Roman"/>
          <w:sz w:val="18"/>
          <w:szCs w:val="18"/>
          <w:b w:val="1"/>
          <w:bCs w:val="1"/>
          <w:color w:val="auto"/>
        </w:rPr>
        <w:t>Judgment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9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left="-20" w:firstLine="656"/>
        <w:spacing w:after="0" w:line="261" w:lineRule="auto"/>
        <w:tabs>
          <w:tab w:leader="none" w:pos="12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940" w:hanging="656"/>
        <w:spacing w:after="0"/>
        <w:tabs>
          <w:tab w:leader="none" w:pos="19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640" w:firstLine="644"/>
        <w:spacing w:after="0" w:line="286"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means this Note, the Other Notes, and any prospective future issuance of senior secured convertible notes designated by the Buyer and the Company, jointly in writing, as an “Additional Note”.</w:t>
      </w:r>
    </w:p>
    <w:p>
      <w:pPr>
        <w:spacing w:after="0" w:line="154" w:lineRule="exact"/>
        <w:rPr>
          <w:rFonts w:ascii="Times New Roman" w:cs="Times New Roman" w:eastAsia="Times New Roman" w:hAnsi="Times New Roman"/>
          <w:sz w:val="18"/>
          <w:szCs w:val="18"/>
          <w:color w:val="auto"/>
        </w:rPr>
      </w:pPr>
    </w:p>
    <w:p>
      <w:pPr>
        <w:jc w:val="both"/>
        <w:ind w:left="640" w:firstLine="644"/>
        <w:spacing w:after="0" w:line="256"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Floor Price</w:t>
      </w:r>
      <w:r>
        <w:rPr>
          <w:rFonts w:ascii="Times New Roman" w:cs="Times New Roman" w:eastAsia="Times New Roman" w:hAnsi="Times New Roman"/>
          <w:sz w:val="18"/>
          <w:szCs w:val="18"/>
          <w:color w:val="auto"/>
        </w:rPr>
        <w:t>” means as determined on each six month anniversary of the Issuance Date (each, a “</w:t>
      </w:r>
      <w:r>
        <w:rPr>
          <w:rFonts w:ascii="Times New Roman" w:cs="Times New Roman" w:eastAsia="Times New Roman" w:hAnsi="Times New Roman"/>
          <w:sz w:val="18"/>
          <w:szCs w:val="18"/>
          <w:b w:val="1"/>
          <w:bCs w:val="1"/>
          <w:color w:val="auto"/>
        </w:rPr>
        <w:t>Floor Adjustment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hereunder, the lower of (i) the Floor Price then in effect and (ii) 20% of the lower of (x) the closing price of the Common Stock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Market (as reported by the Principal Market) as of the Trading Day ended immediately prior to such applicable Floor Adjustment Date and (y) the quotient of (I) the sum of each the closing price of the Common Stock of the Principal Market (as reported by the Principal Market) on each Trading Day of the five (5) Trading Day period ended on, and including, the Trading Day ended immediately prior to such applicable Floor Adjustment Date, divided by (II) five (5). All such determinations to be appropriately adjusted for any share split, share dividend, share combination or other similar transaction during any such measuring period.</w:t>
      </w:r>
    </w:p>
    <w:p>
      <w:pPr>
        <w:spacing w:after="0" w:line="182" w:lineRule="exact"/>
        <w:rPr>
          <w:rFonts w:ascii="Times New Roman" w:cs="Times New Roman" w:eastAsia="Times New Roman" w:hAnsi="Times New Roman"/>
          <w:sz w:val="18"/>
          <w:szCs w:val="18"/>
          <w:color w:val="auto"/>
        </w:rPr>
      </w:pPr>
    </w:p>
    <w:p>
      <w:pPr>
        <w:jc w:val="both"/>
        <w:ind w:left="640" w:firstLine="644"/>
        <w:spacing w:after="0" w:line="262"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176" w:lineRule="exact"/>
        <w:rPr>
          <w:rFonts w:ascii="Times New Roman" w:cs="Times New Roman" w:eastAsia="Times New Roman" w:hAnsi="Times New Roman"/>
          <w:sz w:val="18"/>
          <w:szCs w:val="18"/>
          <w:color w:val="auto"/>
        </w:rPr>
      </w:pPr>
    </w:p>
    <w:p>
      <w:pPr>
        <w:jc w:val="both"/>
        <w:ind w:left="640" w:firstLine="644"/>
        <w:spacing w:after="0" w:line="262"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6"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w:t>
      </w:r>
    </w:p>
    <w:p>
      <w:pPr>
        <w:spacing w:after="0" w:line="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applicable Alternate Conversion Price without giving effect to clause (x) of such definition.</w:t>
      </w:r>
    </w:p>
    <w:p>
      <w:pPr>
        <w:spacing w:after="0" w:line="202" w:lineRule="exact"/>
        <w:rPr>
          <w:rFonts w:ascii="Times New Roman" w:cs="Times New Roman" w:eastAsia="Times New Roman" w:hAnsi="Times New Roman"/>
          <w:sz w:val="18"/>
          <w:szCs w:val="18"/>
          <w:color w:val="auto"/>
        </w:rPr>
      </w:pPr>
    </w:p>
    <w:p>
      <w:pPr>
        <w:jc w:val="both"/>
        <w:ind w:left="640" w:firstLine="644"/>
        <w:spacing w:after="0" w:line="268"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Price</w:t>
      </w:r>
      <w:r>
        <w:rPr>
          <w:rFonts w:ascii="Times New Roman" w:cs="Times New Roman" w:eastAsia="Times New Roman" w:hAnsi="Times New Roman"/>
          <w:sz w:val="18"/>
          <w:szCs w:val="18"/>
          <w:color w:val="auto"/>
        </w:rPr>
        <w:t>” means, with respect to any given Alternate Conversion (x) if no Event of Default has occurred as of the applicable Conversion Date, the applicable Alternate Optional Conversion Price or (y) if an Event of Default has occurred as of the applicable Conversion Date, the applicable Alternate Event of Default Conversion Price.</w:t>
      </w:r>
    </w:p>
    <w:p>
      <w:pPr>
        <w:spacing w:after="0" w:line="170" w:lineRule="exact"/>
        <w:rPr>
          <w:rFonts w:ascii="Times New Roman" w:cs="Times New Roman" w:eastAsia="Times New Roman" w:hAnsi="Times New Roman"/>
          <w:sz w:val="18"/>
          <w:szCs w:val="18"/>
          <w:color w:val="auto"/>
        </w:rPr>
      </w:pPr>
    </w:p>
    <w:p>
      <w:pPr>
        <w:jc w:val="both"/>
        <w:ind w:left="640" w:firstLine="644"/>
        <w:spacing w:after="0" w:line="256" w:lineRule="auto"/>
        <w:tabs>
          <w:tab w:leader="none" w:pos="19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Event of Default Conversion Price</w:t>
      </w:r>
      <w:r>
        <w:rPr>
          <w:rFonts w:ascii="Times New Roman" w:cs="Times New Roman" w:eastAsia="Times New Roman" w:hAnsi="Times New Roman"/>
          <w:sz w:val="18"/>
          <w:szCs w:val="18"/>
          <w:color w:val="auto"/>
        </w:rPr>
        <w:t>” means, with respect to any given Alternate Event of Default Conversion that price which shall be the lower of (i) the applicable Conversion Price as in effect on the applicable Conversion Date of the applicable Alternate Conversion, and (ii) the greater of (x) the Floor Price and (y) 90% of the lowest VWAP of the Common Stock of any Trading Day during the ten (10) consecutive Trading Day period ending and including the Trading Day immediately preceding the delivery or deemed delivery of the applicable Conversion Notice (such period, the “</w:t>
      </w:r>
      <w:r>
        <w:rPr>
          <w:rFonts w:ascii="Times New Roman" w:cs="Times New Roman" w:eastAsia="Times New Roman" w:hAnsi="Times New Roman"/>
          <w:sz w:val="18"/>
          <w:szCs w:val="18"/>
          <w:b w:val="1"/>
          <w:bCs w:val="1"/>
          <w:color w:val="auto"/>
        </w:rPr>
        <w:t>Alternate Event of Default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Event of Default Conversion Measuring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32" w:name="page33"/>
    <w:bookmarkEnd w:id="32"/>
    <w:p>
      <w:pPr>
        <w:jc w:val="both"/>
        <w:ind w:left="-460" w:firstLine="644"/>
        <w:spacing w:after="0" w:line="256"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Optional Conversion Price</w:t>
      </w:r>
      <w:r>
        <w:rPr>
          <w:rFonts w:ascii="Times New Roman" w:cs="Times New Roman" w:eastAsia="Times New Roman" w:hAnsi="Times New Roman"/>
          <w:sz w:val="18"/>
          <w:szCs w:val="18"/>
          <w:color w:val="auto"/>
        </w:rPr>
        <w:t>” means, with respect to any given Alternate Optional Conversion that price which shall be the lower of (i) the applicable Conversion Price as in effect on the applicable Conversion Date of the applicable Alternate Conversion, and (ii) the greater of (x) the Floor Price and (y) 95% of the lowest VWAP of the Common Stock of any Trading Day during the seven (7) consecutive Trading Day period ending and including the Trading Day immediately preceding the delivery or deemed delivery of the applicable Conversion Notice (such period, the “</w:t>
      </w:r>
      <w:r>
        <w:rPr>
          <w:rFonts w:ascii="Times New Roman" w:cs="Times New Roman" w:eastAsia="Times New Roman" w:hAnsi="Times New Roman"/>
          <w:sz w:val="18"/>
          <w:szCs w:val="18"/>
          <w:b w:val="1"/>
          <w:bCs w:val="1"/>
          <w:color w:val="auto"/>
        </w:rPr>
        <w:t>Alternate Optional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Optional Conversion Measuring Period.</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Subscription Date pursuant to which shares of Common Stock, standard options to purchase Common Stock, or such other approved equity grants, may be issued to any employee, officer, director, contractor, consultant or advisor for services provided to the Company in their capacity as such.</w:t>
      </w:r>
    </w:p>
    <w:p>
      <w:pPr>
        <w:spacing w:after="0" w:line="176"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with respect to any date of determination, an amount equal to the aggregate amount of the Cash of the Company and its Subsidiaries (excluding for this purpose cash held in restricted accounts or otherwise unavailable for unrestricted use by the Company or any of its Subsidiaries for any reason) as of such date of determination held in bank accounts of financial banking institutions in the United States of America.</w:t>
      </w:r>
    </w:p>
    <w:p>
      <w:pPr>
        <w:spacing w:after="0" w:line="176"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88"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2"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of the Company and its Subsidiaries on any date shall be determined from such Persons’ books maintained in accordance with GAAP, and means, without duplication, cash, cash equivalents (excluding any cryptocurrencies or any other digital currencies) and treasury bonds issued by the United States of America, accrued by the Company and its wholly owned Subsidiaries on a consolidated basis on such date, and the aggregate amount of any accounts receivable (to the extent less than 30 days from invoice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33" w:name="page34"/>
    <w:bookmarkEnd w:id="33"/>
    <w:p>
      <w:pPr>
        <w:jc w:val="both"/>
        <w:ind w:left="4" w:firstLine="644"/>
        <w:spacing w:after="0" w:line="254"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 Notwithstanding the foregoing, any Ecommerce Sale shall not be deemed a “Change of Control”.</w:t>
      </w:r>
    </w:p>
    <w:p>
      <w:pPr>
        <w:spacing w:after="0" w:line="188"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110%.</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spacing w:after="0" w:line="183"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$0.001 par value per share, and (ii) any capital stock into which such common stock shall have been changed or any share capital resulting from a reclassification of such common stock.</w:t>
      </w:r>
    </w:p>
    <w:p>
      <w:pPr>
        <w:spacing w:after="0" w:line="15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Floor Price Condition</w:t>
      </w:r>
      <w:r>
        <w:rPr>
          <w:rFonts w:ascii="Times New Roman" w:cs="Times New Roman" w:eastAsia="Times New Roman" w:hAnsi="Times New Roman"/>
          <w:sz w:val="18"/>
          <w:szCs w:val="18"/>
          <w:color w:val="auto"/>
        </w:rPr>
        <w:t>” means that the relevant Alternate Conversion Price is being determined based on clause</w:t>
      </w:r>
    </w:p>
    <w:p>
      <w:pPr>
        <w:spacing w:after="0" w:line="3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definition.</w:t>
      </w:r>
    </w:p>
    <w:p>
      <w:pPr>
        <w:spacing w:after="0" w:line="202"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0"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Subsidiary</w:t>
      </w:r>
      <w:r>
        <w:rPr>
          <w:rFonts w:ascii="Times New Roman" w:cs="Times New Roman" w:eastAsia="Times New Roman" w:hAnsi="Times New Roman"/>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means, with respect to any determination of the aggregate amount of outstanding accrued and unpaid Interest hereunder, the sum of (x) the applicable Interest Rate in effect for such determination and (y) seven percent (7%) per annum.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4" w:name="page35"/>
    <w:bookmarkEnd w:id="34"/>
    <w:p>
      <w:pPr>
        <w:ind w:left="4" w:firstLine="644"/>
        <w:spacing w:after="0" w:line="28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Capital Market, the Nasdaq Global Select Market or the Nasdaq Global Market.</w:t>
      </w:r>
    </w:p>
    <w:p>
      <w:pPr>
        <w:spacing w:after="0" w:line="155" w:lineRule="exact"/>
        <w:rPr>
          <w:sz w:val="20"/>
          <w:szCs w:val="20"/>
          <w:color w:val="auto"/>
        </w:rPr>
      </w:pPr>
    </w:p>
    <w:p>
      <w:pPr>
        <w:ind w:left="1304" w:hanging="656"/>
        <w:spacing w:after="0"/>
        <w:tabs>
          <w:tab w:leader="none" w:pos="13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an given date of determination: (i) on each day during the period beginning twenty</w:t>
      </w:r>
    </w:p>
    <w:p>
      <w:pPr>
        <w:spacing w:after="0" w:line="31"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such applicable date of determination and ending on and including such applicable date of determination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 w:cs="Times New Roman" w:eastAsia="Times New Roman" w:hAnsi="Times New Roman"/>
          <w:sz w:val="18"/>
          <w:szCs w:val="18"/>
          <w:b w:val="1"/>
          <w:bCs w:val="1"/>
          <w:color w:val="auto"/>
        </w:rPr>
        <w:t>Required 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Amount</w:t>
      </w:r>
      <w:r>
        <w:rPr>
          <w:rFonts w:ascii="Times New Roman" w:cs="Times New Roman" w:eastAsia="Times New Roman" w:hAnsi="Times New Roman"/>
          <w:sz w:val="18"/>
          <w:szCs w:val="18"/>
          <w:color w:val="auto"/>
        </w:rPr>
        <w:t>”), in each case, in accordance with the terms of the Registration Rights Agreement and there shall not have been during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any Grace Periods (as defined in the Registration Rights Agreement) or (y) all Underlying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twenty</w:t>
      </w:r>
    </w:p>
    <w:p>
      <w:pPr>
        <w:spacing w:after="0" w:line="4"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Conditions Measuring Period</w:t>
      </w:r>
      <w:r>
        <w:rPr>
          <w:rFonts w:ascii="Times New Roman" w:cs="Times New Roman" w:eastAsia="Times New Roman" w:hAnsi="Times New Roman"/>
          <w:sz w:val="18"/>
          <w:szCs w:val="18"/>
          <w:color w:val="auto"/>
        </w:rPr>
        <w:t>”), the Common Stock (including all Underlying Securities) is listed or designated for quotation (as applicable)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 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Underlying Securities in accordance with the terms of the Registration Rights Agreement or (2) any Underlying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there shall not have occurred any Volume Failure or Price Failure as of such applicable date of determination; (xi) on the applicable date of determination (A) no Authorized Share Failure shall exist or be continuing and the applicable Required Minimum Securities Amount of shares of Common Stock are available under the Articles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5" w:name="page36"/>
    <w:bookmarkEnd w:id="35"/>
    <w:p>
      <w:pPr>
        <w:ind w:left="4" w:firstLine="644"/>
        <w:spacing w:after="0" w:line="286"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on any day during the period commencing twenty (20) Trading Days prior to such applicable date of determination, the Equity Conditions have not been satisfied (or waived in writing by the Holder).</w:t>
      </w:r>
    </w:p>
    <w:p>
      <w:pPr>
        <w:spacing w:after="0" w:line="154"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Redemption Premium</w:t>
      </w:r>
      <w:r>
        <w:rPr>
          <w:rFonts w:ascii="Times New Roman" w:cs="Times New Roman" w:eastAsia="Times New Roman" w:hAnsi="Times New Roman"/>
          <w:sz w:val="18"/>
          <w:szCs w:val="18"/>
          <w:color w:val="auto"/>
        </w:rPr>
        <w:t>” means 115%.</w:t>
      </w:r>
    </w:p>
    <w:p>
      <w:pPr>
        <w:spacing w:after="0" w:line="225" w:lineRule="exact"/>
        <w:rPr>
          <w:rFonts w:ascii="Times New Roman" w:cs="Times New Roman" w:eastAsia="Times New Roman" w:hAnsi="Times New Roman"/>
          <w:sz w:val="18"/>
          <w:szCs w:val="18"/>
          <w:color w:val="auto"/>
        </w:rPr>
      </w:pPr>
    </w:p>
    <w:p>
      <w:pPr>
        <w:ind w:left="1204" w:hanging="556"/>
        <w:spacing w:after="0"/>
        <w:tabs>
          <w:tab w:leader="none" w:pos="12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110% of the quotient determined by dividing</w:t>
      </w:r>
    </w:p>
    <w:p>
      <w:pPr>
        <w:spacing w:after="0" w:line="3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VWAP of the Common Stock for each of the five (5) Trading Days with the lowest VWAP of the Common Stock during the ten</w:t>
      </w:r>
    </w:p>
    <w:p>
      <w:pPr>
        <w:spacing w:after="0" w:line="21" w:lineRule="exact"/>
        <w:rPr>
          <w:sz w:val="20"/>
          <w:szCs w:val="20"/>
          <w:color w:val="auto"/>
        </w:rPr>
      </w:pPr>
    </w:p>
    <w:p>
      <w:pPr>
        <w:ind w:left="4" w:hanging="4"/>
        <w:spacing w:after="0" w:line="209" w:lineRule="auto"/>
        <w:tabs>
          <w:tab w:leader="none" w:pos="3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and including the Trading Day immediately preceding eleventh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such Stock Combination Event Date, divided by (y) five (5).</w:t>
      </w:r>
    </w:p>
    <w:p>
      <w:pPr>
        <w:spacing w:after="0" w:line="19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standard options to purchase Common Stock, or such other equity awards available for issuance to directors, officers, employees, contractors, consultants or advisors of the Company for services rendered to the Company in their capacity as such pursuant to an Approved Stock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or the exercise price of any such Options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shares of Common Stock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shares of Common Stock are issued as “restricted securities” (as defined in Rule 144) and carry no registration rights that require or permit the filing of any registration statement in connection therewith during the Restricted Period (as defined in the Securities Purchase Agreement),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stockholders,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(v) up to 125,000 shares of Common Stock (as adjusted for stock splits, stock dividends, stock combinations, recapitalizations and similar events) issuable to holders of existing Indebtedness of the Company as of the Subscription Date in exchange for the cancellation of such Indebtedness and not otherwise for capital raising purposes and (vi) shares of Common Stock issued pursuant issued pursuant to a Permitted ATM (as defined in the Securities Purchase Agreement).</w:t>
      </w:r>
    </w:p>
    <w:p>
      <w:pPr>
        <w:spacing w:after="0" w:line="200" w:lineRule="exact"/>
        <w:rPr>
          <w:rFonts w:ascii="Times New Roman" w:cs="Times New Roman" w:eastAsia="Times New Roman" w:hAnsi="Times New Roman"/>
          <w:sz w:val="18"/>
          <w:szCs w:val="18"/>
          <w:color w:val="auto"/>
        </w:rPr>
      </w:pPr>
    </w:p>
    <w:p>
      <w:pPr>
        <w:ind w:left="4" w:firstLine="644"/>
        <w:spacing w:after="0" w:line="28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of the fiscal quarters adopted by the Company for financial reporting purposes that correspond to the Company’s fiscal year as of the date hereof that ends on June 30.</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6" w:name="page37"/>
    <w:bookmarkEnd w:id="36"/>
    <w:p>
      <w:pPr>
        <w:ind w:left="1304" w:hanging="656"/>
        <w:spacing w:after="0"/>
        <w:tabs>
          <w:tab w:leader="none" w:pos="1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adopted by the Company for financial reporting purposes as of the date hereof that ends 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30.</w:t>
      </w:r>
    </w:p>
    <w:p>
      <w:pPr>
        <w:spacing w:after="0" w:line="203" w:lineRule="exact"/>
        <w:rPr>
          <w:sz w:val="20"/>
          <w:szCs w:val="20"/>
          <w:color w:val="auto"/>
        </w:rPr>
      </w:pPr>
    </w:p>
    <w:p>
      <w:pPr>
        <w:jc w:val="both"/>
        <w:ind w:left="4" w:firstLine="644"/>
        <w:spacing w:after="0" w:line="268"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$0.17 (as adjusted for share splits, share dividends, share combinations, recapitalizations and similar events) provided that if on any Floor Adjustment Date, the Floor Price then in effect is higher than the Adjusted Floor Price with respect to such Floor Adjustment Date, on such Floor Adjustment Date the Floor Price shall be automatically lowered to such applicable Adjusted Floor Price.</w:t>
      </w:r>
    </w:p>
    <w:p>
      <w:pPr>
        <w:spacing w:after="0" w:line="170"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14"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2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9"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a fraction (i) the numerator of which is the original Principal amount of this Note on the Initial Closing Date and (ii) the denominator of which is the aggregate original principal amount of all Notes issued to the initial purchasers pursuant to the Securities Purchase Agreement on the Initial Closing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7" w:name="page38"/>
    <w:bookmarkEnd w:id="37"/>
    <w:p>
      <w:pPr>
        <w:ind w:left="1304" w:hanging="656"/>
        <w:spacing w:after="0"/>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ten percent (10%) per annum, subject to adjustment from time to time in accordance with Section 2.</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70"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May 19, 2028; provided, however, the Maturity Date may be extended at the option of the Holder</w:t>
      </w:r>
    </w:p>
    <w:p>
      <w:pPr>
        <w:spacing w:after="0" w:line="3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4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185"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New Subsidiaries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2" w:lineRule="exact"/>
        <w:rPr>
          <w:rFonts w:ascii="Times New Roman" w:cs="Times New Roman" w:eastAsia="Times New Roman" w:hAnsi="Times New Roman"/>
          <w:sz w:val="18"/>
          <w:szCs w:val="18"/>
          <w:color w:val="auto"/>
        </w:rPr>
      </w:pPr>
    </w:p>
    <w:p>
      <w:pPr>
        <w:jc w:val="both"/>
        <w:ind w:left="4" w:firstLine="644"/>
        <w:spacing w:after="0" w:line="268"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left="4" w:firstLine="644"/>
        <w:spacing w:after="0" w:line="28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AR Collateral</w:t>
      </w:r>
      <w:r>
        <w:rPr>
          <w:rFonts w:ascii="Times New Roman" w:cs="Times New Roman" w:eastAsia="Times New Roman" w:hAnsi="Times New Roman"/>
          <w:sz w:val="18"/>
          <w:szCs w:val="18"/>
          <w:color w:val="auto"/>
        </w:rPr>
        <w:t>” means any bona fide accounts receivables, as determined in accordance with GAAP, and inventory of the Company and its Subsidiaries.</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AR Indebtedness</w:t>
      </w:r>
      <w:r>
        <w:rPr>
          <w:rFonts w:ascii="Times New Roman" w:cs="Times New Roman" w:eastAsia="Times New Roman" w:hAnsi="Times New Roman"/>
          <w:sz w:val="18"/>
          <w:szCs w:val="18"/>
          <w:color w:val="auto"/>
        </w:rPr>
        <w:t>” means the principal of (and premium, if any), interest on, and all fees and other amounts (including, without limitation, any reasonable out-of-pocket costs, enforcement expenses (including reasonable out-of-pocket legal fees and disbursements), collateral protection expenses and other reimbursement or indemnity obligations relating thereto) payable by Company and/or its Subsidiaries under or in connection with any credit facility to be entered into by the Company and/or its Subsidiaries with one or more financial institutions (and on terms and conditions), in form and substance reasonably satisfactory to the Required Holders; provided, however, that the aggregate outstanding amount of such Indebtedness permitted hereunder (taking into account the maximum amounts which may be advanced under the loan documents evidencing such Permitted AR Indebtedness) does not at any time exceed $4,000,000.</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(i) Indebtedness evidenced by this Note and the Other Notes, (ii) Indebtedness set forth on Schedule 3(s) to the Securities Purchase Agreement, as in effect as of the Subscription Date, and (iii) Indebtedness secured by Permitted Liens or unsecured but as described in clauses (iv) and (v) of the definition of Permitted Liens; (iv) Permitted Subordinated Indebtedness and (v) Permitted AR Indebtedness.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8" w:name="page39"/>
    <w:bookmarkEnd w:id="38"/>
    <w:p>
      <w:pPr>
        <w:jc w:val="both"/>
        <w:ind w:left="4" w:firstLine="644"/>
        <w:spacing w:after="0" w:line="252"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w:t>
      </w:r>
    </w:p>
    <w:p>
      <w:pPr>
        <w:spacing w:after="0" w:line="7"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32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any Permitted AR Indebtedness on Permitted AR Collateral, (vi) Liens in favor of customs and revenue authorities arising as a matter of law to secure payments of custom duties in connection with the importation of goods, (vii) Liens arising from judgments, decrees or attachments in circumstances not constituting an Event of Default under Section 4(a)(xii), and (viii) Liens with respect to Indebtedness in an aggregate amount not to exceed $2 million to the extent such Liens do not include any Crypto Collateral (as defined in the Security Agreement) or other assets held in any Controlled Account (as defined in the Security Agreement).</w:t>
      </w:r>
    </w:p>
    <w:p>
      <w:pPr>
        <w:spacing w:after="0" w:line="182" w:lineRule="exact"/>
        <w:rPr>
          <w:rFonts w:ascii="Times New Roman" w:cs="Times New Roman" w:eastAsia="Times New Roman" w:hAnsi="Times New Roman"/>
          <w:sz w:val="18"/>
          <w:szCs w:val="18"/>
          <w:color w:val="auto"/>
        </w:rPr>
      </w:pPr>
    </w:p>
    <w:p>
      <w:pPr>
        <w:jc w:val="both"/>
        <w:ind w:left="4" w:firstLine="644"/>
        <w:spacing w:after="0" w:line="263"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Subordinated Indebtedness</w:t>
      </w:r>
      <w:r>
        <w:rPr>
          <w:rFonts w:ascii="Times New Roman" w:cs="Times New Roman" w:eastAsia="Times New Roman" w:hAnsi="Times New Roman"/>
          <w:sz w:val="18"/>
          <w:szCs w:val="18"/>
          <w:color w:val="auto"/>
        </w:rPr>
        <w:t>” means Indebtedness incurred by the Company that is made expressly subordinate in right of payment to the Indebtedness evidenced by this Note and all Other Notes, as reflected in a written agreement acceptable to the Holder, and</w:t>
      </w:r>
    </w:p>
    <w:p>
      <w:pPr>
        <w:jc w:val="both"/>
        <w:ind w:left="4" w:hanging="4"/>
        <w:spacing w:after="0" w:line="253" w:lineRule="auto"/>
        <w:tabs>
          <w:tab w:leader="none" w:pos="2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Indebtedness does not provide at any time for (A) the payment, prepayment, repayment, repurchase or defeasance, directly or indirectly, of any principal or premium, if any, thereon until at least ninety-one (91) days after the latest Maturity Date of such Notes and/or (B) conversion or exchange, directly or indirectly, into shares of Common Stock, Convertible Securities and/or Options, and/or (ii) such Indebtedness is not issued with, or in connection with, the issuance or proposed issuance, directly or indirectly, of any Common Stock, Convertible Securities and/or Options.</w:t>
      </w:r>
    </w:p>
    <w:p>
      <w:pPr>
        <w:spacing w:after="0" w:line="182"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twenty (20) Trading Day period ending on the Trading Day immediately preceding such date of determination fails to exceed $3.00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 Notwithstanding the foregoing, at any time, and for any period of time, as applicable, the Holder may lower any dollar threshold specified in this definition to any lower dollar threshold, in each case, as specified by the Holder in a written notice to the Company.</w:t>
      </w:r>
    </w:p>
    <w:p>
      <w:pPr>
        <w:spacing w:after="0" w:line="183" w:lineRule="exact"/>
        <w:rPr>
          <w:sz w:val="20"/>
          <w:szCs w:val="20"/>
          <w:color w:val="auto"/>
        </w:rPr>
      </w:pPr>
    </w:p>
    <w:p>
      <w:pPr>
        <w:ind w:left="1304" w:hanging="656"/>
        <w:spacing w:after="0"/>
        <w:tabs>
          <w:tab w:leader="none" w:pos="130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5" w:lineRule="exact"/>
        <w:rPr>
          <w:rFonts w:ascii="Times New Roman" w:cs="Times New Roman" w:eastAsia="Times New Roman" w:hAnsi="Times New Roman"/>
          <w:sz w:val="18"/>
          <w:szCs w:val="18"/>
          <w:color w:val="auto"/>
        </w:rPr>
      </w:pPr>
    </w:p>
    <w:p>
      <w:pPr>
        <w:ind w:left="4" w:right="20" w:firstLine="644"/>
        <w:spacing w:after="0" w:line="286"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means any Event of Default Redemption Date, Asset Sale Optional Redemption Date, Subsequent Placement Optional Redemption Date, and/or Change of Control Redemption Date, as applicable.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39" w:name="page40"/>
    <w:bookmarkEnd w:id="39"/>
    <w:p>
      <w:pPr>
        <w:jc w:val="both"/>
        <w:ind w:left="-460" w:firstLine="644"/>
        <w:spacing w:after="0" w:line="268"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Asset Sale Optional Redemption Notices, the Subsequent Placement Optional Redemption Notices,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115%.</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Prices, the Change of Control Redemption Prices, the Subsequent Placement Optional Redemption Prices, and the Asset Sale Optional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as may be amended from time to time.</w:t>
      </w:r>
    </w:p>
    <w:p>
      <w:pPr>
        <w:spacing w:after="0" w:line="170"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6"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initial holders of the Notes pursuant to which the Company issued the Notes, as may be amended from time to time.</w:t>
      </w:r>
    </w:p>
    <w:p>
      <w:pPr>
        <w:spacing w:after="0" w:line="15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have the meaning as set forth in the Securities Purchase Agreement.</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left="-460" w:firstLine="644"/>
        <w:spacing w:after="0" w:line="286"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jc w:val="both"/>
        <w:ind w:left="-460" w:firstLine="644"/>
        <w:spacing w:after="0" w:line="268"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0"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9" w:lineRule="auto"/>
        <w:tabs>
          <w:tab w:leader="none" w:pos="8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Volume Failure</w:t>
      </w:r>
      <w:r>
        <w:rPr>
          <w:rFonts w:ascii="Times New Roman" w:cs="Times New Roman" w:eastAsia="Times New Roman" w:hAnsi="Times New Roman"/>
          <w:sz w:val="18"/>
          <w:szCs w:val="18"/>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 w:cs="Times New Roman" w:eastAsia="Times New Roman" w:hAnsi="Times New Roman"/>
          <w:sz w:val="18"/>
          <w:szCs w:val="18"/>
          <w:b w:val="1"/>
          <w:bCs w:val="1"/>
          <w:color w:val="auto"/>
        </w:rPr>
        <w:t>Volume Failure Measuring Period</w:t>
      </w:r>
      <w:r>
        <w:rPr>
          <w:rFonts w:ascii="Times New Roman" w:cs="Times New Roman" w:eastAsia="Times New Roman" w:hAnsi="Times New Roman"/>
          <w:sz w:val="18"/>
          <w:szCs w:val="18"/>
          <w:color w:val="auto"/>
        </w:rPr>
        <w:t>”), is less than $100,000. Notwithstanding the foregoing, at any time, and for any period of time, as applicable, the Holder may lower any dollar threshold specified in this definition to any lower dollar threshold, in each case, as specified by the Holder in a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40" w:name="page41"/>
    <w:bookmarkEnd w:id="40"/>
    <w:p>
      <w:pPr>
        <w:jc w:val="both"/>
        <w:ind w:left="660" w:firstLine="644"/>
        <w:spacing w:after="0" w:line="253" w:lineRule="auto"/>
        <w:tabs>
          <w:tab w:leader="none" w:pos="19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as of the Issuance Date set out above.</w:t>
      </w: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By:_________________________________</w:t>
      </w:r>
    </w:p>
    <w:p>
      <w:pPr>
        <w:spacing w:after="0" w:line="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Senior Secured Convertible Note - Signature Page</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796"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5"/>
          <w:szCs w:val="15"/>
          <w:b w:val="1"/>
          <w:bCs w:val="1"/>
          <w:color w:val="auto"/>
        </w:rPr>
        <w:t xml:space="preserve">ower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7"/>
          <w:szCs w:val="17"/>
          <w:b w:val="1"/>
          <w:bCs w:val="1"/>
          <w:color w:val="auto"/>
        </w:rPr>
        <w:t>.</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Series A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iPower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wp:posOffset>
            </wp:positionV>
            <wp:extent cx="4834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Aggregate accrued and unpaid Interest and accrued and unpaid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Late Charges with respect to such portion of the Aggregate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Principal, if any, and such 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34201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adjusted by the Company in the acknowledgement attached</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5715</wp:posOffset>
            </wp:positionV>
            <wp:extent cx="34201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Reduced 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Reduced Aggregate accrued and unpaid Interest and accrued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unpaid Late Charges with respect to such portion of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Reduced Aggregate Principal, if any, and such Reduced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5715</wp:posOffset>
            </wp:positionV>
            <wp:extent cx="34201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REDUCED AGGREGATE CONVERSION AMOUNT TO BE</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3420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4054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8"/>
        <w:spacing w:after="0" w:line="266" w:lineRule="auto"/>
        <w:tabs>
          <w:tab w:leader="none" w:pos="648" w:val="left"/>
        </w:tabs>
        <w:numPr>
          <w:ilvl w:val="0"/>
          <w:numId w:val="7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check here if Holder is electing to use the following Alternate Conversion Price:____________ (or, with respect to an Alternate Conversion subject to a Conversion Floor Price Condition, if elected by the Company in the acknowledgement attached hereto:____________)</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Conversion Notice shall constitute a representation by the Holder of the Note submitting this Conversion Notice that after giving effect to the conversion provided for in this Conversion Notice, such Holder (together with its affiliates) will not have beneficial ownership (together with the beneficial ownership of such Person’s affiliates) of a number of shares of Common Stock which exceeds the Maximum Percentage (as defined in the Note) of the total outstanding shares of Common Stock of the Company as determined pursuant to the provisions of Section 3(d) of the Note.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225" w:lineRule="exact"/>
        <w:rPr>
          <w:sz w:val="20"/>
          <w:szCs w:val="20"/>
          <w:color w:val="auto"/>
        </w:rPr>
      </w:pPr>
    </w:p>
    <w:p>
      <w:pPr>
        <w:ind w:left="1300" w:hanging="644"/>
        <w:spacing w:after="0"/>
        <w:tabs>
          <w:tab w:leader="none" w:pos="1300" w:val="left"/>
        </w:tabs>
        <w:numPr>
          <w:ilvl w:val="0"/>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225"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 to:</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97" w:lineRule="exact"/>
        <w:rPr>
          <w:rFonts w:ascii="MS PGothic" w:cs="MS PGothic" w:eastAsia="MS PGothic" w:hAnsi="MS PGothic"/>
          <w:sz w:val="18"/>
          <w:szCs w:val="18"/>
          <w:color w:val="auto"/>
        </w:rPr>
      </w:pPr>
    </w:p>
    <w:p>
      <w:pPr>
        <w:ind w:left="1300" w:hanging="644"/>
        <w:spacing w:after="0"/>
        <w:tabs>
          <w:tab w:leader="none" w:pos="1300" w:val="left"/>
        </w:tabs>
        <w:numPr>
          <w:ilvl w:val="0"/>
          <w:numId w:val="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-264795</wp:posOffset>
            </wp:positionV>
            <wp:extent cx="4997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-410845</wp:posOffset>
            </wp:positionV>
            <wp:extent cx="4997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745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-556260</wp:posOffset>
            </wp:positionV>
            <wp:extent cx="4997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17145</wp:posOffset>
            </wp:positionV>
            <wp:extent cx="4834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17145</wp:posOffset>
            </wp:positionV>
            <wp:extent cx="4903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17145</wp:posOffset>
            </wp:positionV>
            <wp:extent cx="4903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_____________ __, </w:t>
      </w:r>
      <w:r>
        <w:rPr>
          <w:rFonts w:ascii="Times New Roman" w:cs="Times New Roman" w:eastAsia="Times New Roman" w:hAnsi="Times New Roman"/>
          <w:sz w:val="18"/>
          <w:szCs w:val="18"/>
          <w:u w:val="single" w:color="auto"/>
          <w:color w:val="auto"/>
        </w:rPr>
        <w:t>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____________________________</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ID:______________________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in accordance with the Transfer Agent Instructions dated _____________, 20__ from the Company and acknowledged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agreed to by ________________________.</w:t>
      </w:r>
    </w:p>
    <w:p>
      <w:pPr>
        <w:spacing w:after="0" w:line="200" w:lineRule="exact"/>
        <w:rPr>
          <w:sz w:val="20"/>
          <w:szCs w:val="20"/>
          <w:color w:val="auto"/>
        </w:rPr>
      </w:pPr>
    </w:p>
    <w:p>
      <w:pPr>
        <w:spacing w:after="0" w:line="2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56" w:lineRule="auto"/>
        <w:tabs>
          <w:tab w:leader="none" w:pos="489" w:val="left"/>
        </w:tabs>
        <w:numPr>
          <w:ilvl w:val="0"/>
          <w:numId w:val="7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subject to a Conversion Floor Price Condition, check here if the Company is also electing to use Section 7(g) of the Note to reduce the Conversion Amount and the Conversion Price subject to conversion pursuant to the attached Conversion Notice such that the reduced Conversion Amount subject to conversion pursuant to the attached Conversion Notice would result in the issuance of such aggregate number of shares of Common Stock originally specified to be converted in such attached Conversion Notice using such reduced Conversion Amount specified in such attached Conversion Notice at the reduced Alternate Conversion Price with respect thereto (which shall not give effect to clause (x) of such definition) as specified in the attached Conversion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4277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4277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Launches AI Infrastructure Strategy</w:t>
      </w:r>
    </w:p>
    <w:p>
      <w:pPr>
        <w:spacing w:after="0" w:line="258" w:lineRule="exact"/>
        <w:rPr>
          <w:sz w:val="20"/>
          <w:szCs w:val="20"/>
          <w:color w:val="auto"/>
        </w:rPr>
      </w:pPr>
    </w:p>
    <w:p>
      <w:pPr>
        <w:ind w:left="1600" w:hanging="316"/>
        <w:spacing w:after="0"/>
        <w:tabs>
          <w:tab w:leader="none" w:pos="1600" w:val="left"/>
        </w:tabs>
        <w:numPr>
          <w:ilvl w:val="0"/>
          <w:numId w:val="79"/>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Company intends to pursue investments across the AI infrastructure stack, including an initial investment in sUSDai</w:t>
      </w:r>
    </w:p>
    <w:p>
      <w:pPr>
        <w:spacing w:after="0" w:line="28" w:lineRule="exact"/>
        <w:rPr>
          <w:rFonts w:ascii="Arial" w:cs="Arial" w:eastAsia="Arial" w:hAnsi="Arial"/>
          <w:sz w:val="18"/>
          <w:szCs w:val="18"/>
          <w:b w:val="1"/>
          <w:bCs w:val="1"/>
          <w:color w:val="auto"/>
        </w:rPr>
      </w:pPr>
    </w:p>
    <w:p>
      <w:pPr>
        <w:ind w:left="3000" w:hanging="306"/>
        <w:spacing w:after="0"/>
        <w:tabs>
          <w:tab w:leader="none" w:pos="3000" w:val="left"/>
        </w:tabs>
        <w:numPr>
          <w:ilvl w:val="1"/>
          <w:numId w:val="7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Utilizes existing $30M facility to build dedicated GPU and AI asset portfolio</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RANCHO CUCAMONGA, Calif., May 19, 2026 </w:t>
      </w:r>
      <w:r>
        <w:rPr>
          <w:rFonts w:ascii="Times New Roman" w:cs="Times New Roman" w:eastAsia="Times New Roman" w:hAnsi="Times New Roman"/>
          <w:sz w:val="18"/>
          <w:szCs w:val="18"/>
          <w:color w:val="auto"/>
        </w:rPr>
        <w:t>— iPower Inc. (Nasdaq: IPW) today announced the launch of its AI infrastructure strategy, positioning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as a dedicated capital provider for GPU clusters and AI infrastructure assets. The AI infrastructure market faces a fundamental supply-demand imbalance – GPU capacity is difficult to source and deploy, and operators face significant capital constraints in meeting surging demand. This leaves customers facing significant delays in building the AI capabilities they need.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iPower intends to address this gap by acting as a flexible capital provider and strategic partner to infrastructure operators across the technology stack, initially via its existing $30 million December 2025 financing facility. As a first step, the Company has committed up to $3 million from new financing proceeds to purchase sUSDai, a yield-bearing instrument backed by GPU-collateralized loans, giving iPower direct exposure to AI infrastructure revenue streams in a downside protected structure.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in the early innings of the most significant technological adoption in this generation, and compute infrastructure is the critical bottleneck standing between enterprises and adoption. We believe iPower is well-capitalized to address the opportunity in this space. Our initial deployment into sUSDai is the first step in what we intend to build into a meaningful presence as a capital provider in the AI infrastructure ecosystem,” said Lawrence Tan, CEO of iPower Inc.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iPower’s AI infrastructure strategy is focused on several key initiatives:</w:t>
      </w:r>
    </w:p>
    <w:p>
      <w:pPr>
        <w:spacing w:after="0" w:line="207"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investments across the AI infrastructure stack, including an initial investment in sUSDai</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strong returns on invested capital (ROIC) through disciplined asset selection</w:t>
      </w:r>
    </w:p>
    <w:p>
      <w:pPr>
        <w:spacing w:after="0" w:line="252" w:lineRule="exact"/>
        <w:rPr>
          <w:rFonts w:ascii="Times New Roman" w:cs="Times New Roman" w:eastAsia="Times New Roman" w:hAnsi="Times New Roman"/>
          <w:sz w:val="18"/>
          <w:szCs w:val="18"/>
          <w:color w:val="auto"/>
        </w:rPr>
      </w:pPr>
    </w:p>
    <w:p>
      <w:pPr>
        <w:ind w:right="1840" w:firstLine="332"/>
        <w:spacing w:after="0" w:line="498" w:lineRule="auto"/>
        <w:tabs>
          <w:tab w:leader="none" w:pos="6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iPower’s capital markets experience and ecosystem relationships to scale the portfolio as the strategy matures The Company intends to provide updates on additional developments as it executes the strategy.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iPower Inc. (Nasdaq: IPW) is a technology- and data-driven company executing a focused strategy at the intersection of AI infrastructure and real-world commerce. The Company’s platform includes established e-commerce supply chain operations and a growing AI infrastructure investment strategy. Leveraging its operating experience, ecosystem relationships, and capital market access, iPower is building a scalable platform designed to generate durable long-term value for stockholders. For more information, please visit </w:t>
      </w:r>
      <w:r>
        <w:rPr>
          <w:rFonts w:ascii="Times New Roman" w:cs="Times New Roman" w:eastAsia="Times New Roman" w:hAnsi="Times New Roman"/>
          <w:sz w:val="18"/>
          <w:szCs w:val="18"/>
          <w:u w:val="single" w:color="auto"/>
          <w:color w:val="auto"/>
        </w:rPr>
        <w:t>www.meetipower.com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These forward-looking statements, including iPower’s launch of its new AI infrastructure strategy, its ability to successfully deploy capital to fund such strategy, or generate revenue following the launch of such strategy, involve known and unknown risks and uncertainties and are based on current expectations and projections about future events and financial trends that iPower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iPower undertakes no obligation to update forward-looking statements to reflect subsequent events or circumstances, or changes in its expectations, except as may be required by law. Although iPower believes that the expectations expressed in these forward-looking statements are reasonable, it cannot assure you that such expectations will turn out to be correct. iPower cautions investors that actual results may differ materially from the anticipated results and encourages investors to review other factors that may affect its future results and performance in iPower’s filings with the SEC, including its Annual Report on Form 10-K, Quarterly Reports on Form 10-Q, and Current Reports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04"/>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1."/>
      <w:numFmt w:val="decimal"/>
      <w:start w:val="2"/>
    </w:lvl>
    <w:lvl w:ilvl="1">
      <w:lvlJc w:val="left"/>
      <w:lvlText w:val="(%2)"/>
      <w:numFmt w:val="lowerLetter"/>
      <w:start w:val="1"/>
    </w:lvl>
  </w:abstractNum>
  <w:abstractNum w:abstractNumId="4">
    <w:nsid w:val="6A2342EC"/>
    <w:multiLevelType w:val="hybridMultilevel"/>
    <w:lvl w:ilvl="0">
      <w:lvlJc w:val="left"/>
      <w:lvlText w:val="%1"/>
      <w:numFmt w:val="decimal"/>
      <w:start w:val="1"/>
    </w:lvl>
    <w:lvl w:ilvl="1">
      <w:lvlJc w:val="left"/>
      <w:lvlText w:val="(%2)"/>
      <w:numFmt w:val="lowerLetter"/>
      <w:start w:val="2"/>
    </w:lvl>
  </w:abstractNum>
  <w:abstractNum w:abstractNumId="5">
    <w:nsid w:val="2A487CB0"/>
    <w:multiLevelType w:val="hybridMultilevel"/>
    <w:lvl w:ilvl="0">
      <w:lvlJc w:val="left"/>
      <w:lvlText w:val="%1."/>
      <w:numFmt w:val="decimal"/>
      <w:start w:val="3"/>
    </w:lvl>
    <w:lvl w:ilvl="1">
      <w:lvlJc w:val="left"/>
      <w:lvlText w:val="%2"/>
      <w:numFmt w:val="lowerLetter"/>
      <w:start w:val="1"/>
    </w:lvl>
  </w:abstractNum>
  <w:abstractNum w:abstractNumId="6">
    <w:nsid w:val="1D4ED4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
    <w:nsid w:val="725A06FB"/>
    <w:multiLevelType w:val="hybridMultilevel"/>
    <w:lvl w:ilvl="0">
      <w:lvlJc w:val="left"/>
      <w:lvlText w:val="(%1)"/>
      <w:numFmt w:val="upperLetter"/>
      <w:start w:val="4"/>
    </w:lvl>
    <w:lvl w:ilvl="1">
      <w:lvlJc w:val="left"/>
      <w:lvlText w:val="(%2)"/>
      <w:numFmt w:val="lowerLetter"/>
      <w:start w:val="2"/>
    </w:lvl>
    <w:lvl w:ilvl="2">
      <w:lvlJc w:val="left"/>
      <w:lvlText w:val="(%3)"/>
      <w:numFmt w:val="lowerLetter"/>
      <w:start w:val="35"/>
    </w:lvl>
  </w:abstractNum>
  <w:abstractNum w:abstractNumId="8">
    <w:nsid w:val="2CD89A32"/>
    <w:multiLevelType w:val="hybridMultilevel"/>
    <w:lvl w:ilvl="0">
      <w:lvlJc w:val="left"/>
      <w:lvlText w:val="(%1)"/>
      <w:numFmt w:val="lowerRoman"/>
      <w:start w:val="1"/>
    </w:lvl>
  </w:abstractNum>
  <w:abstractNum w:abstractNumId="9">
    <w:nsid w:val="57E4CCAF"/>
    <w:multiLevelType w:val="hybridMultilevel"/>
    <w:lvl w:ilvl="0">
      <w:lvlJc w:val="left"/>
      <w:lvlText w:val="%1"/>
      <w:numFmt w:val="upperLetter"/>
      <w:start w:val="1"/>
    </w:lvl>
    <w:lvl w:ilvl="1">
      <w:lvlJc w:val="left"/>
      <w:lvlText w:val="(%2)"/>
      <w:numFmt w:val="lowerRoman"/>
      <w:start w:val="2"/>
    </w:lvl>
  </w:abstractNum>
  <w:abstractNum w:abstractNumId="10">
    <w:nsid w:val="7A6D8D3C"/>
    <w:multiLevelType w:val="hybridMultilevel"/>
    <w:lvl w:ilvl="0">
      <w:lvlJc w:val="left"/>
      <w:lvlText w:val="(%1)"/>
      <w:numFmt w:val="upperLetter"/>
      <w:start w:val="1"/>
    </w:lvl>
    <w:lvl w:ilvl="1">
      <w:lvlJc w:val="left"/>
      <w:lvlText w:val="%2"/>
      <w:numFmt w:val="lowerRoman"/>
      <w:start w:val="1"/>
    </w:lvl>
  </w:abstractNum>
  <w:abstractNum w:abstractNumId="11">
    <w:nsid w:val="4B588F54"/>
    <w:multiLevelType w:val="hybridMultilevel"/>
    <w:lvl w:ilvl="0">
      <w:lvlJc w:val="left"/>
      <w:lvlText w:val="%1"/>
      <w:numFmt w:val="lowerLetter"/>
      <w:start w:val="1"/>
    </w:lvl>
    <w:lvl w:ilvl="1">
      <w:lvlJc w:val="left"/>
      <w:lvlText w:val="(%2)"/>
      <w:numFmt w:val="lowerRoman"/>
      <w:start w:val="3"/>
    </w:lvl>
  </w:abstractNum>
  <w:abstractNum w:abstractNumId="12">
    <w:nsid w:val="542289EC"/>
    <w:multiLevelType w:val="hybridMultilevel"/>
    <w:lvl w:ilvl="0">
      <w:lvlJc w:val="left"/>
      <w:lvlText w:val="(%1)"/>
      <w:numFmt w:val="lowerLetter"/>
      <w:start w:val="4"/>
    </w:lvl>
    <w:lvl w:ilvl="1">
      <w:lvlJc w:val="left"/>
      <w:lvlText w:val="%2"/>
      <w:numFmt w:val="lowerRoman"/>
      <w:start w:val="1"/>
    </w:lvl>
  </w:abstractNum>
  <w:abstractNum w:abstractNumId="13">
    <w:nsid w:val="6DE91B18"/>
    <w:multiLevelType w:val="hybridMultilevel"/>
    <w:lvl w:ilvl="0">
      <w:lvlJc w:val="left"/>
      <w:lvlText w:val="(%1)"/>
      <w:numFmt w:val="lowerRoman"/>
      <w:start w:val="1"/>
    </w:lvl>
  </w:abstractNum>
  <w:abstractNum w:abstractNumId="14">
    <w:nsid w:val="38437FDB"/>
    <w:multiLevelType w:val="hybridMultilevel"/>
    <w:lvl w:ilvl="0">
      <w:lvlJc w:val="left"/>
      <w:lvlText w:val="%1"/>
      <w:numFmt w:val="lowerLetter"/>
      <w:start w:val="1"/>
    </w:lvl>
    <w:lvl w:ilvl="1">
      <w:lvlJc w:val="left"/>
      <w:lvlText w:val="(%2)"/>
      <w:numFmt w:val="lowerLetter"/>
      <w:start w:val="35"/>
    </w:lvl>
  </w:abstractNum>
  <w:abstractNum w:abstractNumId="15">
    <w:nsid w:val="7644A45C"/>
    <w:multiLevelType w:val="hybridMultilevel"/>
    <w:lvl w:ilvl="0">
      <w:lvlJc w:val="left"/>
      <w:lvlText w:val="(%1)"/>
      <w:numFmt w:val="lowerLetter"/>
      <w:start w:val="5"/>
    </w:lvl>
    <w:lvl w:ilvl="1">
      <w:lvlJc w:val="left"/>
      <w:lvlText w:val="(%2)"/>
      <w:numFmt w:val="lowerLetter"/>
      <w:start w:val="9"/>
    </w:lvl>
  </w:abstractNum>
  <w:abstractNum w:abstractNumId="16">
    <w:nsid w:val="32FFF902"/>
    <w:multiLevelType w:val="hybridMultilevel"/>
    <w:lvl w:ilvl="0">
      <w:lvlJc w:val="left"/>
      <w:lvlText w:val="(%1)"/>
      <w:numFmt w:val="lowerRoman"/>
      <w:start w:val="2"/>
    </w:lvl>
  </w:abstractNum>
  <w:abstractNum w:abstractNumId="17">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
    <w:nsid w:val="579478F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9">
    <w:nsid w:val="749ABB43"/>
    <w:multiLevelType w:val="hybridMultilevel"/>
    <w:lvl w:ilvl="0">
      <w:lvlJc w:val="left"/>
      <w:lvlText w:val="(%1)"/>
      <w:numFmt w:val="lowerRoman"/>
      <w:start w:val="2"/>
    </w:lvl>
  </w:abstractNum>
  <w:abstractNum w:abstractNumId="20">
    <w:nsid w:val="3DC240FB"/>
    <w:multiLevelType w:val="hybridMultilevel"/>
    <w:lvl w:ilvl="0">
      <w:lvlJc w:val="left"/>
      <w:lvlText w:val="(%1)"/>
      <w:numFmt w:val="lowerRoman"/>
      <w:start w:val="6"/>
    </w:lvl>
  </w:abstractNum>
  <w:abstractNum w:abstractNumId="21">
    <w:nsid w:val="1BA026FA"/>
    <w:multiLevelType w:val="hybridMultilevel"/>
    <w:lvl w:ilvl="0">
      <w:lvlJc w:val="left"/>
      <w:lvlText w:val="(%1)"/>
      <w:numFmt w:val="lowerRoman"/>
      <w:start w:val="13"/>
    </w:lvl>
  </w:abstractNum>
  <w:abstractNum w:abstractNumId="22">
    <w:nsid w:val="79A1DEAA"/>
    <w:multiLevelType w:val="hybridMultilevel"/>
    <w:lvl w:ilvl="0">
      <w:lvlJc w:val="left"/>
      <w:lvlText w:val="%1"/>
      <w:numFmt w:val="lowerLetter"/>
      <w:start w:val="1"/>
    </w:lvl>
    <w:lvl w:ilvl="1">
      <w:lvlJc w:val="left"/>
      <w:lvlText w:val="(%2)"/>
      <w:numFmt w:val="lowerRoman"/>
      <w:start w:val="20"/>
    </w:lvl>
  </w:abstractNum>
  <w:abstractNum w:abstractNumId="23">
    <w:nsid w:val="75C6C33A"/>
    <w:multiLevelType w:val="hybridMultilevel"/>
    <w:lvl w:ilvl="0">
      <w:lvlJc w:val="left"/>
      <w:lvlText w:val="(%1)"/>
      <w:numFmt w:val="lowerLetter"/>
      <w:start w:val="2"/>
    </w:lvl>
    <w:lvl w:ilvl="1">
      <w:lvlJc w:val="left"/>
      <w:lvlText w:val="%2"/>
      <w:numFmt w:val="lowerRoman"/>
      <w:start w:val="1"/>
    </w:lvl>
  </w:abstractNum>
  <w:abstractNum w:abstractNumId="24">
    <w:nsid w:val="12E685FB"/>
    <w:multiLevelType w:val="hybridMultilevel"/>
    <w:lvl w:ilvl="0">
      <w:lvlJc w:val="left"/>
      <w:lvlText w:val="(%1)"/>
      <w:numFmt w:val="lowerLetter"/>
      <w:start w:val="3"/>
    </w:lvl>
  </w:abstractNum>
  <w:abstractNum w:abstractNumId="25">
    <w:nsid w:val="70C6A529"/>
    <w:multiLevelType w:val="hybridMultilevel"/>
    <w:lvl w:ilvl="0">
      <w:lvlJc w:val="left"/>
      <w:lvlText w:val="%1."/>
      <w:numFmt w:val="decimal"/>
      <w:start w:val="5"/>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decimal"/>
      <w:start w:val="6"/>
    </w:lvl>
    <w:lvl w:ilvl="1">
      <w:lvlJc w:val="left"/>
      <w:lvlText w:val="(%2)"/>
      <w:numFmt w:val="lowerLetter"/>
      <w:start w:val="1"/>
    </w:lvl>
  </w:abstractNum>
  <w:abstractNum w:abstractNumId="28">
    <w:nsid w:val="4F4EF005"/>
    <w:multiLevelType w:val="hybridMultilevel"/>
    <w:lvl w:ilvl="0">
      <w:lvlJc w:val="left"/>
      <w:lvlText w:val="(%1)"/>
      <w:numFmt w:val="lowerRoman"/>
      <w:start w:val="1"/>
    </w:lvl>
  </w:abstractNum>
  <w:abstractNum w:abstractNumId="29">
    <w:nsid w:val="23F9C13C"/>
    <w:multiLevelType w:val="hybridMultilevel"/>
    <w:lvl w:ilvl="0">
      <w:lvlJc w:val="left"/>
      <w:lvlText w:val="(%1)"/>
      <w:numFmt w:val="lowerRoman"/>
      <w:start w:val="4"/>
    </w:lvl>
  </w:abstractNum>
  <w:abstractNum w:abstractNumId="30">
    <w:nsid w:val="649BB77C"/>
    <w:multiLevelType w:val="hybridMultilevel"/>
    <w:lvl w:ilvl="0">
      <w:lvlJc w:val="left"/>
      <w:lvlText w:val="%1"/>
      <w:numFmt w:val="upperLetter"/>
      <w:start w:val="1"/>
    </w:lvl>
    <w:lvl w:ilvl="1">
      <w:lvlJc w:val="left"/>
      <w:lvlText w:val="(%2)"/>
      <w:numFmt w:val="lowerRoman"/>
      <w:start w:val="5"/>
    </w:lvl>
  </w:abstractNum>
  <w:abstractNum w:abstractNumId="31">
    <w:nsid w:val="275AC794"/>
    <w:multiLevelType w:val="hybridMultilevel"/>
    <w:lvl w:ilvl="0">
      <w:lvlJc w:val="left"/>
      <w:lvlText w:val="(%1)"/>
      <w:numFmt w:val="upperLetter"/>
      <w:start w:val="1"/>
    </w:lvl>
    <w:lvl w:ilvl="1">
      <w:lvlJc w:val="left"/>
      <w:lvlText w:val="%2"/>
      <w:numFmt w:val="lowerRoman"/>
      <w:start w:val="1"/>
    </w:lvl>
  </w:abstractNum>
  <w:abstractNum w:abstractNumId="32">
    <w:nsid w:val="39386575"/>
    <w:multiLevelType w:val="hybridMultilevel"/>
    <w:lvl w:ilvl="0">
      <w:lvlJc w:val="left"/>
      <w:lvlText w:val="(%1)"/>
      <w:numFmt w:val="lowerLetter"/>
      <w:start w:val="2"/>
    </w:lvl>
  </w:abstractNum>
  <w:abstractNum w:abstractNumId="33">
    <w:nsid w:val="1CF10FD8"/>
    <w:multiLevelType w:val="hybridMultilevel"/>
    <w:lvl w:ilvl="0">
      <w:lvlJc w:val="left"/>
      <w:lvlText w:val="(%1)"/>
      <w:numFmt w:val="lowerLetter"/>
      <w:start w:val="3"/>
    </w:lvl>
  </w:abstractNum>
  <w:abstractNum w:abstractNumId="34">
    <w:nsid w:val="180115BE"/>
    <w:multiLevelType w:val="hybridMultilevel"/>
    <w:lvl w:ilvl="0">
      <w:lvlJc w:val="left"/>
      <w:lvlText w:val="(%1)"/>
      <w:numFmt w:val="lowerLetter"/>
      <w:start w:val="5"/>
    </w:lvl>
  </w:abstractNum>
  <w:abstractNum w:abstractNumId="35">
    <w:nsid w:val="235BA861"/>
    <w:multiLevelType w:val="hybridMultilevel"/>
    <w:lvl w:ilvl="0">
      <w:lvlJc w:val="left"/>
      <w:lvlText w:val="%1."/>
      <w:numFmt w:val="decimal"/>
      <w:start w:val="8"/>
    </w:lvl>
    <w:lvl w:ilvl="1">
      <w:lvlJc w:val="left"/>
      <w:lvlText w:val="(%2)"/>
      <w:numFmt w:val="lowerLetter"/>
      <w:start w:val="1"/>
    </w:lvl>
  </w:abstractNum>
  <w:abstractNum w:abstractNumId="36">
    <w:nsid w:val="47398C89"/>
    <w:multiLevelType w:val="hybridMultilevel"/>
    <w:lvl w:ilvl="0">
      <w:lvlJc w:val="left"/>
      <w:lvlText w:val="%1"/>
      <w:numFmt w:val="decimal"/>
      <w:start w:val="1"/>
    </w:lvl>
    <w:lvl w:ilvl="1">
      <w:lvlJc w:val="left"/>
      <w:lvlText w:val="(%2)"/>
      <w:numFmt w:val="lowerLetter"/>
      <w:start w:val="2"/>
    </w:lvl>
  </w:abstractNum>
  <w:abstractNum w:abstractNumId="37">
    <w:nsid w:val="354FE9F9"/>
    <w:multiLevelType w:val="hybridMultilevel"/>
    <w:lvl w:ilvl="0">
      <w:lvlJc w:val="left"/>
      <w:lvlText w:val="%1."/>
      <w:numFmt w:val="decimal"/>
      <w:start w:val="10"/>
    </w:lvl>
    <w:lvl w:ilvl="1">
      <w:lvlJc w:val="left"/>
      <w:lvlText w:val="(%2)"/>
      <w:numFmt w:val="lowerLetter"/>
      <w:start w:val="1"/>
    </w:lvl>
  </w:abstractNum>
  <w:abstractNum w:abstractNumId="38">
    <w:nsid w:val="15B5AF5C"/>
    <w:multiLevelType w:val="hybridMultilevel"/>
    <w:lvl w:ilvl="0">
      <w:lvlJc w:val="left"/>
      <w:lvlText w:val="%1."/>
      <w:numFmt w:val="decimal"/>
      <w:start w:val="12"/>
    </w:lvl>
    <w:lvl w:ilvl="1">
      <w:lvlJc w:val="left"/>
      <w:lvlText w:val="(%2)"/>
      <w:numFmt w:val="lowerLetter"/>
      <w:start w:val="1"/>
    </w:lvl>
  </w:abstractNum>
  <w:abstractNum w:abstractNumId="39">
    <w:nsid w:val="741226BB"/>
    <w:multiLevelType w:val="hybridMultilevel"/>
    <w:lvl w:ilvl="0">
      <w:lvlJc w:val="left"/>
      <w:lvlText w:val="%1."/>
      <w:numFmt w:val="decimal"/>
      <w:start w:val="13"/>
    </w:lvl>
    <w:lvl w:ilvl="1">
      <w:lvlJc w:val="left"/>
      <w:lvlText w:val="(%2)"/>
      <w:numFmt w:val="lowerLetter"/>
      <w:start w:val="1"/>
    </w:lvl>
  </w:abstractNum>
  <w:abstractNum w:abstractNumId="40">
    <w:nsid w:val="D34B6A8"/>
    <w:multiLevelType w:val="hybridMultilevel"/>
    <w:lvl w:ilvl="0">
      <w:lvlJc w:val="left"/>
      <w:lvlText w:val="(%1)"/>
      <w:numFmt w:val="lowerLetter"/>
      <w:start w:val="2"/>
    </w:lvl>
  </w:abstractNum>
  <w:abstractNum w:abstractNumId="41">
    <w:nsid w:val="10233C99"/>
    <w:multiLevelType w:val="hybridMultilevel"/>
    <w:lvl w:ilvl="0">
      <w:lvlJc w:val="left"/>
      <w:lvlText w:val="(%1)"/>
      <w:numFmt w:val="lowerLetter"/>
      <w:start w:val="10"/>
    </w:lvl>
  </w:abstractNum>
  <w:abstractNum w:abstractNumId="42">
    <w:nsid w:val="3F6AB60F"/>
    <w:multiLevelType w:val="hybridMultilevel"/>
    <w:lvl w:ilvl="0">
      <w:lvlJc w:val="left"/>
      <w:lvlText w:val="(%1)"/>
      <w:numFmt w:val="lowerLetter"/>
      <w:start w:val="18"/>
    </w:lvl>
    <w:lvl w:ilvl="1">
      <w:lvlJc w:val="left"/>
      <w:lvlText w:val="(%2)"/>
      <w:numFmt w:val="lowerRoman"/>
      <w:start w:val="1"/>
    </w:lvl>
  </w:abstractNum>
  <w:abstractNum w:abstractNumId="43">
    <w:nsid w:val="61574095"/>
    <w:multiLevelType w:val="hybridMultilevel"/>
    <w:lvl w:ilvl="0">
      <w:lvlJc w:val="left"/>
      <w:lvlText w:val="%1."/>
      <w:numFmt w:val="decimal"/>
      <w:start w:val="16"/>
    </w:lvl>
  </w:abstractNum>
  <w:abstractNum w:abstractNumId="44">
    <w:nsid w:val="7E0C57B1"/>
    <w:multiLevelType w:val="hybridMultilevel"/>
    <w:lvl w:ilvl="0">
      <w:lvlJc w:val="left"/>
      <w:lvlText w:val="%1."/>
      <w:numFmt w:val="decimal"/>
      <w:start w:val="18"/>
    </w:lvl>
    <w:lvl w:ilvl="1">
      <w:lvlJc w:val="left"/>
      <w:lvlText w:val="(%2)"/>
      <w:numFmt w:val="lowerLetter"/>
      <w:start w:val="1"/>
    </w:lvl>
  </w:abstractNum>
  <w:abstractNum w:abstractNumId="45">
    <w:nsid w:val="77AE35EB"/>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9"/>
    </w:lvl>
  </w:abstractNum>
  <w:abstractNum w:abstractNumId="46">
    <w:nsid w:val="579BE4F1"/>
    <w:multiLevelType w:val="hybridMultilevel"/>
    <w:lvl w:ilvl="0">
      <w:lvlJc w:val="left"/>
      <w:lvlText w:val="(%1)"/>
      <w:numFmt w:val="lowerRoman"/>
      <w:start w:val="2"/>
    </w:lvl>
  </w:abstractNum>
  <w:abstractNum w:abstractNumId="47">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8">
    <w:nsid w:val="5FF87E0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9">
    <w:nsid w:val="2F305DEF"/>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50">
    <w:nsid w:val="25A70BF7"/>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51">
    <w:nsid w:val="1DBABF00"/>
    <w:multiLevelType w:val="hybridMultilevel"/>
    <w:lvl w:ilvl="0">
      <w:lvlJc w:val="left"/>
      <w:lvlText w:val="%1."/>
      <w:numFmt w:val="decimal"/>
      <w:start w:val="32"/>
    </w:lvl>
    <w:lvl w:ilvl="1">
      <w:lvlJc w:val="left"/>
      <w:lvlText w:val="(%2)"/>
      <w:numFmt w:val="lowerLetter"/>
      <w:start w:val="1"/>
    </w:lvl>
  </w:abstractNum>
  <w:abstractNum w:abstractNumId="52">
    <w:nsid w:val="4AD084E9"/>
    <w:multiLevelType w:val="hybridMultilevel"/>
    <w:lvl w:ilvl="0">
      <w:lvlJc w:val="left"/>
      <w:lvlText w:val="(%1)"/>
      <w:numFmt w:val="lowerLetter"/>
      <w:start w:val="10"/>
    </w:lvl>
  </w:abstractNum>
  <w:abstractNum w:abstractNumId="53">
    <w:nsid w:val="1F48EAA1"/>
    <w:multiLevelType w:val="hybridMultilevel"/>
    <w:lvl w:ilvl="0">
      <w:lvlJc w:val="left"/>
      <w:lvlText w:val="%1"/>
      <w:numFmt w:val="lowerLetter"/>
      <w:start w:val="1"/>
    </w:lvl>
    <w:lvl w:ilvl="1">
      <w:lvlJc w:val="left"/>
      <w:lvlText w:val="(%2)"/>
      <w:numFmt w:val="lowerLetter"/>
      <w:start w:val="18"/>
    </w:lvl>
  </w:abstractNum>
  <w:abstractNum w:abstractNumId="54">
    <w:nsid w:val="1381823A"/>
    <w:multiLevelType w:val="hybridMultilevel"/>
    <w:lvl w:ilvl="0">
      <w:lvlJc w:val="left"/>
      <w:lvlText w:val="(%1)"/>
      <w:numFmt w:val="lowerLetter"/>
      <w:start w:val="24"/>
    </w:lvl>
    <w:lvl w:ilvl="1">
      <w:lvlJc w:val="left"/>
      <w:lvlText w:val="(%2)"/>
      <w:numFmt w:val="lowerLetter"/>
      <w:start w:val="23"/>
    </w:lvl>
  </w:abstractNum>
  <w:abstractNum w:abstractNumId="55">
    <w:nsid w:val="5DB70AE5"/>
    <w:multiLevelType w:val="hybridMultilevel"/>
    <w:lvl w:ilvl="0">
      <w:lvlJc w:val="left"/>
      <w:lvlText w:val="(%1)"/>
      <w:numFmt w:val="lowerLetter"/>
      <w:start w:val="26"/>
    </w:lvl>
  </w:abstractNum>
  <w:abstractNum w:abstractNumId="56">
    <w:nsid w:val="100F8FCA"/>
    <w:multiLevelType w:val="hybridMultilevel"/>
    <w:lvl w:ilvl="0">
      <w:lvlJc w:val="left"/>
      <w:lvlText w:val="%1"/>
      <w:numFmt w:val="decimal"/>
      <w:start w:val="1"/>
    </w:lvl>
    <w:lvl w:ilvl="1">
      <w:lvlJc w:val="left"/>
      <w:lvlText w:val="(%2)"/>
      <w:numFmt w:val="lowerLetter"/>
      <w:start w:val="27"/>
    </w:lvl>
  </w:abstractNum>
  <w:abstractNum w:abstractNumId="57">
    <w:nsid w:val="6590700B"/>
    <w:multiLevelType w:val="hybridMultilevel"/>
    <w:lvl w:ilvl="0">
      <w:lvlJc w:val="left"/>
      <w:lvlText w:val="(%1)"/>
      <w:numFmt w:val="decimal"/>
      <w:start w:val="20"/>
    </w:lvl>
    <w:lvl w:ilvl="1">
      <w:lvlJc w:val="left"/>
      <w:lvlText w:val="%2"/>
      <w:numFmt w:val="lowerLetter"/>
      <w:start w:val="1"/>
    </w:lvl>
  </w:abstractNum>
  <w:abstractNum w:abstractNumId="58">
    <w:nsid w:val="15014ACB"/>
    <w:multiLevelType w:val="hybridMultilevel"/>
    <w:lvl w:ilvl="0">
      <w:lvlJc w:val="left"/>
      <w:lvlText w:val="(%1)"/>
      <w:numFmt w:val="decimal"/>
      <w:start w:val="20"/>
    </w:lvl>
    <w:lvl w:ilvl="1">
      <w:lvlJc w:val="left"/>
      <w:lvlText w:val="%2"/>
      <w:numFmt w:val="lowerLetter"/>
      <w:start w:val="1"/>
    </w:lvl>
  </w:abstractNum>
  <w:abstractNum w:abstractNumId="59">
    <w:nsid w:val="5F5E7FD0"/>
    <w:multiLevelType w:val="hybridMultilevel"/>
    <w:lvl w:ilvl="0">
      <w:lvlJc w:val="left"/>
      <w:lvlText w:val="%1"/>
      <w:numFmt w:val="lowerLetter"/>
      <w:start w:val="1"/>
    </w:lvl>
    <w:lvl w:ilvl="1">
      <w:lvlJc w:val="left"/>
      <w:lvlText w:val="(%2)"/>
      <w:numFmt w:val="lowerLetter"/>
      <w:start w:val="28"/>
    </w:lvl>
  </w:abstractNum>
  <w:abstractNum w:abstractNumId="60">
    <w:nsid w:val="98A3148"/>
    <w:multiLevelType w:val="hybridMultilevel"/>
    <w:lvl w:ilvl="0">
      <w:lvlJc w:val="left"/>
      <w:lvlText w:val="(%1)"/>
      <w:numFmt w:val="lowerLetter"/>
      <w:start w:val="24"/>
    </w:lvl>
    <w:lvl w:ilvl="1">
      <w:lvlJc w:val="left"/>
      <w:lvlText w:val="%2"/>
      <w:numFmt w:val="lowerLetter"/>
      <w:start w:val="1"/>
    </w:lvl>
  </w:abstractNum>
  <w:abstractNum w:abstractNumId="61">
    <w:nsid w:val="799D0247"/>
    <w:multiLevelType w:val="hybridMultilevel"/>
    <w:lvl w:ilvl="0">
      <w:lvlJc w:val="left"/>
      <w:lvlText w:val="(%1)"/>
      <w:numFmt w:val="decimal"/>
      <w:start w:val="10"/>
    </w:lvl>
    <w:lvl w:ilvl="1">
      <w:lvlJc w:val="left"/>
      <w:lvlText w:val="(%2)"/>
      <w:numFmt w:val="lowerLetter"/>
      <w:start w:val="31"/>
    </w:lvl>
  </w:abstractNum>
  <w:abstractNum w:abstractNumId="62">
    <w:nsid w:val="6B94764"/>
    <w:multiLevelType w:val="hybridMultilevel"/>
    <w:lvl w:ilvl="0">
      <w:lvlJc w:val="left"/>
      <w:lvlText w:val="(%1)"/>
      <w:numFmt w:val="lowerLetter"/>
      <w:start w:val="33"/>
    </w:lvl>
  </w:abstractNum>
  <w:abstractNum w:abstractNumId="63">
    <w:nsid w:val="42C296BD"/>
    <w:multiLevelType w:val="hybridMultilevel"/>
    <w:lvl w:ilvl="0">
      <w:lvlJc w:val="left"/>
      <w:lvlText w:val="%1"/>
      <w:numFmt w:val="lowerLetter"/>
      <w:start w:val="1"/>
    </w:lvl>
    <w:lvl w:ilvl="1">
      <w:lvlJc w:val="left"/>
      <w:lvlText w:val="(%2)"/>
      <w:numFmt w:val="lowerLetter"/>
      <w:start w:val="34"/>
    </w:lvl>
  </w:abstractNum>
  <w:abstractNum w:abstractNumId="64">
    <w:nsid w:val="168E121F"/>
    <w:multiLevelType w:val="hybridMultilevel"/>
    <w:lvl w:ilvl="0">
      <w:lvlJc w:val="left"/>
      <w:lvlText w:val="(%1)"/>
      <w:numFmt w:val="lowerLetter"/>
      <w:start w:val="22"/>
    </w:lvl>
    <w:lvl w:ilvl="1">
      <w:lvlJc w:val="left"/>
      <w:lvlText w:val="%2"/>
      <w:numFmt w:val="lowerLetter"/>
      <w:start w:val="1"/>
    </w:lvl>
  </w:abstractNum>
  <w:abstractNum w:abstractNumId="65">
    <w:nsid w:val="1EBA5D23"/>
    <w:multiLevelType w:val="hybridMultilevel"/>
    <w:lvl w:ilvl="0">
      <w:lvlJc w:val="left"/>
      <w:lvlText w:val="(%1)"/>
      <w:numFmt w:val="lowerLetter"/>
      <w:start w:val="25"/>
    </w:lvl>
    <w:lvl w:ilvl="1">
      <w:lvlJc w:val="left"/>
      <w:lvlText w:val="(%2)"/>
      <w:numFmt w:val="lowerLetter"/>
      <w:start w:val="36"/>
    </w:lvl>
  </w:abstractNum>
  <w:abstractNum w:abstractNumId="66">
    <w:nsid w:val="661E3F1E"/>
    <w:multiLevelType w:val="hybridMultilevel"/>
    <w:lvl w:ilvl="0">
      <w:lvlJc w:val="left"/>
      <w:lvlText w:val="%1"/>
      <w:numFmt w:val="lowerLetter"/>
      <w:start w:val="1"/>
    </w:lvl>
    <w:lvl w:ilvl="1">
      <w:lvlJc w:val="left"/>
      <w:lvlText w:val="(%2)"/>
      <w:numFmt w:val="lowerLetter"/>
      <w:start w:val="39"/>
    </w:lvl>
  </w:abstractNum>
  <w:abstractNum w:abstractNumId="67">
    <w:nsid w:val="5DC79EA8"/>
    <w:multiLevelType w:val="hybridMultilevel"/>
    <w:lvl w:ilvl="0">
      <w:lvlJc w:val="left"/>
      <w:lvlText w:val="(%1)"/>
      <w:numFmt w:val="lowerLetter"/>
      <w:start w:val="9"/>
    </w:lvl>
    <w:lvl w:ilvl="1">
      <w:lvlJc w:val="left"/>
      <w:lvlText w:val="(%2)"/>
      <w:numFmt w:val="lowerLetter"/>
      <w:start w:val="43"/>
    </w:lvl>
  </w:abstractNum>
  <w:abstractNum w:abstractNumId="68">
    <w:nsid w:val="540A471C"/>
    <w:multiLevelType w:val="hybridMultilevel"/>
    <w:lvl w:ilvl="0">
      <w:lvlJc w:val="left"/>
      <w:lvlText w:val="%1"/>
      <w:numFmt w:val="lowerRoman"/>
      <w:start w:val="1"/>
    </w:lvl>
    <w:lvl w:ilvl="1">
      <w:lvlJc w:val="left"/>
      <w:lvlText w:val="(%2)"/>
      <w:numFmt w:val="lowerLetter"/>
      <w:start w:val="49"/>
    </w:lvl>
  </w:abstractNum>
  <w:abstractNum w:abstractNumId="69">
    <w:nsid w:val="7BD3EE7B"/>
    <w:multiLevelType w:val="hybridMultilevel"/>
    <w:lvl w:ilvl="0">
      <w:lvlJc w:val="left"/>
      <w:lvlText w:val="(%1)"/>
      <w:numFmt w:val="lowerRoman"/>
      <w:start w:val="6"/>
    </w:lvl>
    <w:lvl w:ilvl="1">
      <w:lvlJc w:val="left"/>
      <w:lvlText w:val="(%2)"/>
      <w:numFmt w:val="lowerLetter"/>
      <w:start w:val="50"/>
    </w:lvl>
  </w:abstractNum>
  <w:abstractNum w:abstractNumId="70">
    <w:nsid w:val="51D9C564"/>
    <w:multiLevelType w:val="hybridMultilevel"/>
    <w:lvl w:ilvl="0">
      <w:lvlJc w:val="left"/>
      <w:lvlText w:val="(%1)"/>
      <w:numFmt w:val="lowerRoman"/>
      <w:start w:val="1"/>
    </w:lvl>
    <w:lvl w:ilvl="1">
      <w:lvlJc w:val="left"/>
      <w:lvlText w:val="(%2)"/>
      <w:numFmt w:val="lowerLetter"/>
      <w:start w:val="51"/>
    </w:lvl>
  </w:abstractNum>
  <w:abstractNum w:abstractNumId="71">
    <w:nsid w:val="613EFDC5"/>
    <w:multiLevelType w:val="hybridMultilevel"/>
    <w:lvl w:ilvl="0">
      <w:lvlJc w:val="left"/>
      <w:lvlText w:val="(%1)"/>
      <w:numFmt w:val="lowerLetter"/>
      <w:start w:val="53"/>
    </w:lvl>
  </w:abstractNum>
  <w:abstractNum w:abstractNumId="72">
    <w:nsid w:val="BF72B14"/>
    <w:multiLevelType w:val="hybridMultilevel"/>
    <w:lvl w:ilvl="0">
      <w:lvlJc w:val="left"/>
      <w:lvlText w:val="(%1)"/>
      <w:numFmt w:val="lowerLetter"/>
      <w:start w:val="55"/>
    </w:lvl>
  </w:abstractNum>
  <w:abstractNum w:abstractNumId="73">
    <w:nsid w:val="11447B73"/>
    <w:multiLevelType w:val="hybridMultilevel"/>
    <w:lvl w:ilvl="0">
      <w:lvlJc w:val="left"/>
      <w:lvlText w:val="%1"/>
      <w:numFmt w:val="decimal"/>
      <w:start w:val="1"/>
    </w:lvl>
    <w:lvl w:ilvl="1">
      <w:lvlJc w:val="left"/>
      <w:lvlText w:val="(%2)"/>
      <w:numFmt w:val="lowerLetter"/>
      <w:start w:val="67"/>
    </w:lvl>
  </w:abstractNum>
  <w:abstractNum w:abstractNumId="74">
    <w:nsid w:val="42963E5A"/>
    <w:multiLevelType w:val="hybridMultilevel"/>
    <w:lvl w:ilvl="0">
      <w:lvlJc w:val="left"/>
      <w:lvlText w:val="%1."/>
      <w:numFmt w:val="decimal"/>
      <w:start w:val="34"/>
    </w:lvl>
    <w:lvl w:ilvl="1">
      <w:lvlJc w:val="left"/>
      <w:lvlText w:val="%2"/>
      <w:numFmt w:val="lowerLetter"/>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lvl w:ilvl="1">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2026-05-19T08:04:38Z</dcterms:created>
  <dcterms:modified xsi:type="dcterms:W3CDTF">2026-05-19T08:04:38Z</dcterms:modified>
</cp:coreProperties>
</file>