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q3_001">
        <w:bookmarkStart w:id="0" w:name="ipower_i10q-033126.htm"/>
        <w:bookmarkStart w:id="1" w:name="ksipower_i10q033126"/>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50701__20"/>
      <w:bookmarkEnd w:id="2"/>
      <w:r>
        <w:rPr>
          <w:rFonts w:ascii="Times New Roman;Times;Serif" w:hAnsi="Times New Roman;Times;Serif"/>
          <w:b/>
          <w:i w:val="false"/>
          <w:caps w:val="false"/>
          <w:smallCaps w:val="false"/>
          <w:sz w:val="20"/>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tbl>
      <w:tblPr>
        <w:tblW w:w="9625" w:type="dxa"/>
        <w:jc w:val="left"/>
        <w:tblInd w:w="0" w:type="dxa"/>
        <w:tblLayout w:type="fixed"/>
        <w:tblCellMar>
          <w:top w:w="0" w:type="dxa"/>
          <w:left w:w="0" w:type="dxa"/>
          <w:bottom w:w="0" w:type="dxa"/>
          <w:right w:w="0" w:type="dxa"/>
        </w:tblCellMar>
      </w:tblPr>
      <w:tblGrid>
        <w:gridCol w:w="245"/>
        <w:gridCol w:w="9380"/>
      </w:tblGrid>
      <w:tr>
        <w:trPr/>
        <w:tc>
          <w:tcPr>
            <w:tcW w:w="245" w:type="dxa"/>
            <w:tcBorders/>
            <w:vAlign w:val="center"/>
          </w:tcPr>
          <w:p>
            <w:pPr>
              <w:pStyle w:val="TableContents"/>
              <w:bidi w:val="0"/>
              <w:spacing w:before="0" w:after="283"/>
              <w:jc w:val="both"/>
              <w:rPr>
                <w:caps/>
              </w:rPr>
            </w:pPr>
            <w:bookmarkStart w:id="3" w:name="xdx_90F_edei--DocumentQuarterlyReport_c2"/>
            <w:bookmarkEnd w:id="3"/>
            <w:r>
              <w:rPr>
                <w:caps/>
              </w:rPr>
              <w:t>☒</w:t>
            </w:r>
          </w:p>
        </w:tc>
        <w:tc>
          <w:tcPr>
            <w:tcW w:w="9380" w:type="dxa"/>
            <w:tcBorders/>
            <w:vAlign w:val="center"/>
          </w:tcPr>
          <w:p>
            <w:pPr>
              <w:pStyle w:val="TableContents"/>
              <w:bidi w:val="0"/>
              <w:spacing w:before="0" w:after="283"/>
              <w:jc w:val="both"/>
              <w:rPr>
                <w:sz w:val="20"/>
              </w:rPr>
            </w:pPr>
            <w:r>
              <w:rPr>
                <w:caps/>
                <w:sz w:val="20"/>
              </w:rPr>
              <w:t>QUARTERLY REPORT PURSUANT TO SECTION 13 OR 15(</w:t>
            </w:r>
            <w:r>
              <w:rPr>
                <w:sz w:val="20"/>
              </w:rPr>
              <w:t>d</w:t>
            </w:r>
            <w:r>
              <w:rPr>
                <w:caps/>
                <w:sz w:val="20"/>
              </w:rPr>
              <w:t>)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D_edei--DocumentPeriodEndDate_c202"/>
      <w:bookmarkEnd w:id="4"/>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245"/>
        <w:gridCol w:w="9350"/>
      </w:tblGrid>
      <w:tr>
        <w:trPr/>
        <w:tc>
          <w:tcPr>
            <w:tcW w:w="245" w:type="dxa"/>
            <w:tcBorders/>
            <w:vAlign w:val="center"/>
          </w:tcPr>
          <w:p>
            <w:pPr>
              <w:pStyle w:val="TableContents"/>
              <w:bidi w:val="0"/>
              <w:spacing w:before="0" w:after="283"/>
              <w:jc w:val="both"/>
              <w:rPr>
                <w:caps/>
              </w:rPr>
            </w:pPr>
            <w:bookmarkStart w:id="5" w:name="xdx_90D_edei--DocumentTransitionReport_c"/>
            <w:bookmarkEnd w:id="5"/>
            <w:r>
              <w:rPr>
                <w:caps/>
              </w:rPr>
              <w:t>☐</w:t>
            </w:r>
          </w:p>
        </w:tc>
        <w:tc>
          <w:tcPr>
            <w:tcW w:w="9350" w:type="dxa"/>
            <w:tcBorders/>
            <w:vAlign w:val="center"/>
          </w:tcPr>
          <w:p>
            <w:pPr>
              <w:pStyle w:val="TableContents"/>
              <w:bidi w:val="0"/>
              <w:spacing w:before="0" w:after="283"/>
              <w:jc w:val="both"/>
              <w:rPr>
                <w:sz w:val="20"/>
              </w:rPr>
            </w:pPr>
            <w:r>
              <w:rPr>
                <w:caps/>
                <w:sz w:val="20"/>
              </w:rPr>
              <w:t>TRANSITION REPORT PURSUANT TO SECTION 13 OR 15(</w:t>
            </w:r>
            <w:r>
              <w:rPr>
                <w:sz w:val="20"/>
              </w:rPr>
              <w:t>d</w:t>
            </w:r>
            <w:r>
              <w:rPr>
                <w:caps/>
                <w:sz w:val="20"/>
              </w:rPr>
              <w:t>)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 to 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6" w:name="xdx_900_edei--EntityFileNumber_c20250701"/>
      <w:bookmarkEnd w:id="6"/>
      <w:r>
        <w:rPr>
          <w:rFonts w:ascii="Times New Roman;Times;Serif" w:hAnsi="Times New Roman;Times;Serif"/>
          <w:b w:val="false"/>
          <w:i w:val="false"/>
          <w:caps w:val="false"/>
          <w:smallCaps w:val="false"/>
          <w:sz w:val="20"/>
        </w:rPr>
        <w:t>001-40391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7" w:name="xdx_903_edei--EntityRegistrantName_c2025"/>
      <w:bookmarkEnd w:id="7"/>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4880"/>
        <w:gridCol w:w="60"/>
        <w:gridCol w:w="2915"/>
      </w:tblGrid>
      <w:tr>
        <w:trPr/>
        <w:tc>
          <w:tcPr>
            <w:tcW w:w="4880" w:type="dxa"/>
            <w:tcBorders>
              <w:bottom w:val="single" w:sz="8" w:space="0" w:color="000000"/>
            </w:tcBorders>
            <w:vAlign w:val="center"/>
          </w:tcPr>
          <w:p>
            <w:pPr>
              <w:pStyle w:val="TableContents"/>
              <w:bidi w:val="0"/>
              <w:spacing w:before="0" w:after="283"/>
              <w:jc w:val="center"/>
              <w:rPr>
                <w:b/>
                <w:sz w:val="20"/>
              </w:rPr>
            </w:pPr>
            <w:bookmarkStart w:id="8" w:name="xdx_90E_edei--EntityIncorporationStateCo"/>
            <w:bookmarkEnd w:id="8"/>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915" w:type="dxa"/>
            <w:tcBorders>
              <w:bottom w:val="single" w:sz="8" w:space="0" w:color="000000"/>
            </w:tcBorders>
            <w:vAlign w:val="center"/>
          </w:tcPr>
          <w:p>
            <w:pPr>
              <w:pStyle w:val="TableContents"/>
              <w:bidi w:val="0"/>
              <w:spacing w:before="0" w:after="283"/>
              <w:jc w:val="center"/>
              <w:rPr>
                <w:b/>
                <w:sz w:val="20"/>
              </w:rPr>
            </w:pPr>
            <w:bookmarkStart w:id="9" w:name="xdx_90C_edei--EntityTaxIdentificationNum"/>
            <w:bookmarkEnd w:id="9"/>
            <w:r>
              <w:rPr>
                <w:b/>
                <w:sz w:val="20"/>
              </w:rPr>
              <w:t>82-5144171</w:t>
            </w:r>
          </w:p>
        </w:tc>
      </w:tr>
      <w:tr>
        <w:trPr/>
        <w:tc>
          <w:tcPr>
            <w:tcW w:w="4880" w:type="dxa"/>
            <w:tcBorders/>
            <w:tcMar>
              <w:bottom w:w="0" w:type="dxa"/>
            </w:tcMar>
            <w:vAlign w:val="center"/>
          </w:tcPr>
          <w:p>
            <w:pPr>
              <w:pStyle w:val="TableContents"/>
              <w:bidi w:val="0"/>
              <w:spacing w:before="0" w:after="283"/>
              <w:jc w:val="center"/>
              <w:rPr>
                <w:sz w:val="20"/>
              </w:rPr>
            </w:pPr>
            <w:r>
              <w:rPr>
                <w:sz w:val="20"/>
              </w:rPr>
              <w:t>(State or other jurisdiction of 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915"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0_edei--EntityAddressAddressLine1_"/>
      <w:bookmarkEnd w:id="10"/>
      <w:r>
        <w:rPr>
          <w:rFonts w:ascii="Times New Roman;Times;Serif" w:hAnsi="Times New Roman;Times;Serif"/>
          <w:b/>
          <w:i w:val="false"/>
          <w:caps w:val="false"/>
          <w:smallCaps w:val="false"/>
          <w:sz w:val="20"/>
        </w:rPr>
        <w:t>8798 9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8_edei--EntityAddressCityOrTown_c2"/>
      <w:bookmarkEnd w:id="11"/>
      <w:r>
        <w:rPr>
          <w:rFonts w:ascii="Times New Roman;Times;Serif" w:hAnsi="Times New Roman;Times;Serif"/>
          <w:b/>
          <w:i w:val="false"/>
          <w:caps w:val="false"/>
          <w:smallCaps w:val="false"/>
          <w:sz w:val="20"/>
        </w:rPr>
        <w:t xml:space="preserve">Rancho Cucamonga, </w:t>
      </w:r>
      <w:bookmarkStart w:id="12" w:name="xdx_905_edei--EntityAddressStateOrProvin"/>
      <w:bookmarkEnd w:id="12"/>
      <w:r>
        <w:rPr>
          <w:rFonts w:ascii="Times New Roman;Times;Serif" w:hAnsi="Times New Roman;Times;Serif"/>
          <w:b/>
          <w:i w:val="false"/>
          <w:caps w:val="false"/>
          <w:smallCaps w:val="false"/>
          <w:sz w:val="20"/>
        </w:rPr>
        <w:t xml:space="preserve">CA </w:t>
      </w:r>
      <w:bookmarkStart w:id="13" w:name="xdx_90A_edei--EntityAddressPostalZipCode"/>
      <w:bookmarkEnd w:id="13"/>
      <w:r>
        <w:rPr>
          <w:rFonts w:ascii="Times New Roman;Times;Serif" w:hAnsi="Times New Roman;Times;Serif"/>
          <w:b/>
          <w:i w:val="false"/>
          <w:caps w:val="false"/>
          <w:smallCaps w:val="false"/>
          <w:sz w:val="20"/>
        </w:rPr>
        <w:t>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3_edei--CityAreaCode_c20250701__20"/>
      <w:bookmarkEnd w:id="14"/>
      <w:r>
        <w:rPr>
          <w:rFonts w:ascii="Times New Roman;Times;Serif" w:hAnsi="Times New Roman;Times;Serif"/>
          <w:b/>
          <w:i w:val="false"/>
          <w:caps w:val="false"/>
          <w:smallCaps w:val="false"/>
          <w:sz w:val="20"/>
        </w:rPr>
        <w:t xml:space="preserve">626) </w:t>
      </w:r>
      <w:bookmarkStart w:id="15" w:name="xdx_90D_edei--LocalPhoneNumber_c20250701"/>
      <w:bookmarkEnd w:id="15"/>
      <w:r>
        <w:rPr>
          <w:rFonts w:ascii="Times New Roman;Times;Serif" w:hAnsi="Times New Roman;Times;Serif"/>
          <w:b/>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sz w:val="20"/>
              </w:rPr>
            </w:pPr>
            <w:bookmarkStart w:id="16" w:name="xdx_90A_edei--Security12bTitle_c20250701"/>
            <w:bookmarkEnd w:id="16"/>
            <w:r>
              <w:rPr>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17" w:name="xdx_906_edei--TradingSymbol_c20250701__2"/>
            <w:bookmarkEnd w:id="17"/>
            <w:r>
              <w:rPr>
                <w:sz w:val="20"/>
              </w:rPr>
              <w:t>IPW</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r>
              <w:rPr>
                <w:sz w:val="20"/>
              </w:rPr>
              <w:t xml:space="preserve">The </w:t>
            </w:r>
            <w:bookmarkStart w:id="18" w:name="xdx_90C_edei--SecurityExchangeName_c2025"/>
            <w:bookmarkEnd w:id="18"/>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9" w:name="xdx_903_edei--EntityCurrentReportingStat"/>
      <w:bookmarkEnd w:id="19"/>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0" w:name="xdx_902_edei--EntityInteractiveDataCurre"/>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both"/>
              <w:rPr>
                <w:sz w:val="20"/>
              </w:rPr>
            </w:pPr>
            <w:r>
              <w:rPr>
                <w:sz w:val="20"/>
              </w:rPr>
              <w:t>Large accelerated filer</w:t>
            </w:r>
          </w:p>
        </w:tc>
        <w:tc>
          <w:tcPr>
            <w:tcW w:w="23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sz w:val="20"/>
              </w:rPr>
            </w:pPr>
            <w:r>
              <w:rPr>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sz w:val="20"/>
              </w:rPr>
            </w:pPr>
            <w:bookmarkStart w:id="21" w:name="xdx_904_edei--EntityFilerCategory_c20250"/>
            <w:bookmarkEnd w:id="21"/>
            <w:r>
              <w:rPr>
                <w:sz w:val="20"/>
              </w:rPr>
              <w:t>Non-accelerated filer</w:t>
            </w:r>
          </w:p>
        </w:tc>
        <w:tc>
          <w:tcPr>
            <w:tcW w:w="23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sz w:val="20"/>
              </w:rPr>
            </w:pPr>
            <w:r>
              <w:rPr>
                <w:sz w:val="20"/>
              </w:rPr>
              <w:t>Smaller reporting company</w:t>
            </w:r>
          </w:p>
        </w:tc>
        <w:tc>
          <w:tcPr>
            <w:tcW w:w="245" w:type="dxa"/>
            <w:tcBorders/>
            <w:vAlign w:val="center"/>
          </w:tcPr>
          <w:p>
            <w:pPr>
              <w:pStyle w:val="TableContents"/>
              <w:bidi w:val="0"/>
              <w:spacing w:before="0" w:after="283"/>
              <w:jc w:val="both"/>
              <w:rPr/>
            </w:pPr>
            <w:bookmarkStart w:id="22" w:name="xdx_906_edei--EntitySmallBusiness_c20250"/>
            <w:bookmarkEnd w:id="22"/>
            <w:r>
              <w:rPr/>
              <w:t>☒</w:t>
            </w:r>
          </w:p>
        </w:tc>
      </w:tr>
      <w:tr>
        <w:trPr/>
        <w:tc>
          <w:tcPr>
            <w:tcW w:w="18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sz w:val="20"/>
              </w:rPr>
            </w:pPr>
            <w:r>
              <w:rPr>
                <w:sz w:val="20"/>
              </w:rPr>
              <w:t>Emerging growth company</w:t>
            </w:r>
          </w:p>
        </w:tc>
        <w:tc>
          <w:tcPr>
            <w:tcW w:w="245" w:type="dxa"/>
            <w:tcBorders/>
            <w:vAlign w:val="center"/>
          </w:tcPr>
          <w:p>
            <w:pPr>
              <w:pStyle w:val="TableContents"/>
              <w:bidi w:val="0"/>
              <w:spacing w:before="0" w:after="283"/>
              <w:jc w:val="both"/>
              <w:rPr/>
            </w:pPr>
            <w:bookmarkStart w:id="23" w:name="xdx_907_edei--EntityEmergingGrowthCompan"/>
            <w:bookmarkEnd w:id="23"/>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E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5" w:name="xdx_906_edei--EntityShellCompany_dbF_c20"/>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outstanding of the registrant’s common stock on May 20, 2026 was </w:t>
      </w:r>
      <w:bookmarkStart w:id="26" w:name="xdx_90C_edei--EntityCommonStockSharesOut"/>
      <w:bookmarkEnd w:id="26"/>
      <w:r>
        <w:rPr>
          <w:rFonts w:ascii="Times New Roman;Times;Serif" w:hAnsi="Times New Roman;Times;Serif"/>
          <w:b w:val="false"/>
          <w:i w:val="false"/>
          <w:caps w:val="false"/>
          <w:smallCaps w:val="false"/>
          <w:sz w:val="20"/>
        </w:rPr>
        <w:t>5,289,919.</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q3_001"/>
      <w:bookmarkEnd w:id="27"/>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9"/>
        <w:gridCol w:w="8896"/>
        <w:gridCol w:w="670"/>
      </w:tblGrid>
      <w:tr>
        <w:trPr/>
        <w:tc>
          <w:tcPr>
            <w:tcW w:w="639" w:type="dxa"/>
            <w:tcBorders/>
            <w:vAlign w:val="center"/>
          </w:tcPr>
          <w:p>
            <w:pPr>
              <w:pStyle w:val="TableContents"/>
              <w:bidi w:val="0"/>
              <w:spacing w:before="0" w:after="283"/>
              <w:jc w:val="both"/>
              <w:rPr/>
            </w:pPr>
            <w:r>
              <w:rPr/>
              <w:t> </w:t>
            </w:r>
          </w:p>
        </w:tc>
        <w:tc>
          <w:tcPr>
            <w:tcW w:w="8896" w:type="dxa"/>
            <w:tcBorders/>
            <w:vAlign w:val="center"/>
          </w:tcPr>
          <w:p>
            <w:pPr>
              <w:pStyle w:val="TableContents"/>
              <w:bidi w:val="0"/>
              <w:spacing w:before="0" w:after="283"/>
              <w:jc w:val="both"/>
              <w:rPr/>
            </w:pPr>
            <w:r>
              <w:rPr/>
              <w:t> </w:t>
            </w:r>
          </w:p>
        </w:tc>
        <w:tc>
          <w:tcPr>
            <w:tcW w:w="6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 No.</w:t>
            </w:r>
          </w:p>
        </w:tc>
      </w:tr>
      <w:tr>
        <w:trPr/>
        <w:tc>
          <w:tcPr>
            <w:tcW w:w="639" w:type="dxa"/>
            <w:tcBorders/>
            <w:vAlign w:val="center"/>
          </w:tcPr>
          <w:p>
            <w:pPr>
              <w:pStyle w:val="TableContents"/>
              <w:bidi w:val="0"/>
              <w:spacing w:before="0" w:after="283"/>
              <w:jc w:val="both"/>
              <w:rPr/>
            </w:pPr>
            <w:r>
              <w:rPr/>
              <w:t> </w:t>
            </w:r>
          </w:p>
        </w:tc>
        <w:tc>
          <w:tcPr>
            <w:tcW w:w="8896" w:type="dxa"/>
            <w:tcBorders/>
            <w:vAlign w:val="center"/>
          </w:tcPr>
          <w:p>
            <w:pPr>
              <w:pStyle w:val="TableContents"/>
              <w:bidi w:val="0"/>
              <w:spacing w:before="0" w:after="283"/>
              <w:jc w:val="both"/>
              <w:rPr/>
            </w:pPr>
            <w:r>
              <w:rPr/>
              <w:t> </w:t>
            </w:r>
          </w:p>
        </w:tc>
        <w:tc>
          <w:tcPr>
            <w:tcW w:w="670" w:type="dxa"/>
            <w:tcBorders/>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pPr>
            <w:r>
              <w:rPr/>
              <w:t> </w:t>
            </w:r>
          </w:p>
        </w:tc>
        <w:tc>
          <w:tcPr>
            <w:tcW w:w="8896" w:type="dxa"/>
            <w:tcBorders/>
            <w:shd w:fill="EEEEEE" w:val="clear"/>
            <w:vAlign w:val="center"/>
          </w:tcPr>
          <w:p>
            <w:pPr>
              <w:pStyle w:val="TableContents"/>
              <w:bidi w:val="0"/>
              <w:spacing w:before="0" w:after="283"/>
              <w:jc w:val="center"/>
              <w:rPr/>
            </w:pPr>
            <w:hyperlink w:anchor="q3_018">
              <w:r>
                <w:rPr>
                  <w:rStyle w:val="InternetLink"/>
                  <w:b/>
                  <w:sz w:val="20"/>
                </w:rPr>
                <w:t>PART I. Financial Information</w:t>
              </w:r>
            </w:hyperlink>
          </w:p>
        </w:tc>
        <w:tc>
          <w:tcPr>
            <w:tcW w:w="670" w:type="dxa"/>
            <w:tcBorders/>
            <w:shd w:fill="EEEEEE" w:val="clear"/>
            <w:vAlign w:val="center"/>
          </w:tcPr>
          <w:p>
            <w:pPr>
              <w:pStyle w:val="TableContents"/>
              <w:bidi w:val="0"/>
              <w:spacing w:before="0" w:after="283"/>
              <w:jc w:val="center"/>
              <w:rPr/>
            </w:pPr>
            <w:r>
              <w:rPr/>
              <w:t> </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b/>
                <w:sz w:val="20"/>
              </w:rPr>
            </w:pPr>
            <w:r>
              <w:rPr>
                <w:b/>
                <w:sz w:val="20"/>
              </w:rPr>
              <w:t xml:space="preserve">Item 1. </w:t>
            </w:r>
          </w:p>
        </w:tc>
        <w:tc>
          <w:tcPr>
            <w:tcW w:w="8896" w:type="dxa"/>
            <w:tcBorders/>
            <w:shd w:fill="EEEEEE" w:val="clear"/>
            <w:vAlign w:val="center"/>
          </w:tcPr>
          <w:p>
            <w:pPr>
              <w:pStyle w:val="TableContents"/>
              <w:bidi w:val="0"/>
              <w:spacing w:before="0" w:after="283"/>
              <w:jc w:val="left"/>
              <w:rPr/>
            </w:pPr>
            <w:hyperlink w:anchor="q3_002">
              <w:r>
                <w:rPr>
                  <w:rStyle w:val="InternetLink"/>
                  <w:sz w:val="20"/>
                </w:rPr>
                <w:t>Unaudited Condensed Consolidated Financial Statements</w:t>
              </w:r>
            </w:hyperlink>
          </w:p>
        </w:tc>
        <w:tc>
          <w:tcPr>
            <w:tcW w:w="670" w:type="dxa"/>
            <w:tcBorders/>
            <w:shd w:fill="EEEEEE" w:val="clear"/>
            <w:vAlign w:val="center"/>
          </w:tcPr>
          <w:p>
            <w:pPr>
              <w:pStyle w:val="TableContents"/>
              <w:bidi w:val="0"/>
              <w:spacing w:before="0" w:after="283"/>
              <w:jc w:val="center"/>
              <w:rPr/>
            </w:pPr>
            <w:r>
              <w:rPr/>
              <w:t>3</w:t>
            </w:r>
          </w:p>
        </w:tc>
      </w:tr>
      <w:tr>
        <w:trPr/>
        <w:tc>
          <w:tcPr>
            <w:tcW w:w="639" w:type="dxa"/>
            <w:tcBorders/>
            <w:shd w:fill="FFFFFF" w:val="clear"/>
            <w:vAlign w:val="center"/>
          </w:tcPr>
          <w:p>
            <w:pPr>
              <w:pStyle w:val="TableContents"/>
              <w:bidi w:val="0"/>
              <w:spacing w:before="0" w:after="283"/>
              <w:jc w:val="center"/>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pPr>
            <w:r>
              <w:rPr/>
              <w:t> </w:t>
            </w:r>
          </w:p>
        </w:tc>
        <w:tc>
          <w:tcPr>
            <w:tcW w:w="8896" w:type="dxa"/>
            <w:tcBorders/>
            <w:shd w:fill="EEEEEE" w:val="clear"/>
            <w:vAlign w:val="center"/>
          </w:tcPr>
          <w:p>
            <w:pPr>
              <w:pStyle w:val="TableContents"/>
              <w:bidi w:val="0"/>
              <w:spacing w:before="0" w:after="283"/>
              <w:jc w:val="left"/>
              <w:rPr/>
            </w:pPr>
            <w:hyperlink w:anchor="q3_002">
              <w:r>
                <w:rPr>
                  <w:rStyle w:val="InternetLink"/>
                  <w:sz w:val="20"/>
                </w:rPr>
                <w:t>Unaudited Condensed Consolidated Balance Sheets as of March 31, 2026 and June 30, 2025</w:t>
              </w:r>
            </w:hyperlink>
          </w:p>
        </w:tc>
        <w:tc>
          <w:tcPr>
            <w:tcW w:w="670" w:type="dxa"/>
            <w:tcBorders/>
            <w:shd w:fill="EEEEEE" w:val="clear"/>
            <w:vAlign w:val="center"/>
          </w:tcPr>
          <w:p>
            <w:pPr>
              <w:pStyle w:val="TableContents"/>
              <w:bidi w:val="0"/>
              <w:spacing w:before="0" w:after="283"/>
              <w:jc w:val="center"/>
              <w:rPr/>
            </w:pPr>
            <w:r>
              <w:rPr/>
              <w:t>4</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pPr>
            <w:r>
              <w:rPr/>
              <w:t> </w:t>
            </w:r>
          </w:p>
        </w:tc>
        <w:tc>
          <w:tcPr>
            <w:tcW w:w="8896" w:type="dxa"/>
            <w:tcBorders/>
            <w:shd w:fill="EEEEEE" w:val="clear"/>
            <w:vAlign w:val="center"/>
          </w:tcPr>
          <w:p>
            <w:pPr>
              <w:pStyle w:val="TableContents"/>
              <w:bidi w:val="0"/>
              <w:spacing w:before="0" w:after="283"/>
              <w:jc w:val="left"/>
              <w:rPr/>
            </w:pPr>
            <w:hyperlink w:anchor="q3_003">
              <w:r>
                <w:rPr>
                  <w:rStyle w:val="InternetLink"/>
                  <w:sz w:val="20"/>
                </w:rPr>
                <w:t>Unaudited Condensed Consolidated Statements of Operations and Comprehensive Income (Loss) for the three and nine months ended March 31, 2026 and 2025</w:t>
              </w:r>
            </w:hyperlink>
          </w:p>
        </w:tc>
        <w:tc>
          <w:tcPr>
            <w:tcW w:w="670" w:type="dxa"/>
            <w:tcBorders/>
            <w:shd w:fill="EEEEEE" w:val="clear"/>
            <w:vAlign w:val="center"/>
          </w:tcPr>
          <w:p>
            <w:pPr>
              <w:pStyle w:val="TableContents"/>
              <w:bidi w:val="0"/>
              <w:spacing w:before="0" w:after="283"/>
              <w:jc w:val="center"/>
              <w:rPr/>
            </w:pPr>
            <w:r>
              <w:rPr/>
              <w:t>5</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pPr>
            <w:r>
              <w:rPr/>
              <w:t> </w:t>
            </w:r>
          </w:p>
        </w:tc>
        <w:tc>
          <w:tcPr>
            <w:tcW w:w="8896" w:type="dxa"/>
            <w:tcBorders/>
            <w:shd w:fill="EEEEEE" w:val="clear"/>
            <w:vAlign w:val="center"/>
          </w:tcPr>
          <w:p>
            <w:pPr>
              <w:pStyle w:val="TableContents"/>
              <w:bidi w:val="0"/>
              <w:spacing w:before="0" w:after="283"/>
              <w:jc w:val="left"/>
              <w:rPr/>
            </w:pPr>
            <w:hyperlink w:anchor="q3_004">
              <w:r>
                <w:rPr>
                  <w:rStyle w:val="InternetLink"/>
                  <w:sz w:val="20"/>
                  <w:u w:val="single"/>
                </w:rPr>
                <w:t>Unaudited Condensed Consolidated Statements of Changes in Stockholders’ Equity for the three and nine months ended March 31, 2026 and 2025</w:t>
              </w:r>
            </w:hyperlink>
          </w:p>
        </w:tc>
        <w:tc>
          <w:tcPr>
            <w:tcW w:w="670" w:type="dxa"/>
            <w:tcBorders/>
            <w:shd w:fill="EEEEEE" w:val="clear"/>
            <w:vAlign w:val="center"/>
          </w:tcPr>
          <w:p>
            <w:pPr>
              <w:pStyle w:val="TableContents"/>
              <w:bidi w:val="0"/>
              <w:spacing w:before="0" w:after="283"/>
              <w:jc w:val="center"/>
              <w:rPr/>
            </w:pPr>
            <w:r>
              <w:rPr/>
              <w:t>6</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pPr>
            <w:r>
              <w:rPr/>
              <w:t> </w:t>
            </w:r>
          </w:p>
        </w:tc>
        <w:tc>
          <w:tcPr>
            <w:tcW w:w="8896" w:type="dxa"/>
            <w:tcBorders/>
            <w:shd w:fill="EEEEEE" w:val="clear"/>
            <w:vAlign w:val="center"/>
          </w:tcPr>
          <w:p>
            <w:pPr>
              <w:pStyle w:val="TableContents"/>
              <w:bidi w:val="0"/>
              <w:spacing w:before="0" w:after="283"/>
              <w:jc w:val="left"/>
              <w:rPr/>
            </w:pPr>
            <w:hyperlink w:anchor="q3_005">
              <w:r>
                <w:rPr>
                  <w:rStyle w:val="InternetLink"/>
                  <w:sz w:val="20"/>
                </w:rPr>
                <w:t>Unaudited Condensed Consolidated Statements of Cash Flows for the nine months ended March 31, 2026 and 2025</w:t>
              </w:r>
            </w:hyperlink>
          </w:p>
        </w:tc>
        <w:tc>
          <w:tcPr>
            <w:tcW w:w="670" w:type="dxa"/>
            <w:tcBorders/>
            <w:shd w:fill="EEEEEE" w:val="clear"/>
            <w:vAlign w:val="center"/>
          </w:tcPr>
          <w:p>
            <w:pPr>
              <w:pStyle w:val="TableContents"/>
              <w:bidi w:val="0"/>
              <w:spacing w:before="0" w:after="283"/>
              <w:jc w:val="center"/>
              <w:rPr/>
            </w:pPr>
            <w:r>
              <w:rPr/>
              <w:t>7</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pPr>
            <w:r>
              <w:rPr/>
              <w:t> </w:t>
            </w:r>
          </w:p>
        </w:tc>
        <w:tc>
          <w:tcPr>
            <w:tcW w:w="8896" w:type="dxa"/>
            <w:tcBorders/>
            <w:shd w:fill="EEEEEE" w:val="clear"/>
            <w:vAlign w:val="center"/>
          </w:tcPr>
          <w:p>
            <w:pPr>
              <w:pStyle w:val="TableContents"/>
              <w:bidi w:val="0"/>
              <w:spacing w:before="0" w:after="283"/>
              <w:jc w:val="both"/>
              <w:rPr/>
            </w:pPr>
            <w:hyperlink w:anchor="q3_006">
              <w:r>
                <w:rPr>
                  <w:rStyle w:val="InternetLink"/>
                  <w:sz w:val="20"/>
                </w:rPr>
                <w:t>Notes to Unaudited Condensed Consolidated Financial Statements</w:t>
              </w:r>
            </w:hyperlink>
          </w:p>
        </w:tc>
        <w:tc>
          <w:tcPr>
            <w:tcW w:w="670" w:type="dxa"/>
            <w:tcBorders/>
            <w:shd w:fill="EEEEEE" w:val="clear"/>
            <w:vAlign w:val="center"/>
          </w:tcPr>
          <w:p>
            <w:pPr>
              <w:pStyle w:val="TableContents"/>
              <w:bidi w:val="0"/>
              <w:spacing w:before="0" w:after="283"/>
              <w:jc w:val="center"/>
              <w:rPr/>
            </w:pPr>
            <w:r>
              <w:rPr/>
              <w:t>8</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b/>
                <w:sz w:val="20"/>
              </w:rPr>
            </w:pPr>
            <w:r>
              <w:rPr>
                <w:b/>
                <w:sz w:val="20"/>
              </w:rPr>
              <w:t>Item 2.</w:t>
            </w:r>
          </w:p>
        </w:tc>
        <w:tc>
          <w:tcPr>
            <w:tcW w:w="8896" w:type="dxa"/>
            <w:tcBorders/>
            <w:shd w:fill="EEEEEE" w:val="clear"/>
            <w:vAlign w:val="center"/>
          </w:tcPr>
          <w:p>
            <w:pPr>
              <w:pStyle w:val="TableContents"/>
              <w:bidi w:val="0"/>
              <w:spacing w:before="0" w:after="283"/>
              <w:jc w:val="left"/>
              <w:rPr/>
            </w:pPr>
            <w:hyperlink w:anchor="q3_007">
              <w:r>
                <w:rPr>
                  <w:rStyle w:val="InternetLink"/>
                  <w:sz w:val="20"/>
                </w:rPr>
                <w:t>Management’s Discussion and Analysis of Financial Condition and Results of Operations</w:t>
              </w:r>
            </w:hyperlink>
          </w:p>
        </w:tc>
        <w:tc>
          <w:tcPr>
            <w:tcW w:w="670" w:type="dxa"/>
            <w:tcBorders/>
            <w:shd w:fill="EEEEEE" w:val="clear"/>
            <w:vAlign w:val="center"/>
          </w:tcPr>
          <w:p>
            <w:pPr>
              <w:pStyle w:val="TableContents"/>
              <w:bidi w:val="0"/>
              <w:spacing w:before="0" w:after="283"/>
              <w:jc w:val="center"/>
              <w:rPr/>
            </w:pPr>
            <w:r>
              <w:rPr/>
              <w:t>40</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b/>
                <w:sz w:val="20"/>
              </w:rPr>
            </w:pPr>
            <w:r>
              <w:rPr>
                <w:b/>
                <w:sz w:val="20"/>
              </w:rPr>
              <w:t>Item 3.</w:t>
            </w:r>
          </w:p>
        </w:tc>
        <w:tc>
          <w:tcPr>
            <w:tcW w:w="8896" w:type="dxa"/>
            <w:tcBorders/>
            <w:shd w:fill="EEEEEE" w:val="clear"/>
            <w:vAlign w:val="center"/>
          </w:tcPr>
          <w:p>
            <w:pPr>
              <w:pStyle w:val="TableContents"/>
              <w:bidi w:val="0"/>
              <w:spacing w:before="0" w:after="283"/>
              <w:jc w:val="both"/>
              <w:rPr/>
            </w:pPr>
            <w:hyperlink w:anchor="q3_008">
              <w:r>
                <w:rPr>
                  <w:rStyle w:val="InternetLink"/>
                  <w:sz w:val="20"/>
                </w:rPr>
                <w:t>Quantitative and Qualitative Disclosures About Market Risk</w:t>
              </w:r>
            </w:hyperlink>
          </w:p>
        </w:tc>
        <w:tc>
          <w:tcPr>
            <w:tcW w:w="670" w:type="dxa"/>
            <w:tcBorders/>
            <w:shd w:fill="EEEEEE" w:val="clear"/>
            <w:vAlign w:val="center"/>
          </w:tcPr>
          <w:p>
            <w:pPr>
              <w:pStyle w:val="TableContents"/>
              <w:bidi w:val="0"/>
              <w:spacing w:before="0" w:after="283"/>
              <w:jc w:val="center"/>
              <w:rPr/>
            </w:pPr>
            <w:r>
              <w:rPr/>
              <w:t>54</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b/>
                <w:sz w:val="20"/>
              </w:rPr>
            </w:pPr>
            <w:r>
              <w:rPr>
                <w:b/>
                <w:sz w:val="20"/>
              </w:rPr>
              <w:t>Item 4.</w:t>
            </w:r>
          </w:p>
        </w:tc>
        <w:tc>
          <w:tcPr>
            <w:tcW w:w="8896" w:type="dxa"/>
            <w:tcBorders/>
            <w:shd w:fill="EEEEEE" w:val="clear"/>
            <w:vAlign w:val="center"/>
          </w:tcPr>
          <w:p>
            <w:pPr>
              <w:pStyle w:val="TableContents"/>
              <w:bidi w:val="0"/>
              <w:spacing w:before="0" w:after="283"/>
              <w:jc w:val="both"/>
              <w:rPr/>
            </w:pPr>
            <w:hyperlink w:anchor="q3_009">
              <w:r>
                <w:rPr>
                  <w:rStyle w:val="InternetLink"/>
                  <w:sz w:val="20"/>
                </w:rPr>
                <w:t>Controls and Procedures</w:t>
              </w:r>
            </w:hyperlink>
          </w:p>
        </w:tc>
        <w:tc>
          <w:tcPr>
            <w:tcW w:w="670" w:type="dxa"/>
            <w:tcBorders/>
            <w:shd w:fill="EEEEEE" w:val="clear"/>
            <w:vAlign w:val="center"/>
          </w:tcPr>
          <w:p>
            <w:pPr>
              <w:pStyle w:val="TableContents"/>
              <w:bidi w:val="0"/>
              <w:spacing w:before="0" w:after="283"/>
              <w:jc w:val="center"/>
              <w:rPr/>
            </w:pPr>
            <w:r>
              <w:rPr/>
              <w:t>54</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pPr>
            <w:r>
              <w:rPr/>
              <w:t> </w:t>
            </w:r>
          </w:p>
        </w:tc>
        <w:tc>
          <w:tcPr>
            <w:tcW w:w="8896" w:type="dxa"/>
            <w:tcBorders/>
            <w:shd w:fill="EEEEEE" w:val="clear"/>
            <w:vAlign w:val="center"/>
          </w:tcPr>
          <w:p>
            <w:pPr>
              <w:pStyle w:val="TableContents"/>
              <w:bidi w:val="0"/>
              <w:spacing w:before="0" w:after="283"/>
              <w:jc w:val="center"/>
              <w:rPr/>
            </w:pPr>
            <w:hyperlink w:anchor="q3_010">
              <w:r>
                <w:rPr>
                  <w:rStyle w:val="InternetLink"/>
                  <w:b/>
                  <w:sz w:val="20"/>
                </w:rPr>
                <w:t>PART II. Other Information</w:t>
              </w:r>
            </w:hyperlink>
          </w:p>
        </w:tc>
        <w:tc>
          <w:tcPr>
            <w:tcW w:w="670" w:type="dxa"/>
            <w:tcBorders/>
            <w:shd w:fill="EEEEEE" w:val="clear"/>
            <w:vAlign w:val="center"/>
          </w:tcPr>
          <w:p>
            <w:pPr>
              <w:pStyle w:val="TableContents"/>
              <w:bidi w:val="0"/>
              <w:spacing w:before="0" w:after="283"/>
              <w:jc w:val="center"/>
              <w:rPr/>
            </w:pPr>
            <w:r>
              <w:rPr/>
              <w:t> </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b/>
                <w:sz w:val="20"/>
              </w:rPr>
            </w:pPr>
            <w:r>
              <w:rPr>
                <w:b/>
                <w:sz w:val="20"/>
              </w:rPr>
              <w:t>Item 1.</w:t>
            </w:r>
          </w:p>
        </w:tc>
        <w:tc>
          <w:tcPr>
            <w:tcW w:w="8896" w:type="dxa"/>
            <w:tcBorders/>
            <w:shd w:fill="EEEEEE" w:val="clear"/>
            <w:vAlign w:val="center"/>
          </w:tcPr>
          <w:p>
            <w:pPr>
              <w:pStyle w:val="TableContents"/>
              <w:bidi w:val="0"/>
              <w:spacing w:before="0" w:after="283"/>
              <w:jc w:val="both"/>
              <w:rPr/>
            </w:pPr>
            <w:hyperlink w:anchor="q3_011">
              <w:r>
                <w:rPr>
                  <w:rStyle w:val="InternetLink"/>
                  <w:sz w:val="20"/>
                </w:rPr>
                <w:t>Legal Proceedings</w:t>
              </w:r>
            </w:hyperlink>
          </w:p>
        </w:tc>
        <w:tc>
          <w:tcPr>
            <w:tcW w:w="670" w:type="dxa"/>
            <w:tcBorders/>
            <w:shd w:fill="EEEEEE" w:val="clear"/>
            <w:vAlign w:val="center"/>
          </w:tcPr>
          <w:p>
            <w:pPr>
              <w:pStyle w:val="TableContents"/>
              <w:bidi w:val="0"/>
              <w:spacing w:before="0" w:after="283"/>
              <w:jc w:val="center"/>
              <w:rPr/>
            </w:pPr>
            <w:r>
              <w:rPr/>
              <w:t>55</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b/>
                <w:sz w:val="20"/>
              </w:rPr>
            </w:pPr>
            <w:r>
              <w:rPr>
                <w:b/>
                <w:sz w:val="20"/>
              </w:rPr>
              <w:t>Item 1A.</w:t>
            </w:r>
          </w:p>
        </w:tc>
        <w:tc>
          <w:tcPr>
            <w:tcW w:w="8896" w:type="dxa"/>
            <w:tcBorders/>
            <w:shd w:fill="EEEEEE" w:val="clear"/>
            <w:vAlign w:val="center"/>
          </w:tcPr>
          <w:p>
            <w:pPr>
              <w:pStyle w:val="TableContents"/>
              <w:bidi w:val="0"/>
              <w:spacing w:before="0" w:after="283"/>
              <w:jc w:val="both"/>
              <w:rPr/>
            </w:pPr>
            <w:hyperlink w:anchor="q3_012">
              <w:r>
                <w:rPr>
                  <w:rStyle w:val="InternetLink"/>
                  <w:sz w:val="20"/>
                </w:rPr>
                <w:t>Risk Factors</w:t>
              </w:r>
            </w:hyperlink>
          </w:p>
        </w:tc>
        <w:tc>
          <w:tcPr>
            <w:tcW w:w="670" w:type="dxa"/>
            <w:tcBorders/>
            <w:shd w:fill="EEEEEE" w:val="clear"/>
            <w:vAlign w:val="center"/>
          </w:tcPr>
          <w:p>
            <w:pPr>
              <w:pStyle w:val="TableContents"/>
              <w:bidi w:val="0"/>
              <w:spacing w:before="0" w:after="283"/>
              <w:jc w:val="center"/>
              <w:rPr/>
            </w:pPr>
            <w:r>
              <w:rPr/>
              <w:t>55</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b/>
                <w:sz w:val="20"/>
              </w:rPr>
            </w:pPr>
            <w:r>
              <w:rPr>
                <w:b/>
                <w:sz w:val="20"/>
              </w:rPr>
              <w:t>Item 2.</w:t>
            </w:r>
          </w:p>
        </w:tc>
        <w:tc>
          <w:tcPr>
            <w:tcW w:w="8896" w:type="dxa"/>
            <w:tcBorders/>
            <w:shd w:fill="EEEEEE" w:val="clear"/>
            <w:vAlign w:val="center"/>
          </w:tcPr>
          <w:p>
            <w:pPr>
              <w:pStyle w:val="TableContents"/>
              <w:bidi w:val="0"/>
              <w:spacing w:before="0" w:after="283"/>
              <w:jc w:val="both"/>
              <w:rPr/>
            </w:pPr>
            <w:hyperlink w:anchor="q3_013">
              <w:r>
                <w:rPr>
                  <w:rStyle w:val="InternetLink"/>
                  <w:sz w:val="20"/>
                </w:rPr>
                <w:t>Unregistered Sale of Equity Securities and Use of Proceeds</w:t>
              </w:r>
            </w:hyperlink>
          </w:p>
        </w:tc>
        <w:tc>
          <w:tcPr>
            <w:tcW w:w="670" w:type="dxa"/>
            <w:tcBorders/>
            <w:shd w:fill="EEEEEE" w:val="clear"/>
            <w:vAlign w:val="center"/>
          </w:tcPr>
          <w:p>
            <w:pPr>
              <w:pStyle w:val="TableContents"/>
              <w:bidi w:val="0"/>
              <w:spacing w:before="0" w:after="283"/>
              <w:jc w:val="center"/>
              <w:rPr/>
            </w:pPr>
            <w:r>
              <w:rPr/>
              <w:t>55</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b/>
                <w:sz w:val="20"/>
              </w:rPr>
            </w:pPr>
            <w:r>
              <w:rPr>
                <w:b/>
                <w:sz w:val="20"/>
              </w:rPr>
              <w:t>Item 3.</w:t>
            </w:r>
          </w:p>
        </w:tc>
        <w:tc>
          <w:tcPr>
            <w:tcW w:w="8896" w:type="dxa"/>
            <w:tcBorders/>
            <w:shd w:fill="EEEEEE" w:val="clear"/>
            <w:vAlign w:val="center"/>
          </w:tcPr>
          <w:p>
            <w:pPr>
              <w:pStyle w:val="TableContents"/>
              <w:bidi w:val="0"/>
              <w:spacing w:before="0" w:after="283"/>
              <w:jc w:val="both"/>
              <w:rPr/>
            </w:pPr>
            <w:hyperlink w:anchor="q3_014">
              <w:r>
                <w:rPr>
                  <w:rStyle w:val="InternetLink"/>
                  <w:sz w:val="20"/>
                </w:rPr>
                <w:t>Defaults Upon Senior Securities</w:t>
              </w:r>
            </w:hyperlink>
          </w:p>
        </w:tc>
        <w:tc>
          <w:tcPr>
            <w:tcW w:w="670" w:type="dxa"/>
            <w:tcBorders/>
            <w:shd w:fill="EEEEEE" w:val="clear"/>
            <w:vAlign w:val="center"/>
          </w:tcPr>
          <w:p>
            <w:pPr>
              <w:pStyle w:val="TableContents"/>
              <w:bidi w:val="0"/>
              <w:spacing w:before="0" w:after="283"/>
              <w:jc w:val="center"/>
              <w:rPr/>
            </w:pPr>
            <w:r>
              <w:rPr/>
              <w:t>55</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b/>
                <w:sz w:val="20"/>
              </w:rPr>
            </w:pPr>
            <w:r>
              <w:rPr>
                <w:b/>
                <w:sz w:val="20"/>
              </w:rPr>
              <w:t>Item 4.</w:t>
            </w:r>
          </w:p>
        </w:tc>
        <w:tc>
          <w:tcPr>
            <w:tcW w:w="8896" w:type="dxa"/>
            <w:tcBorders/>
            <w:shd w:fill="EEEEEE" w:val="clear"/>
            <w:vAlign w:val="center"/>
          </w:tcPr>
          <w:p>
            <w:pPr>
              <w:pStyle w:val="TableContents"/>
              <w:bidi w:val="0"/>
              <w:spacing w:before="0" w:after="283"/>
              <w:jc w:val="both"/>
              <w:rPr/>
            </w:pPr>
            <w:hyperlink w:anchor="q3_015">
              <w:r>
                <w:rPr>
                  <w:rStyle w:val="InternetLink"/>
                  <w:sz w:val="20"/>
                </w:rPr>
                <w:t>Mine Safety Disclosures</w:t>
              </w:r>
            </w:hyperlink>
          </w:p>
        </w:tc>
        <w:tc>
          <w:tcPr>
            <w:tcW w:w="670" w:type="dxa"/>
            <w:tcBorders/>
            <w:shd w:fill="EEEEEE" w:val="clear"/>
            <w:vAlign w:val="center"/>
          </w:tcPr>
          <w:p>
            <w:pPr>
              <w:pStyle w:val="TableContents"/>
              <w:bidi w:val="0"/>
              <w:spacing w:before="0" w:after="283"/>
              <w:jc w:val="center"/>
              <w:rPr/>
            </w:pPr>
            <w:r>
              <w:rPr/>
              <w:t>55</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b/>
                <w:sz w:val="20"/>
              </w:rPr>
            </w:pPr>
            <w:r>
              <w:rPr>
                <w:b/>
                <w:sz w:val="20"/>
              </w:rPr>
              <w:t>Item 5.</w:t>
            </w:r>
          </w:p>
        </w:tc>
        <w:tc>
          <w:tcPr>
            <w:tcW w:w="8896" w:type="dxa"/>
            <w:tcBorders/>
            <w:shd w:fill="EEEEEE" w:val="clear"/>
            <w:vAlign w:val="center"/>
          </w:tcPr>
          <w:p>
            <w:pPr>
              <w:pStyle w:val="TableContents"/>
              <w:bidi w:val="0"/>
              <w:spacing w:before="0" w:after="283"/>
              <w:jc w:val="both"/>
              <w:rPr/>
            </w:pPr>
            <w:hyperlink w:anchor="q3_016">
              <w:r>
                <w:rPr>
                  <w:rStyle w:val="InternetLink"/>
                  <w:sz w:val="20"/>
                </w:rPr>
                <w:t>Other Information</w:t>
              </w:r>
            </w:hyperlink>
          </w:p>
        </w:tc>
        <w:tc>
          <w:tcPr>
            <w:tcW w:w="670" w:type="dxa"/>
            <w:tcBorders/>
            <w:shd w:fill="EEEEEE" w:val="clear"/>
            <w:vAlign w:val="center"/>
          </w:tcPr>
          <w:p>
            <w:pPr>
              <w:pStyle w:val="TableContents"/>
              <w:bidi w:val="0"/>
              <w:spacing w:before="0" w:after="283"/>
              <w:jc w:val="center"/>
              <w:rPr/>
            </w:pPr>
            <w:r>
              <w:rPr/>
              <w:t>55</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b/>
                <w:sz w:val="20"/>
              </w:rPr>
            </w:pPr>
            <w:r>
              <w:rPr>
                <w:b/>
                <w:sz w:val="20"/>
              </w:rPr>
              <w:t>Item 6.</w:t>
            </w:r>
          </w:p>
        </w:tc>
        <w:tc>
          <w:tcPr>
            <w:tcW w:w="8896" w:type="dxa"/>
            <w:tcBorders/>
            <w:shd w:fill="EEEEEE" w:val="clear"/>
            <w:vAlign w:val="center"/>
          </w:tcPr>
          <w:p>
            <w:pPr>
              <w:pStyle w:val="TableContents"/>
              <w:bidi w:val="0"/>
              <w:spacing w:before="0" w:after="283"/>
              <w:jc w:val="both"/>
              <w:rPr/>
            </w:pPr>
            <w:hyperlink w:anchor="q3_017">
              <w:r>
                <w:rPr>
                  <w:rStyle w:val="InternetLink"/>
                  <w:sz w:val="20"/>
                </w:rPr>
                <w:t>Exhibits</w:t>
              </w:r>
            </w:hyperlink>
          </w:p>
        </w:tc>
        <w:tc>
          <w:tcPr>
            <w:tcW w:w="670" w:type="dxa"/>
            <w:tcBorders/>
            <w:shd w:fill="EEEEEE" w:val="clear"/>
            <w:vAlign w:val="center"/>
          </w:tcPr>
          <w:p>
            <w:pPr>
              <w:pStyle w:val="TableContents"/>
              <w:bidi w:val="0"/>
              <w:spacing w:before="0" w:after="283"/>
              <w:jc w:val="center"/>
              <w:rPr/>
            </w:pPr>
            <w:r>
              <w:rPr/>
              <w:t>56</w:t>
            </w:r>
          </w:p>
        </w:tc>
      </w:tr>
      <w:tr>
        <w:trPr/>
        <w:tc>
          <w:tcPr>
            <w:tcW w:w="639" w:type="dxa"/>
            <w:tcBorders/>
            <w:shd w:fill="FFFFFF" w:val="clear"/>
            <w:vAlign w:val="center"/>
          </w:tcPr>
          <w:p>
            <w:pPr>
              <w:pStyle w:val="TableContents"/>
              <w:bidi w:val="0"/>
              <w:spacing w:before="0" w:after="283"/>
              <w:jc w:val="both"/>
              <w:rPr/>
            </w:pPr>
            <w:r>
              <w:rPr/>
              <w:t> </w:t>
            </w:r>
          </w:p>
        </w:tc>
        <w:tc>
          <w:tcPr>
            <w:tcW w:w="8896"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639" w:type="dxa"/>
            <w:tcBorders/>
            <w:shd w:fill="EEEEEE" w:val="clear"/>
            <w:vAlign w:val="center"/>
          </w:tcPr>
          <w:p>
            <w:pPr>
              <w:pStyle w:val="TableContents"/>
              <w:bidi w:val="0"/>
              <w:spacing w:before="0" w:after="283"/>
              <w:jc w:val="both"/>
              <w:rPr/>
            </w:pPr>
            <w:r>
              <w:rPr/>
              <w:t> </w:t>
            </w:r>
          </w:p>
        </w:tc>
        <w:tc>
          <w:tcPr>
            <w:tcW w:w="8896" w:type="dxa"/>
            <w:tcBorders/>
            <w:shd w:fill="EEEEEE" w:val="clear"/>
            <w:vAlign w:val="center"/>
          </w:tcPr>
          <w:p>
            <w:pPr>
              <w:pStyle w:val="TableContents"/>
              <w:bidi w:val="0"/>
              <w:spacing w:before="0" w:after="283"/>
              <w:jc w:val="both"/>
              <w:rPr/>
            </w:pPr>
            <w:hyperlink w:anchor="q3_020">
              <w:r>
                <w:rPr>
                  <w:rStyle w:val="InternetLink"/>
                  <w:sz w:val="20"/>
                </w:rPr>
                <w:t>Signatures</w:t>
              </w:r>
            </w:hyperlink>
          </w:p>
        </w:tc>
        <w:tc>
          <w:tcPr>
            <w:tcW w:w="670" w:type="dxa"/>
            <w:tcBorders/>
            <w:shd w:fill="EEEEEE" w:val="clear"/>
            <w:vAlign w:val="center"/>
          </w:tcPr>
          <w:p>
            <w:pPr>
              <w:pStyle w:val="TableContents"/>
              <w:bidi w:val="0"/>
              <w:spacing w:before="0" w:after="283"/>
              <w:jc w:val="center"/>
              <w:rPr/>
            </w:pPr>
            <w:r>
              <w:rPr/>
              <w:t>57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q3_018"/>
      <w:bookmarkEnd w:id="28"/>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q3_019"/>
      <w:bookmarkEnd w:id="29"/>
      <w:r>
        <w:rPr>
          <w:rFonts w:ascii="Times New Roman;Times;Serif" w:hAnsi="Times New Roman;Times;Serif"/>
          <w:b/>
          <w:i w:val="false"/>
          <w:caps w:val="false"/>
          <w:smallCaps w:val="false"/>
          <w:sz w:val="20"/>
        </w:rPr>
        <w:t>ITEM 1.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30" w:name="q3_002"/>
      <w:bookmarkEnd w:id="30"/>
      <w:r>
        <w:rPr>
          <w:rFonts w:ascii="Times New Roman;Times;Serif" w:hAnsi="Times New Roman;Times;Serif"/>
          <w:b w:val="false"/>
          <w:i w:val="false"/>
          <w:caps w:val="false"/>
          <w:smallCaps w:val="false"/>
          <w:sz w:val="20"/>
        </w:rPr>
        <w:t>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June 30, 2025</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7_111_z17dsUaU0BYi"/>
      <w:bookmarkStart w:id="32" w:name="xdx_307_111_z17dsUaU0BYi"/>
      <w:bookmarkEnd w:id="32"/>
    </w:p>
    <w:tbl>
      <w:tblPr>
        <w:tblW w:w="10205" w:type="dxa"/>
        <w:jc w:val="left"/>
        <w:tblInd w:w="0" w:type="dxa"/>
        <w:tblLayout w:type="fixed"/>
        <w:tblCellMar>
          <w:top w:w="0" w:type="dxa"/>
          <w:left w:w="0" w:type="dxa"/>
          <w:bottom w:w="0" w:type="dxa"/>
          <w:right w:w="0" w:type="dxa"/>
        </w:tblCellMar>
      </w:tblPr>
      <w:tblGrid>
        <w:gridCol w:w="7820"/>
        <w:gridCol w:w="60"/>
        <w:gridCol w:w="110"/>
        <w:gridCol w:w="890"/>
        <w:gridCol w:w="80"/>
        <w:gridCol w:w="60"/>
        <w:gridCol w:w="110"/>
        <w:gridCol w:w="980"/>
        <w:gridCol w:w="95"/>
      </w:tblGrid>
      <w:tr>
        <w:trPr/>
        <w:tc>
          <w:tcPr>
            <w:tcW w:w="7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33" w:name="xdx_492_20260331_z4KA6aPjbGAa"/>
            <w:bookmarkEnd w:id="33"/>
          </w:p>
        </w:tc>
        <w:tc>
          <w:tcPr>
            <w:tcW w:w="8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34" w:name="xdx_499_20250630_zG3HsWHQKnxf"/>
            <w:bookmarkEnd w:id="34"/>
          </w:p>
        </w:tc>
        <w:tc>
          <w:tcPr>
            <w:tcW w:w="980"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0" w:type="dxa"/>
            <w:gridSpan w:val="3"/>
            <w:tcBorders/>
            <w:vAlign w:val="center"/>
          </w:tcPr>
          <w:p>
            <w:pPr>
              <w:pStyle w:val="TableContents"/>
              <w:bidi w:val="0"/>
              <w:spacing w:before="0" w:after="283"/>
              <w:jc w:val="center"/>
              <w:rPr>
                <w:b/>
                <w:sz w:val="18"/>
              </w:rPr>
            </w:pPr>
            <w:r>
              <w:rPr>
                <w:b/>
                <w:sz w:val="18"/>
              </w:rPr>
              <w:t>March 31,</w:t>
            </w:r>
          </w:p>
        </w:tc>
        <w:tc>
          <w:tcPr>
            <w:tcW w:w="60" w:type="dxa"/>
            <w:tcBorders/>
            <w:vAlign w:val="center"/>
          </w:tcPr>
          <w:p>
            <w:pPr>
              <w:pStyle w:val="TableContents"/>
              <w:bidi w:val="0"/>
              <w:spacing w:before="0" w:after="283"/>
              <w:jc w:val="left"/>
              <w:rPr/>
            </w:pPr>
            <w:r>
              <w:rPr/>
              <w:t> </w:t>
            </w:r>
          </w:p>
        </w:tc>
        <w:tc>
          <w:tcPr>
            <w:tcW w:w="1185" w:type="dxa"/>
            <w:gridSpan w:val="3"/>
            <w:tcBorders/>
            <w:vAlign w:val="center"/>
          </w:tcPr>
          <w:p>
            <w:pPr>
              <w:pStyle w:val="TableContents"/>
              <w:bidi w:val="0"/>
              <w:spacing w:before="0" w:after="283"/>
              <w:jc w:val="center"/>
              <w:rPr>
                <w:b/>
                <w:sz w:val="18"/>
              </w:rPr>
            </w:pPr>
            <w:r>
              <w:rPr>
                <w:b/>
                <w:sz w:val="18"/>
              </w:rPr>
              <w:t>June 30,</w:t>
            </w:r>
          </w:p>
        </w:tc>
      </w:tr>
      <w:tr>
        <w:trPr/>
        <w:tc>
          <w:tcPr>
            <w:tcW w:w="78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80" w:type="dxa"/>
            <w:gridSpan w:val="3"/>
            <w:tcBorders>
              <w:bottom w:val="single" w:sz="8" w:space="0" w:color="000000"/>
            </w:tcBorders>
            <w:tcMar>
              <w:bottom w:w="28" w:type="dxa"/>
            </w:tcMar>
            <w:vAlign w:val="center"/>
          </w:tcPr>
          <w:p>
            <w:pPr>
              <w:pStyle w:val="TableContents"/>
              <w:bidi w:val="0"/>
              <w:spacing w:before="0" w:after="283"/>
              <w:jc w:val="center"/>
              <w:rPr>
                <w:b/>
                <w:sz w:val="18"/>
              </w:rPr>
            </w:pPr>
            <w:r>
              <w:rPr>
                <w:b/>
                <w:sz w:val="18"/>
              </w:rPr>
              <w:t>2026</w:t>
            </w:r>
          </w:p>
        </w:tc>
        <w:tc>
          <w:tcPr>
            <w:tcW w:w="60" w:type="dxa"/>
            <w:tcBorders/>
            <w:vAlign w:val="center"/>
          </w:tcPr>
          <w:p>
            <w:pPr>
              <w:pStyle w:val="TableContents"/>
              <w:bidi w:val="0"/>
              <w:spacing w:before="0" w:after="283"/>
              <w:jc w:val="left"/>
              <w:rPr/>
            </w:pPr>
            <w:r>
              <w:rPr/>
              <w:t> </w:t>
            </w:r>
          </w:p>
        </w:tc>
        <w:tc>
          <w:tcPr>
            <w:tcW w:w="1185" w:type="dxa"/>
            <w:gridSpan w:val="3"/>
            <w:tcBorders>
              <w:bottom w:val="single" w:sz="8" w:space="0" w:color="000000"/>
            </w:tcBorders>
            <w:tcMar>
              <w:bottom w:w="28" w:type="dxa"/>
            </w:tcMar>
            <w:vAlign w:val="center"/>
          </w:tcPr>
          <w:p>
            <w:pPr>
              <w:pStyle w:val="TableContents"/>
              <w:bidi w:val="0"/>
              <w:spacing w:before="0" w:after="283"/>
              <w:jc w:val="center"/>
              <w:rPr>
                <w:b/>
                <w:sz w:val="18"/>
              </w:rPr>
            </w:pPr>
            <w:r>
              <w:rPr>
                <w:b/>
                <w:sz w:val="18"/>
              </w:rPr>
              <w:t>2025</w:t>
            </w:r>
          </w:p>
        </w:tc>
      </w:tr>
      <w:tr>
        <w:trPr/>
        <w:tc>
          <w:tcPr>
            <w:tcW w:w="78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80" w:type="dxa"/>
            <w:gridSpan w:val="3"/>
            <w:tcBorders/>
            <w:vAlign w:val="center"/>
          </w:tcPr>
          <w:p>
            <w:pPr>
              <w:pStyle w:val="TableContents"/>
              <w:bidi w:val="0"/>
              <w:spacing w:before="0" w:after="283"/>
              <w:jc w:val="center"/>
              <w:rPr>
                <w:sz w:val="18"/>
              </w:rPr>
            </w:pPr>
            <w:r>
              <w:rPr>
                <w:sz w:val="18"/>
              </w:rPr>
              <w:t>(Unaudited)</w:t>
            </w:r>
          </w:p>
        </w:tc>
        <w:tc>
          <w:tcPr>
            <w:tcW w:w="60" w:type="dxa"/>
            <w:tcBorders/>
            <w:vAlign w:val="center"/>
          </w:tcPr>
          <w:p>
            <w:pPr>
              <w:pStyle w:val="TableContents"/>
              <w:bidi w:val="0"/>
              <w:spacing w:before="0" w:after="283"/>
              <w:jc w:val="left"/>
              <w:rPr/>
            </w:pPr>
            <w:r>
              <w:rPr/>
              <w:t> </w:t>
            </w:r>
          </w:p>
        </w:tc>
        <w:tc>
          <w:tcPr>
            <w:tcW w:w="1185" w:type="dxa"/>
            <w:gridSpan w:val="3"/>
            <w:tcBorders/>
            <w:vAlign w:val="center"/>
          </w:tcPr>
          <w:p>
            <w:pPr>
              <w:pStyle w:val="TableContents"/>
              <w:bidi w:val="0"/>
              <w:spacing w:before="0" w:after="283"/>
              <w:jc w:val="center"/>
              <w:rPr>
                <w:sz w:val="18"/>
              </w:rPr>
            </w:pPr>
            <w:r>
              <w:rPr>
                <w:sz w:val="18"/>
              </w:rPr>
              <w:t>(Audited)</w:t>
            </w:r>
            <w:bookmarkStart w:id="35" w:name="xdx_405_eus-gaap--AssetsAbstract_iB_zDra"/>
            <w:bookmarkEnd w:id="35"/>
          </w:p>
        </w:tc>
      </w:tr>
      <w:tr>
        <w:trPr/>
        <w:tc>
          <w:tcPr>
            <w:tcW w:w="7820" w:type="dxa"/>
            <w:tcBorders/>
            <w:vAlign w:val="center"/>
          </w:tcPr>
          <w:p>
            <w:pPr>
              <w:pStyle w:val="TableContents"/>
              <w:bidi w:val="0"/>
              <w:spacing w:before="0" w:after="283"/>
              <w:jc w:val="left"/>
              <w:rPr>
                <w:sz w:val="18"/>
                <w:u w:val="single"/>
              </w:rPr>
            </w:pPr>
            <w:r>
              <w:rPr>
                <w:sz w:val="18"/>
                <w:u w:val="single"/>
              </w:rPr>
              <w:t>ASSETS</w:t>
            </w:r>
          </w:p>
        </w:tc>
        <w:tc>
          <w:tcPr>
            <w:tcW w:w="60" w:type="dxa"/>
            <w:tcBorders/>
            <w:vAlign w:val="center"/>
          </w:tcPr>
          <w:p>
            <w:pPr>
              <w:pStyle w:val="TableContents"/>
              <w:bidi w:val="0"/>
              <w:spacing w:before="0" w:after="283"/>
              <w:jc w:val="left"/>
              <w:rPr/>
            </w:pPr>
            <w:r>
              <w:rPr/>
              <w:t> </w:t>
            </w:r>
          </w:p>
        </w:tc>
        <w:tc>
          <w:tcPr>
            <w:tcW w:w="108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5" w:type="dxa"/>
            <w:gridSpan w:val="3"/>
            <w:tcBorders/>
            <w:vAlign w:val="center"/>
          </w:tcPr>
          <w:p>
            <w:pPr>
              <w:pStyle w:val="TableContents"/>
              <w:bidi w:val="0"/>
              <w:spacing w:before="0" w:after="283"/>
              <w:jc w:val="center"/>
              <w:rPr/>
            </w:pPr>
            <w:r>
              <w:rPr/>
              <w:t> </w:t>
            </w:r>
            <w:bookmarkStart w:id="36" w:name="xdx_40D_eus-gaap--AssetsCurrentAbstract_"/>
            <w:bookmarkEnd w:id="36"/>
          </w:p>
        </w:tc>
      </w:tr>
      <w:tr>
        <w:trPr/>
        <w:tc>
          <w:tcPr>
            <w:tcW w:w="7820" w:type="dxa"/>
            <w:tcBorders/>
            <w:shd w:fill="EEEEEE" w:val="clear"/>
            <w:vAlign w:val="center"/>
          </w:tcPr>
          <w:p>
            <w:pPr>
              <w:pStyle w:val="TableContents"/>
              <w:bidi w:val="0"/>
              <w:spacing w:before="0" w:after="283"/>
              <w:jc w:val="left"/>
              <w:rPr>
                <w:sz w:val="18"/>
              </w:rPr>
            </w:pPr>
            <w:r>
              <w:rPr>
                <w:sz w:val="18"/>
              </w:rPr>
              <w:t>Current assets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37" w:name="xdx_40E_eus-gaap--CashAndCashEquivalents"/>
            <w:bookmarkEnd w:id="37"/>
          </w:p>
        </w:tc>
      </w:tr>
      <w:tr>
        <w:trPr/>
        <w:tc>
          <w:tcPr>
            <w:tcW w:w="7820" w:type="dxa"/>
            <w:tcBorders/>
            <w:shd w:fill="FFFFFF" w:val="clear"/>
            <w:vAlign w:val="center"/>
          </w:tcPr>
          <w:p>
            <w:pPr>
              <w:pStyle w:val="TableContents"/>
              <w:bidi w:val="0"/>
              <w:spacing w:before="0" w:after="283"/>
              <w:jc w:val="left"/>
              <w:rPr>
                <w:sz w:val="18"/>
              </w:rPr>
            </w:pPr>
            <w:r>
              <w:rPr>
                <w:sz w:val="18"/>
              </w:rPr>
              <w:t>Cash and cash equivalent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90" w:type="dxa"/>
            <w:tcBorders/>
            <w:shd w:fill="FFFFFF" w:val="clear"/>
            <w:vAlign w:val="center"/>
          </w:tcPr>
          <w:p>
            <w:pPr>
              <w:pStyle w:val="TableContents"/>
              <w:bidi w:val="0"/>
              <w:spacing w:before="0" w:after="283"/>
              <w:jc w:val="right"/>
              <w:rPr>
                <w:sz w:val="18"/>
              </w:rPr>
            </w:pPr>
            <w:r>
              <w:rPr>
                <w:sz w:val="18"/>
              </w:rPr>
              <w:t>713,685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980" w:type="dxa"/>
            <w:tcBorders/>
            <w:shd w:fill="FFFFFF" w:val="clear"/>
            <w:vAlign w:val="center"/>
          </w:tcPr>
          <w:p>
            <w:pPr>
              <w:pStyle w:val="TableContents"/>
              <w:bidi w:val="0"/>
              <w:spacing w:before="0" w:after="283"/>
              <w:jc w:val="right"/>
              <w:rPr>
                <w:sz w:val="18"/>
              </w:rPr>
            </w:pPr>
            <w:r>
              <w:rPr>
                <w:sz w:val="18"/>
              </w:rPr>
              <w:t>1,677,879</w:t>
            </w:r>
          </w:p>
        </w:tc>
        <w:tc>
          <w:tcPr>
            <w:tcW w:w="95" w:type="dxa"/>
            <w:tcBorders/>
            <w:shd w:fill="FFFFFF" w:val="clear"/>
            <w:vAlign w:val="center"/>
          </w:tcPr>
          <w:p>
            <w:pPr>
              <w:pStyle w:val="TableContents"/>
              <w:bidi w:val="0"/>
              <w:spacing w:before="0" w:after="283"/>
              <w:jc w:val="left"/>
              <w:rPr/>
            </w:pPr>
            <w:r>
              <w:rPr/>
              <w:t> </w:t>
            </w:r>
            <w:bookmarkStart w:id="38" w:name="xdx_40D_eus-gaap--AccountsReceivableNetC"/>
            <w:bookmarkEnd w:id="38"/>
          </w:p>
        </w:tc>
      </w:tr>
      <w:tr>
        <w:trPr/>
        <w:tc>
          <w:tcPr>
            <w:tcW w:w="7820" w:type="dxa"/>
            <w:tcBorders/>
            <w:shd w:fill="EEEEEE" w:val="clear"/>
            <w:vAlign w:val="center"/>
          </w:tcPr>
          <w:p>
            <w:pPr>
              <w:pStyle w:val="TableContents"/>
              <w:bidi w:val="0"/>
              <w:spacing w:before="0" w:after="283"/>
              <w:jc w:val="left"/>
              <w:rPr>
                <w:sz w:val="18"/>
              </w:rPr>
            </w:pPr>
            <w:r>
              <w:rPr>
                <w:sz w:val="18"/>
              </w:rPr>
              <w:t>Accounts receivable, net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7,064,189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sz w:val="18"/>
              </w:rPr>
            </w:pPr>
            <w:r>
              <w:rPr>
                <w:sz w:val="18"/>
              </w:rPr>
              <w:t>6,124,008</w:t>
            </w:r>
          </w:p>
        </w:tc>
        <w:tc>
          <w:tcPr>
            <w:tcW w:w="95" w:type="dxa"/>
            <w:tcBorders/>
            <w:shd w:fill="EEEEEE" w:val="clear"/>
            <w:vAlign w:val="center"/>
          </w:tcPr>
          <w:p>
            <w:pPr>
              <w:pStyle w:val="TableContents"/>
              <w:bidi w:val="0"/>
              <w:spacing w:before="0" w:after="283"/>
              <w:jc w:val="left"/>
              <w:rPr/>
            </w:pPr>
            <w:r>
              <w:rPr/>
              <w:t> </w:t>
            </w:r>
            <w:bookmarkStart w:id="39" w:name="xdx_406_eus-gaap--InventoryNet_i01I_pp0d"/>
            <w:bookmarkEnd w:id="39"/>
          </w:p>
        </w:tc>
      </w:tr>
      <w:tr>
        <w:trPr/>
        <w:tc>
          <w:tcPr>
            <w:tcW w:w="7820" w:type="dxa"/>
            <w:tcBorders/>
            <w:shd w:fill="FFFFFF" w:val="clear"/>
            <w:vAlign w:val="center"/>
          </w:tcPr>
          <w:p>
            <w:pPr>
              <w:pStyle w:val="TableContents"/>
              <w:bidi w:val="0"/>
              <w:spacing w:before="0" w:after="283"/>
              <w:jc w:val="left"/>
              <w:rPr>
                <w:sz w:val="18"/>
              </w:rPr>
            </w:pPr>
            <w:r>
              <w:rPr>
                <w:sz w:val="18"/>
              </w:rPr>
              <w:t>Inventories,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2,536,961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18"/>
              </w:rPr>
            </w:pPr>
            <w:r>
              <w:rPr>
                <w:sz w:val="18"/>
              </w:rPr>
              <w:t>8,131,203</w:t>
            </w:r>
          </w:p>
        </w:tc>
        <w:tc>
          <w:tcPr>
            <w:tcW w:w="95" w:type="dxa"/>
            <w:tcBorders/>
            <w:shd w:fill="FFFFFF" w:val="clear"/>
            <w:vAlign w:val="center"/>
          </w:tcPr>
          <w:p>
            <w:pPr>
              <w:pStyle w:val="TableContents"/>
              <w:bidi w:val="0"/>
              <w:spacing w:before="0" w:after="283"/>
              <w:jc w:val="left"/>
              <w:rPr/>
            </w:pPr>
            <w:r>
              <w:rPr/>
              <w:t> </w:t>
            </w:r>
            <w:bookmarkStart w:id="40" w:name="xdx_402_eus-gaap--RestrictedCash_i01I_pp"/>
            <w:bookmarkEnd w:id="40"/>
          </w:p>
        </w:tc>
      </w:tr>
      <w:tr>
        <w:trPr/>
        <w:tc>
          <w:tcPr>
            <w:tcW w:w="7820" w:type="dxa"/>
            <w:tcBorders/>
            <w:shd w:fill="EEEEEE" w:val="clear"/>
            <w:vAlign w:val="center"/>
          </w:tcPr>
          <w:p>
            <w:pPr>
              <w:pStyle w:val="TableContents"/>
              <w:bidi w:val="0"/>
              <w:spacing w:before="0" w:after="283"/>
              <w:jc w:val="left"/>
              <w:rPr>
                <w:sz w:val="18"/>
              </w:rPr>
            </w:pPr>
            <w:r>
              <w:rPr>
                <w:sz w:val="18"/>
              </w:rPr>
              <w:t>Restricted Cash - BitGo</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2,209,000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41" w:name="xdx_408_eus-gaap--OtherPrepaidExpenseCur"/>
            <w:bookmarkEnd w:id="41"/>
          </w:p>
        </w:tc>
      </w:tr>
      <w:tr>
        <w:trPr/>
        <w:tc>
          <w:tcPr>
            <w:tcW w:w="7820" w:type="dxa"/>
            <w:tcBorders/>
            <w:shd w:fill="FFFFFF" w:val="clear"/>
            <w:vAlign w:val="center"/>
          </w:tcPr>
          <w:p>
            <w:pPr>
              <w:pStyle w:val="TableContents"/>
              <w:bidi w:val="0"/>
              <w:spacing w:before="0" w:after="283"/>
              <w:jc w:val="left"/>
              <w:rPr>
                <w:sz w:val="18"/>
              </w:rPr>
            </w:pPr>
            <w:r>
              <w:rPr>
                <w:sz w:val="18"/>
              </w:rPr>
              <w:t>Prepayments and other current assets,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1,973,215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2,567,706</w:t>
            </w:r>
          </w:p>
        </w:tc>
        <w:tc>
          <w:tcPr>
            <w:tcW w:w="95" w:type="dxa"/>
            <w:tcBorders/>
            <w:shd w:fill="FFFFFF" w:val="clear"/>
            <w:vAlign w:val="center"/>
          </w:tcPr>
          <w:p>
            <w:pPr>
              <w:pStyle w:val="TableContents"/>
              <w:bidi w:val="0"/>
              <w:spacing w:before="0" w:after="283"/>
              <w:jc w:val="left"/>
              <w:rPr/>
            </w:pPr>
            <w:r>
              <w:rPr/>
              <w:t> </w:t>
            </w:r>
            <w:bookmarkStart w:id="42" w:name="xdx_40D_eus-gaap--AssetsOfDisposalGroupI"/>
            <w:bookmarkEnd w:id="42"/>
          </w:p>
        </w:tc>
      </w:tr>
      <w:tr>
        <w:trPr/>
        <w:tc>
          <w:tcPr>
            <w:tcW w:w="7820" w:type="dxa"/>
            <w:tcBorders/>
            <w:shd w:fill="EEEEEE" w:val="clear"/>
            <w:vAlign w:val="center"/>
          </w:tcPr>
          <w:p>
            <w:pPr>
              <w:pStyle w:val="TableContents"/>
              <w:bidi w:val="0"/>
              <w:spacing w:before="0" w:after="283"/>
              <w:jc w:val="left"/>
              <w:rPr>
                <w:sz w:val="18"/>
              </w:rPr>
            </w:pPr>
            <w:r>
              <w:rPr>
                <w:sz w:val="18"/>
              </w:rPr>
              <w:t>Current assets held for sale</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873,515</w:t>
            </w:r>
          </w:p>
        </w:tc>
        <w:tc>
          <w:tcPr>
            <w:tcW w:w="95" w:type="dxa"/>
            <w:tcBorders/>
            <w:shd w:fill="EEEEEE" w:val="clear"/>
            <w:vAlign w:val="center"/>
          </w:tcPr>
          <w:p>
            <w:pPr>
              <w:pStyle w:val="TableContents"/>
              <w:bidi w:val="0"/>
              <w:spacing w:before="0" w:after="283"/>
              <w:jc w:val="left"/>
              <w:rPr/>
            </w:pPr>
            <w:r>
              <w:rPr/>
              <w:t> </w:t>
            </w:r>
            <w:bookmarkStart w:id="43" w:name="xdx_40D_eus-gaap--AssetsCurrent_i01TI_pp"/>
            <w:bookmarkEnd w:id="43"/>
          </w:p>
        </w:tc>
      </w:tr>
      <w:tr>
        <w:trPr/>
        <w:tc>
          <w:tcPr>
            <w:tcW w:w="7820" w:type="dxa"/>
            <w:tcBorders/>
            <w:shd w:fill="FFFFFF" w:val="clear"/>
            <w:vAlign w:val="center"/>
          </w:tcPr>
          <w:p>
            <w:pPr>
              <w:pStyle w:val="TableContents"/>
              <w:bidi w:val="0"/>
              <w:spacing w:before="0" w:after="283"/>
              <w:jc w:val="left"/>
              <w:rPr>
                <w:sz w:val="18"/>
              </w:rPr>
            </w:pPr>
            <w:r>
              <w:rPr>
                <w:sz w:val="18"/>
              </w:rPr>
              <w:t>Total current assets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14,497,050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19,374,311</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44" w:name="xdx_401_eus-gaap--AssetsNoncurrentAbstra"/>
            <w:bookmarkEnd w:id="44"/>
          </w:p>
        </w:tc>
      </w:tr>
      <w:tr>
        <w:trPr/>
        <w:tc>
          <w:tcPr>
            <w:tcW w:w="7820" w:type="dxa"/>
            <w:tcBorders/>
            <w:shd w:fill="FFFFFF" w:val="clear"/>
            <w:vAlign w:val="center"/>
          </w:tcPr>
          <w:p>
            <w:pPr>
              <w:pStyle w:val="TableContents"/>
              <w:bidi w:val="0"/>
              <w:spacing w:before="0" w:after="283"/>
              <w:jc w:val="left"/>
              <w:rPr>
                <w:sz w:val="18"/>
              </w:rPr>
            </w:pPr>
            <w:r>
              <w:rPr>
                <w:sz w:val="18"/>
              </w:rPr>
              <w:t>Non-current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45" w:name="xdx_405_eus-gaap--OperatingLeaseRightOfU"/>
            <w:bookmarkEnd w:id="45"/>
          </w:p>
        </w:tc>
      </w:tr>
      <w:tr>
        <w:trPr/>
        <w:tc>
          <w:tcPr>
            <w:tcW w:w="7820" w:type="dxa"/>
            <w:tcBorders/>
            <w:shd w:fill="EEEEEE" w:val="clear"/>
            <w:vAlign w:val="center"/>
          </w:tcPr>
          <w:p>
            <w:pPr>
              <w:pStyle w:val="TableContents"/>
              <w:bidi w:val="0"/>
              <w:spacing w:before="0" w:after="283"/>
              <w:jc w:val="left"/>
              <w:rPr>
                <w:sz w:val="18"/>
              </w:rPr>
            </w:pPr>
            <w:r>
              <w:rPr>
                <w:sz w:val="18"/>
              </w:rPr>
              <w:t>Right of use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2,966,202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sz w:val="18"/>
              </w:rPr>
            </w:pPr>
            <w:r>
              <w:rPr>
                <w:sz w:val="18"/>
              </w:rPr>
              <w:t>3,915,539</w:t>
            </w:r>
          </w:p>
        </w:tc>
        <w:tc>
          <w:tcPr>
            <w:tcW w:w="95" w:type="dxa"/>
            <w:tcBorders/>
            <w:shd w:fill="EEEEEE" w:val="clear"/>
            <w:vAlign w:val="center"/>
          </w:tcPr>
          <w:p>
            <w:pPr>
              <w:pStyle w:val="TableContents"/>
              <w:bidi w:val="0"/>
              <w:spacing w:before="0" w:after="283"/>
              <w:jc w:val="left"/>
              <w:rPr/>
            </w:pPr>
            <w:r>
              <w:rPr/>
              <w:t> </w:t>
            </w:r>
            <w:bookmarkStart w:id="46" w:name="xdx_408_eus-gaap--PropertyPlantAndEquipm"/>
            <w:bookmarkEnd w:id="46"/>
          </w:p>
        </w:tc>
      </w:tr>
      <w:tr>
        <w:trPr/>
        <w:tc>
          <w:tcPr>
            <w:tcW w:w="7820" w:type="dxa"/>
            <w:tcBorders/>
            <w:shd w:fill="FFFFFF" w:val="clear"/>
            <w:vAlign w:val="center"/>
          </w:tcPr>
          <w:p>
            <w:pPr>
              <w:pStyle w:val="TableContents"/>
              <w:bidi w:val="0"/>
              <w:spacing w:before="0" w:after="283"/>
              <w:jc w:val="left"/>
              <w:rPr>
                <w:sz w:val="18"/>
              </w:rPr>
            </w:pPr>
            <w:r>
              <w:rPr>
                <w:sz w:val="18"/>
              </w:rPr>
              <w:t>Property and equipment,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166,441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18"/>
              </w:rPr>
            </w:pPr>
            <w:r>
              <w:rPr>
                <w:sz w:val="18"/>
              </w:rPr>
              <w:t>390,349</w:t>
            </w:r>
          </w:p>
        </w:tc>
        <w:tc>
          <w:tcPr>
            <w:tcW w:w="95" w:type="dxa"/>
            <w:tcBorders/>
            <w:shd w:fill="FFFFFF" w:val="clear"/>
            <w:vAlign w:val="center"/>
          </w:tcPr>
          <w:p>
            <w:pPr>
              <w:pStyle w:val="TableContents"/>
              <w:bidi w:val="0"/>
              <w:spacing w:before="0" w:after="283"/>
              <w:jc w:val="left"/>
              <w:rPr/>
            </w:pPr>
            <w:r>
              <w:rPr/>
              <w:t> </w:t>
            </w:r>
            <w:bookmarkStart w:id="47" w:name="xdx_40C_eus-gaap--DeferredIncomeTaxAsset"/>
            <w:bookmarkEnd w:id="47"/>
          </w:p>
        </w:tc>
      </w:tr>
      <w:tr>
        <w:trPr/>
        <w:tc>
          <w:tcPr>
            <w:tcW w:w="7820" w:type="dxa"/>
            <w:tcBorders/>
            <w:shd w:fill="EEEEEE" w:val="clear"/>
            <w:vAlign w:val="center"/>
          </w:tcPr>
          <w:p>
            <w:pPr>
              <w:pStyle w:val="TableContents"/>
              <w:bidi w:val="0"/>
              <w:spacing w:before="0" w:after="283"/>
              <w:jc w:val="left"/>
              <w:rPr>
                <w:sz w:val="18"/>
              </w:rPr>
            </w:pPr>
            <w:r>
              <w:rPr>
                <w:sz w:val="18"/>
              </w:rPr>
              <w:t>Deferred tax assets, net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4,990,836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sz w:val="18"/>
              </w:rPr>
            </w:pPr>
            <w:r>
              <w:rPr>
                <w:sz w:val="18"/>
              </w:rPr>
              <w:t>3,724,462</w:t>
            </w:r>
          </w:p>
        </w:tc>
        <w:tc>
          <w:tcPr>
            <w:tcW w:w="95" w:type="dxa"/>
            <w:tcBorders/>
            <w:shd w:fill="EEEEEE" w:val="clear"/>
            <w:vAlign w:val="center"/>
          </w:tcPr>
          <w:p>
            <w:pPr>
              <w:pStyle w:val="TableContents"/>
              <w:bidi w:val="0"/>
              <w:spacing w:before="0" w:after="283"/>
              <w:jc w:val="left"/>
              <w:rPr/>
            </w:pPr>
            <w:r>
              <w:rPr/>
              <w:t> </w:t>
            </w:r>
            <w:bookmarkStart w:id="48" w:name="xdx_409_eus-gaap--Goodwill_i01I_pp0d_d0_"/>
            <w:bookmarkEnd w:id="48"/>
          </w:p>
        </w:tc>
      </w:tr>
      <w:tr>
        <w:trPr/>
        <w:tc>
          <w:tcPr>
            <w:tcW w:w="7820" w:type="dxa"/>
            <w:tcBorders/>
            <w:shd w:fill="FFFFFF" w:val="clear"/>
            <w:vAlign w:val="center"/>
          </w:tcPr>
          <w:p>
            <w:pPr>
              <w:pStyle w:val="TableContents"/>
              <w:bidi w:val="0"/>
              <w:spacing w:before="0" w:after="283"/>
              <w:jc w:val="left"/>
              <w:rPr>
                <w:sz w:val="18"/>
              </w:rPr>
            </w:pPr>
            <w:r>
              <w:rPr>
                <w:sz w:val="18"/>
              </w:rPr>
              <w:t>Goodwill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18"/>
              </w:rPr>
            </w:pPr>
            <w:r>
              <w:rPr>
                <w:sz w:val="18"/>
              </w:rPr>
              <w:t>3,034,110</w:t>
            </w:r>
          </w:p>
        </w:tc>
        <w:tc>
          <w:tcPr>
            <w:tcW w:w="95" w:type="dxa"/>
            <w:tcBorders/>
            <w:shd w:fill="FFFFFF" w:val="clear"/>
            <w:vAlign w:val="center"/>
          </w:tcPr>
          <w:p>
            <w:pPr>
              <w:pStyle w:val="TableContents"/>
              <w:bidi w:val="0"/>
              <w:spacing w:before="0" w:after="283"/>
              <w:jc w:val="left"/>
              <w:rPr/>
            </w:pPr>
            <w:r>
              <w:rPr/>
              <w:t> </w:t>
            </w:r>
            <w:bookmarkStart w:id="49" w:name="xdx_408_eus-gaap--EquityMethodInvestment"/>
            <w:bookmarkEnd w:id="49"/>
          </w:p>
        </w:tc>
      </w:tr>
      <w:tr>
        <w:trPr/>
        <w:tc>
          <w:tcPr>
            <w:tcW w:w="7820" w:type="dxa"/>
            <w:tcBorders/>
            <w:shd w:fill="EEEEEE" w:val="clear"/>
            <w:vAlign w:val="center"/>
          </w:tcPr>
          <w:p>
            <w:pPr>
              <w:pStyle w:val="TableContents"/>
              <w:bidi w:val="0"/>
              <w:spacing w:before="0" w:after="283"/>
              <w:jc w:val="left"/>
              <w:rPr>
                <w:sz w:val="18"/>
              </w:rPr>
            </w:pPr>
            <w:r>
              <w:rPr>
                <w:sz w:val="18"/>
              </w:rPr>
              <w:t>Investment in joint venture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13,264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sz w:val="18"/>
              </w:rPr>
            </w:pPr>
            <w:r>
              <w:rPr>
                <w:sz w:val="18"/>
              </w:rPr>
              <w:t>385,180</w:t>
            </w:r>
          </w:p>
        </w:tc>
        <w:tc>
          <w:tcPr>
            <w:tcW w:w="95" w:type="dxa"/>
            <w:tcBorders/>
            <w:shd w:fill="EEEEEE" w:val="clear"/>
            <w:vAlign w:val="center"/>
          </w:tcPr>
          <w:p>
            <w:pPr>
              <w:pStyle w:val="TableContents"/>
              <w:bidi w:val="0"/>
              <w:spacing w:before="0" w:after="283"/>
              <w:jc w:val="left"/>
              <w:rPr/>
            </w:pPr>
            <w:r>
              <w:rPr/>
              <w:t> </w:t>
            </w:r>
            <w:bookmarkStart w:id="50" w:name="xdx_409_eus-gaap--LongTermAccountsNotesA"/>
            <w:bookmarkEnd w:id="50"/>
          </w:p>
        </w:tc>
      </w:tr>
      <w:tr>
        <w:trPr/>
        <w:tc>
          <w:tcPr>
            <w:tcW w:w="7820" w:type="dxa"/>
            <w:tcBorders/>
            <w:shd w:fill="FFFFFF" w:val="clear"/>
            <w:vAlign w:val="center"/>
          </w:tcPr>
          <w:p>
            <w:pPr>
              <w:pStyle w:val="TableContents"/>
              <w:bidi w:val="0"/>
              <w:spacing w:before="0" w:after="283"/>
              <w:jc w:val="left"/>
              <w:rPr>
                <w:sz w:val="18"/>
              </w:rPr>
            </w:pPr>
            <w:r>
              <w:rPr>
                <w:sz w:val="18"/>
              </w:rPr>
              <w:t>Note Receivable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2,300,000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51" w:name="xdx_40E_eus-gaap--IntangibleAssetsNetExc"/>
            <w:bookmarkEnd w:id="51"/>
          </w:p>
        </w:tc>
      </w:tr>
      <w:tr>
        <w:trPr/>
        <w:tc>
          <w:tcPr>
            <w:tcW w:w="7820" w:type="dxa"/>
            <w:tcBorders/>
            <w:shd w:fill="EEEEEE" w:val="clear"/>
            <w:vAlign w:val="center"/>
          </w:tcPr>
          <w:p>
            <w:pPr>
              <w:pStyle w:val="TableContents"/>
              <w:bidi w:val="0"/>
              <w:spacing w:before="0" w:after="283"/>
              <w:jc w:val="left"/>
              <w:rPr>
                <w:sz w:val="18"/>
              </w:rPr>
            </w:pPr>
            <w:r>
              <w:rPr>
                <w:sz w:val="18"/>
              </w:rPr>
              <w:t>Intangible assets, net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2,494,300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sz w:val="18"/>
              </w:rPr>
            </w:pPr>
            <w:r>
              <w:rPr>
                <w:sz w:val="18"/>
              </w:rPr>
              <w:t>2,981,328</w:t>
            </w:r>
          </w:p>
        </w:tc>
        <w:tc>
          <w:tcPr>
            <w:tcW w:w="95" w:type="dxa"/>
            <w:tcBorders/>
            <w:shd w:fill="EEEEEE" w:val="clear"/>
            <w:vAlign w:val="center"/>
          </w:tcPr>
          <w:p>
            <w:pPr>
              <w:pStyle w:val="TableContents"/>
              <w:bidi w:val="0"/>
              <w:spacing w:before="0" w:after="283"/>
              <w:jc w:val="left"/>
              <w:rPr/>
            </w:pPr>
            <w:r>
              <w:rPr/>
              <w:t> </w:t>
            </w:r>
            <w:bookmarkStart w:id="52" w:name="xdx_404_eus-gaap--CryptoAssetFairValue_i"/>
            <w:bookmarkEnd w:id="52"/>
          </w:p>
        </w:tc>
      </w:tr>
      <w:tr>
        <w:trPr/>
        <w:tc>
          <w:tcPr>
            <w:tcW w:w="7820" w:type="dxa"/>
            <w:tcBorders/>
            <w:shd w:fill="FFFFFF" w:val="clear"/>
            <w:vAlign w:val="center"/>
          </w:tcPr>
          <w:p>
            <w:pPr>
              <w:pStyle w:val="TableContents"/>
              <w:bidi w:val="0"/>
              <w:spacing w:before="0" w:after="283"/>
              <w:jc w:val="left"/>
              <w:rPr>
                <w:sz w:val="18"/>
              </w:rPr>
            </w:pPr>
            <w:r>
              <w:rPr>
                <w:sz w:val="18"/>
              </w:rPr>
              <w:t>Digital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1,664,827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53" w:name="xdx_409_eus-gaap--OtherAssetsNoncurrent_"/>
            <w:bookmarkEnd w:id="53"/>
          </w:p>
        </w:tc>
      </w:tr>
      <w:tr>
        <w:trPr/>
        <w:tc>
          <w:tcPr>
            <w:tcW w:w="7820" w:type="dxa"/>
            <w:tcBorders/>
            <w:shd w:fill="EEEEEE" w:val="clear"/>
            <w:vAlign w:val="center"/>
          </w:tcPr>
          <w:p>
            <w:pPr>
              <w:pStyle w:val="TableContents"/>
              <w:bidi w:val="0"/>
              <w:spacing w:before="0" w:after="283"/>
              <w:jc w:val="left"/>
              <w:rPr>
                <w:sz w:val="18"/>
              </w:rPr>
            </w:pPr>
            <w:r>
              <w:rPr>
                <w:sz w:val="18"/>
              </w:rPr>
              <w:t>Other non-current assets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2,213,668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1,837,488</w:t>
            </w:r>
          </w:p>
        </w:tc>
        <w:tc>
          <w:tcPr>
            <w:tcW w:w="95" w:type="dxa"/>
            <w:tcBorders/>
            <w:shd w:fill="EEEEEE" w:val="clear"/>
            <w:vAlign w:val="center"/>
          </w:tcPr>
          <w:p>
            <w:pPr>
              <w:pStyle w:val="TableContents"/>
              <w:bidi w:val="0"/>
              <w:spacing w:before="0" w:after="283"/>
              <w:jc w:val="left"/>
              <w:rPr/>
            </w:pPr>
            <w:r>
              <w:rPr/>
              <w:t> </w:t>
            </w:r>
            <w:bookmarkStart w:id="54" w:name="xdx_406_eus-gaap--AssetsNoncurrent_i01TI"/>
            <w:bookmarkEnd w:id="54"/>
          </w:p>
        </w:tc>
      </w:tr>
      <w:tr>
        <w:trPr/>
        <w:tc>
          <w:tcPr>
            <w:tcW w:w="7820" w:type="dxa"/>
            <w:tcBorders/>
            <w:shd w:fill="FFFFFF" w:val="clear"/>
            <w:vAlign w:val="center"/>
          </w:tcPr>
          <w:p>
            <w:pPr>
              <w:pStyle w:val="TableContents"/>
              <w:bidi w:val="0"/>
              <w:spacing w:before="0" w:after="283"/>
              <w:jc w:val="left"/>
              <w:rPr>
                <w:sz w:val="18"/>
              </w:rPr>
            </w:pPr>
            <w:r>
              <w:rPr>
                <w:sz w:val="18"/>
              </w:rPr>
              <w:t>Total non-current assets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16,809,538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16,268,456</w:t>
            </w:r>
          </w:p>
        </w:tc>
        <w:tc>
          <w:tcPr>
            <w:tcW w:w="95" w:type="dxa"/>
            <w:tcBorders/>
            <w:shd w:fill="FFFFFF" w:val="clear"/>
            <w:vAlign w:val="center"/>
          </w:tcPr>
          <w:p>
            <w:pPr>
              <w:pStyle w:val="TableContents"/>
              <w:bidi w:val="0"/>
              <w:spacing w:before="0" w:after="283"/>
              <w:jc w:val="left"/>
              <w:rPr/>
            </w:pPr>
            <w:r>
              <w:rPr/>
              <w:t> </w:t>
            </w:r>
            <w:bookmarkStart w:id="55" w:name="xdx_400_eus-gaap--Assets_i01TI_pp0d_mtAz"/>
            <w:bookmarkEnd w:id="55"/>
          </w:p>
        </w:tc>
      </w:tr>
      <w:tr>
        <w:trPr/>
        <w:tc>
          <w:tcPr>
            <w:tcW w:w="7820" w:type="dxa"/>
            <w:tcBorders/>
            <w:shd w:fill="EEEEEE" w:val="clear"/>
            <w:vAlign w:val="center"/>
          </w:tcPr>
          <w:p>
            <w:pPr>
              <w:pStyle w:val="TableContents"/>
              <w:bidi w:val="0"/>
              <w:spacing w:before="0" w:after="283"/>
              <w:jc w:val="left"/>
              <w:rPr>
                <w:sz w:val="18"/>
              </w:rPr>
            </w:pPr>
            <w:r>
              <w:rPr>
                <w:sz w:val="18"/>
              </w:rPr>
              <w:t>Total assets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31,306,588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sz w:val="18"/>
              </w:rPr>
            </w:pPr>
            <w:r>
              <w:rPr>
                <w:sz w:val="18"/>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35,642,767</w:t>
            </w:r>
          </w:p>
        </w:tc>
        <w:tc>
          <w:tcPr>
            <w:tcW w:w="95" w:type="dxa"/>
            <w:tcBorders/>
            <w:shd w:fill="EEEEEE"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56" w:name="xdx_406_eus-gaap--LiabilitiesAndStockhol"/>
            <w:bookmarkEnd w:id="56"/>
          </w:p>
        </w:tc>
      </w:tr>
      <w:tr>
        <w:trPr/>
        <w:tc>
          <w:tcPr>
            <w:tcW w:w="7820" w:type="dxa"/>
            <w:tcBorders/>
            <w:shd w:fill="EEEEEE" w:val="clear"/>
            <w:vAlign w:val="center"/>
          </w:tcPr>
          <w:p>
            <w:pPr>
              <w:pStyle w:val="TableContents"/>
              <w:bidi w:val="0"/>
              <w:spacing w:before="0" w:after="283"/>
              <w:jc w:val="left"/>
              <w:rPr>
                <w:sz w:val="18"/>
                <w:u w:val="single"/>
              </w:rPr>
            </w:pPr>
            <w:r>
              <w:rPr>
                <w:sz w:val="18"/>
                <w:u w:val="single"/>
              </w:rPr>
              <w:t>LIABILITIES AND EQUITY</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57" w:name="xdx_402_eus-gaap--LiabilitiesCurrentAbst"/>
            <w:bookmarkEnd w:id="57"/>
          </w:p>
        </w:tc>
      </w:tr>
      <w:tr>
        <w:trPr/>
        <w:tc>
          <w:tcPr>
            <w:tcW w:w="7820" w:type="dxa"/>
            <w:tcBorders/>
            <w:shd w:fill="FFFFFF" w:val="clear"/>
            <w:vAlign w:val="center"/>
          </w:tcPr>
          <w:p>
            <w:pPr>
              <w:pStyle w:val="TableContents"/>
              <w:bidi w:val="0"/>
              <w:spacing w:before="0" w:after="283"/>
              <w:jc w:val="left"/>
              <w:rPr>
                <w:sz w:val="18"/>
              </w:rPr>
            </w:pPr>
            <w:r>
              <w:rPr>
                <w:sz w:val="18"/>
              </w:rPr>
              <w:t>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58" w:name="xdx_40F_eus-gaap--AccountsPayableCurrent"/>
            <w:bookmarkEnd w:id="58"/>
          </w:p>
        </w:tc>
      </w:tr>
      <w:tr>
        <w:trPr/>
        <w:tc>
          <w:tcPr>
            <w:tcW w:w="7820" w:type="dxa"/>
            <w:tcBorders/>
            <w:shd w:fill="EEEEEE" w:val="clear"/>
            <w:vAlign w:val="center"/>
          </w:tcPr>
          <w:p>
            <w:pPr>
              <w:pStyle w:val="TableContents"/>
              <w:bidi w:val="0"/>
              <w:spacing w:before="0" w:after="283"/>
              <w:jc w:val="left"/>
              <w:rPr>
                <w:sz w:val="18"/>
              </w:rPr>
            </w:pPr>
            <w:r>
              <w:rPr>
                <w:sz w:val="18"/>
              </w:rPr>
              <w:t>Accounts payable, net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890" w:type="dxa"/>
            <w:tcBorders/>
            <w:shd w:fill="EEEEEE" w:val="clear"/>
            <w:vAlign w:val="center"/>
          </w:tcPr>
          <w:p>
            <w:pPr>
              <w:pStyle w:val="TableContents"/>
              <w:bidi w:val="0"/>
              <w:spacing w:before="0" w:after="283"/>
              <w:jc w:val="right"/>
              <w:rPr>
                <w:sz w:val="18"/>
              </w:rPr>
            </w:pPr>
            <w:r>
              <w:rPr>
                <w:sz w:val="18"/>
              </w:rPr>
              <w:t>3,016,663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980" w:type="dxa"/>
            <w:tcBorders/>
            <w:shd w:fill="EEEEEE" w:val="clear"/>
            <w:vAlign w:val="center"/>
          </w:tcPr>
          <w:p>
            <w:pPr>
              <w:pStyle w:val="TableContents"/>
              <w:bidi w:val="0"/>
              <w:spacing w:before="0" w:after="283"/>
              <w:jc w:val="right"/>
              <w:rPr>
                <w:sz w:val="18"/>
              </w:rPr>
            </w:pPr>
            <w:r>
              <w:rPr>
                <w:sz w:val="18"/>
              </w:rPr>
              <w:t>7,180,009</w:t>
            </w:r>
          </w:p>
        </w:tc>
        <w:tc>
          <w:tcPr>
            <w:tcW w:w="95" w:type="dxa"/>
            <w:tcBorders/>
            <w:shd w:fill="EEEEEE" w:val="clear"/>
            <w:vAlign w:val="center"/>
          </w:tcPr>
          <w:p>
            <w:pPr>
              <w:pStyle w:val="TableContents"/>
              <w:bidi w:val="0"/>
              <w:spacing w:before="0" w:after="283"/>
              <w:jc w:val="left"/>
              <w:rPr/>
            </w:pPr>
            <w:r>
              <w:rPr/>
              <w:t> </w:t>
            </w:r>
            <w:bookmarkStart w:id="59" w:name="xdx_405_eus-gaap--OtherAccountsPayableAn"/>
            <w:bookmarkEnd w:id="59"/>
          </w:p>
        </w:tc>
      </w:tr>
      <w:tr>
        <w:trPr/>
        <w:tc>
          <w:tcPr>
            <w:tcW w:w="7820" w:type="dxa"/>
            <w:tcBorders/>
            <w:shd w:fill="FFFFFF" w:val="clear"/>
            <w:vAlign w:val="center"/>
          </w:tcPr>
          <w:p>
            <w:pPr>
              <w:pStyle w:val="TableContents"/>
              <w:bidi w:val="0"/>
              <w:spacing w:before="0" w:after="283"/>
              <w:jc w:val="left"/>
              <w:rPr>
                <w:sz w:val="18"/>
              </w:rPr>
            </w:pPr>
            <w:r>
              <w:rPr>
                <w:sz w:val="18"/>
              </w:rPr>
              <w:t>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2,136,690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18"/>
              </w:rPr>
            </w:pPr>
            <w:r>
              <w:rPr>
                <w:sz w:val="18"/>
              </w:rPr>
              <w:t>1,769,421</w:t>
            </w:r>
          </w:p>
        </w:tc>
        <w:tc>
          <w:tcPr>
            <w:tcW w:w="95" w:type="dxa"/>
            <w:tcBorders/>
            <w:shd w:fill="FFFFFF" w:val="clear"/>
            <w:vAlign w:val="center"/>
          </w:tcPr>
          <w:p>
            <w:pPr>
              <w:pStyle w:val="TableContents"/>
              <w:bidi w:val="0"/>
              <w:spacing w:before="0" w:after="283"/>
              <w:jc w:val="left"/>
              <w:rPr/>
            </w:pPr>
            <w:r>
              <w:rPr/>
              <w:t> </w:t>
            </w:r>
            <w:bookmarkStart w:id="60" w:name="xdx_40C_eus-gaap--OperatingLeaseLiabilit"/>
            <w:bookmarkEnd w:id="60"/>
          </w:p>
        </w:tc>
      </w:tr>
      <w:tr>
        <w:trPr/>
        <w:tc>
          <w:tcPr>
            <w:tcW w:w="7820" w:type="dxa"/>
            <w:tcBorders/>
            <w:shd w:fill="EEEEEE" w:val="clear"/>
            <w:vAlign w:val="center"/>
          </w:tcPr>
          <w:p>
            <w:pPr>
              <w:pStyle w:val="TableContents"/>
              <w:bidi w:val="0"/>
              <w:spacing w:before="0" w:after="283"/>
              <w:jc w:val="left"/>
              <w:rPr>
                <w:sz w:val="18"/>
              </w:rPr>
            </w:pPr>
            <w:r>
              <w:rPr>
                <w:sz w:val="18"/>
              </w:rPr>
              <w:t>Lease liability - current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1,450,340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sz w:val="18"/>
              </w:rPr>
            </w:pPr>
            <w:r>
              <w:rPr>
                <w:sz w:val="18"/>
              </w:rPr>
              <w:t>1,361,111</w:t>
            </w:r>
          </w:p>
        </w:tc>
        <w:tc>
          <w:tcPr>
            <w:tcW w:w="95" w:type="dxa"/>
            <w:tcBorders/>
            <w:shd w:fill="EEEEEE" w:val="clear"/>
            <w:vAlign w:val="center"/>
          </w:tcPr>
          <w:p>
            <w:pPr>
              <w:pStyle w:val="TableContents"/>
              <w:bidi w:val="0"/>
              <w:spacing w:before="0" w:after="283"/>
              <w:jc w:val="left"/>
              <w:rPr/>
            </w:pPr>
            <w:r>
              <w:rPr/>
              <w:t> </w:t>
            </w:r>
            <w:bookmarkStart w:id="61" w:name="xdx_40B_eus-gaap--LinesOfCreditCurrent_i"/>
            <w:bookmarkEnd w:id="61"/>
          </w:p>
        </w:tc>
      </w:tr>
      <w:tr>
        <w:trPr/>
        <w:tc>
          <w:tcPr>
            <w:tcW w:w="7820" w:type="dxa"/>
            <w:tcBorders/>
            <w:shd w:fill="FFFFFF" w:val="clear"/>
            <w:vAlign w:val="center"/>
          </w:tcPr>
          <w:p>
            <w:pPr>
              <w:pStyle w:val="TableContents"/>
              <w:bidi w:val="0"/>
              <w:spacing w:before="0" w:after="283"/>
              <w:jc w:val="left"/>
              <w:rPr>
                <w:sz w:val="18"/>
              </w:rPr>
            </w:pPr>
            <w:r>
              <w:rPr>
                <w:sz w:val="18"/>
              </w:rPr>
              <w:t>Revolving loan payable,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18"/>
              </w:rPr>
            </w:pPr>
            <w:r>
              <w:rPr>
                <w:sz w:val="18"/>
              </w:rPr>
              <w:t>3,737,602</w:t>
            </w:r>
          </w:p>
        </w:tc>
        <w:tc>
          <w:tcPr>
            <w:tcW w:w="95" w:type="dxa"/>
            <w:tcBorders/>
            <w:shd w:fill="FFFFFF" w:val="clear"/>
            <w:vAlign w:val="center"/>
          </w:tcPr>
          <w:p>
            <w:pPr>
              <w:pStyle w:val="TableContents"/>
              <w:bidi w:val="0"/>
              <w:spacing w:before="0" w:after="283"/>
              <w:jc w:val="left"/>
              <w:rPr/>
            </w:pPr>
            <w:r>
              <w:rPr/>
              <w:t> </w:t>
            </w:r>
            <w:bookmarkStart w:id="62" w:name="xdx_402_eus-gaap--TaxesPayableCurrent_i0"/>
            <w:bookmarkEnd w:id="62"/>
          </w:p>
        </w:tc>
      </w:tr>
      <w:tr>
        <w:trPr/>
        <w:tc>
          <w:tcPr>
            <w:tcW w:w="7820" w:type="dxa"/>
            <w:tcBorders/>
            <w:shd w:fill="EEEEEE" w:val="clear"/>
            <w:vAlign w:val="center"/>
          </w:tcPr>
          <w:p>
            <w:pPr>
              <w:pStyle w:val="TableContents"/>
              <w:bidi w:val="0"/>
              <w:spacing w:before="0" w:after="283"/>
              <w:jc w:val="left"/>
              <w:rPr>
                <w:sz w:val="18"/>
              </w:rPr>
            </w:pPr>
            <w:r>
              <w:rPr>
                <w:sz w:val="18"/>
              </w:rPr>
              <w:t>Income taxes payable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sz w:val="18"/>
              </w:rPr>
            </w:pPr>
            <w:r>
              <w:rPr>
                <w:sz w:val="18"/>
              </w:rPr>
              <w:t>183,195</w:t>
            </w:r>
          </w:p>
        </w:tc>
        <w:tc>
          <w:tcPr>
            <w:tcW w:w="95" w:type="dxa"/>
            <w:tcBorders/>
            <w:shd w:fill="EEEEEE" w:val="clear"/>
            <w:vAlign w:val="center"/>
          </w:tcPr>
          <w:p>
            <w:pPr>
              <w:pStyle w:val="TableContents"/>
              <w:bidi w:val="0"/>
              <w:spacing w:before="0" w:after="283"/>
              <w:jc w:val="left"/>
              <w:rPr/>
            </w:pPr>
            <w:r>
              <w:rPr/>
              <w:t> </w:t>
            </w:r>
            <w:bookmarkStart w:id="63" w:name="xdx_400_eus-gaap--LiabilitiesOfDisposalG"/>
            <w:bookmarkEnd w:id="63"/>
          </w:p>
        </w:tc>
      </w:tr>
      <w:tr>
        <w:trPr/>
        <w:tc>
          <w:tcPr>
            <w:tcW w:w="7820" w:type="dxa"/>
            <w:tcBorders/>
            <w:shd w:fill="FFFFFF" w:val="clear"/>
            <w:vAlign w:val="center"/>
          </w:tcPr>
          <w:p>
            <w:pPr>
              <w:pStyle w:val="TableContents"/>
              <w:bidi w:val="0"/>
              <w:spacing w:before="0" w:after="283"/>
              <w:jc w:val="left"/>
              <w:rPr>
                <w:sz w:val="18"/>
              </w:rPr>
            </w:pPr>
            <w:r>
              <w:rPr>
                <w:sz w:val="18"/>
              </w:rPr>
              <w:t>Current liabilities held for sale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221,460</w:t>
            </w:r>
          </w:p>
        </w:tc>
        <w:tc>
          <w:tcPr>
            <w:tcW w:w="95" w:type="dxa"/>
            <w:tcBorders/>
            <w:shd w:fill="FFFFFF" w:val="clear"/>
            <w:vAlign w:val="center"/>
          </w:tcPr>
          <w:p>
            <w:pPr>
              <w:pStyle w:val="TableContents"/>
              <w:bidi w:val="0"/>
              <w:spacing w:before="0" w:after="283"/>
              <w:jc w:val="left"/>
              <w:rPr/>
            </w:pPr>
            <w:r>
              <w:rPr/>
              <w:t> </w:t>
            </w:r>
            <w:bookmarkStart w:id="64" w:name="xdx_401_eus-gaap--LiabilitiesCurrent_i01"/>
            <w:bookmarkEnd w:id="64"/>
          </w:p>
        </w:tc>
      </w:tr>
      <w:tr>
        <w:trPr/>
        <w:tc>
          <w:tcPr>
            <w:tcW w:w="7820" w:type="dxa"/>
            <w:tcBorders/>
            <w:shd w:fill="EEEEEE" w:val="clear"/>
            <w:vAlign w:val="center"/>
          </w:tcPr>
          <w:p>
            <w:pPr>
              <w:pStyle w:val="TableContents"/>
              <w:bidi w:val="0"/>
              <w:spacing w:before="0" w:after="283"/>
              <w:jc w:val="left"/>
              <w:rPr>
                <w:sz w:val="18"/>
              </w:rPr>
            </w:pPr>
            <w:r>
              <w:rPr>
                <w:sz w:val="18"/>
              </w:rPr>
              <w:t>Total current liabilities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6,603,693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14,452,798</w:t>
            </w:r>
          </w:p>
        </w:tc>
        <w:tc>
          <w:tcPr>
            <w:tcW w:w="95" w:type="dxa"/>
            <w:tcBorders/>
            <w:shd w:fill="EEEEEE"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65" w:name="xdx_402_eus-gaap--LiabilitiesNoncurrentA"/>
            <w:bookmarkEnd w:id="65"/>
          </w:p>
        </w:tc>
      </w:tr>
      <w:tr>
        <w:trPr/>
        <w:tc>
          <w:tcPr>
            <w:tcW w:w="7820" w:type="dxa"/>
            <w:tcBorders/>
            <w:shd w:fill="EEEEEE" w:val="clear"/>
            <w:vAlign w:val="center"/>
          </w:tcPr>
          <w:p>
            <w:pPr>
              <w:pStyle w:val="TableContents"/>
              <w:bidi w:val="0"/>
              <w:spacing w:before="0" w:after="283"/>
              <w:jc w:val="left"/>
              <w:rPr>
                <w:sz w:val="18"/>
              </w:rPr>
            </w:pPr>
            <w:r>
              <w:rPr>
                <w:sz w:val="18"/>
              </w:rPr>
              <w:t>Non-current liabilities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66" w:name="xdx_400_eus-gaap--ConvertibleLongTermNot"/>
            <w:bookmarkEnd w:id="66"/>
          </w:p>
        </w:tc>
      </w:tr>
      <w:tr>
        <w:trPr/>
        <w:tc>
          <w:tcPr>
            <w:tcW w:w="7820" w:type="dxa"/>
            <w:tcBorders/>
            <w:shd w:fill="FFFFFF" w:val="clear"/>
            <w:vAlign w:val="center"/>
          </w:tcPr>
          <w:p>
            <w:pPr>
              <w:pStyle w:val="TableContents"/>
              <w:bidi w:val="0"/>
              <w:spacing w:before="0" w:after="283"/>
              <w:jc w:val="left"/>
              <w:rPr>
                <w:sz w:val="18"/>
              </w:rPr>
            </w:pPr>
            <w:r>
              <w:rPr>
                <w:sz w:val="18"/>
              </w:rPr>
              <w:t>Convertible notes payable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4,470,518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67" w:name="xdx_40B_eus-gaap--DerivativeLiabilitiesN"/>
            <w:bookmarkEnd w:id="67"/>
          </w:p>
        </w:tc>
      </w:tr>
      <w:tr>
        <w:trPr/>
        <w:tc>
          <w:tcPr>
            <w:tcW w:w="7820" w:type="dxa"/>
            <w:tcBorders/>
            <w:shd w:fill="EEEEEE" w:val="clear"/>
            <w:vAlign w:val="center"/>
          </w:tcPr>
          <w:p>
            <w:pPr>
              <w:pStyle w:val="TableContents"/>
              <w:bidi w:val="0"/>
              <w:spacing w:before="0" w:after="283"/>
              <w:jc w:val="left"/>
              <w:rPr>
                <w:sz w:val="18"/>
              </w:rPr>
            </w:pPr>
            <w:r>
              <w:rPr>
                <w:sz w:val="18"/>
              </w:rPr>
              <w:t>Derivative liability - Conversion option</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1,264,600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68" w:name="xdx_409_eus-gaap--OperatingLeaseLiabilit"/>
            <w:bookmarkEnd w:id="68"/>
          </w:p>
        </w:tc>
      </w:tr>
      <w:tr>
        <w:trPr/>
        <w:tc>
          <w:tcPr>
            <w:tcW w:w="7820" w:type="dxa"/>
            <w:tcBorders/>
            <w:shd w:fill="FFFFFF" w:val="clear"/>
            <w:vAlign w:val="center"/>
          </w:tcPr>
          <w:p>
            <w:pPr>
              <w:pStyle w:val="TableContents"/>
              <w:bidi w:val="0"/>
              <w:spacing w:before="0" w:after="283"/>
              <w:jc w:val="left"/>
              <w:rPr>
                <w:sz w:val="18"/>
              </w:rPr>
            </w:pPr>
            <w:r>
              <w:rPr>
                <w:sz w:val="18"/>
              </w:rPr>
              <w:t>Lease liability - non-current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1,817,153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2,913,967</w:t>
            </w:r>
          </w:p>
        </w:tc>
        <w:tc>
          <w:tcPr>
            <w:tcW w:w="95" w:type="dxa"/>
            <w:tcBorders/>
            <w:shd w:fill="FFFFFF" w:val="clear"/>
            <w:vAlign w:val="center"/>
          </w:tcPr>
          <w:p>
            <w:pPr>
              <w:pStyle w:val="TableContents"/>
              <w:bidi w:val="0"/>
              <w:spacing w:before="0" w:after="283"/>
              <w:jc w:val="left"/>
              <w:rPr/>
            </w:pPr>
            <w:r>
              <w:rPr/>
              <w:t> </w:t>
            </w:r>
            <w:bookmarkStart w:id="69" w:name="xdx_40F_eus-gaap--LiabilitiesNoncurrent_"/>
            <w:bookmarkEnd w:id="69"/>
          </w:p>
        </w:tc>
      </w:tr>
      <w:tr>
        <w:trPr/>
        <w:tc>
          <w:tcPr>
            <w:tcW w:w="7820" w:type="dxa"/>
            <w:tcBorders/>
            <w:shd w:fill="EEEEEE" w:val="clear"/>
            <w:vAlign w:val="center"/>
          </w:tcPr>
          <w:p>
            <w:pPr>
              <w:pStyle w:val="TableContents"/>
              <w:bidi w:val="0"/>
              <w:spacing w:before="0" w:after="283"/>
              <w:jc w:val="left"/>
              <w:rPr>
                <w:sz w:val="18"/>
              </w:rPr>
            </w:pPr>
            <w:r>
              <w:rPr>
                <w:sz w:val="18"/>
              </w:rPr>
              <w:t>Total non-current liabilities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7,552,271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2,913,967</w:t>
            </w:r>
          </w:p>
        </w:tc>
        <w:tc>
          <w:tcPr>
            <w:tcW w:w="95" w:type="dxa"/>
            <w:tcBorders/>
            <w:shd w:fill="EEEEEE" w:val="clear"/>
            <w:vAlign w:val="center"/>
          </w:tcPr>
          <w:p>
            <w:pPr>
              <w:pStyle w:val="TableContents"/>
              <w:bidi w:val="0"/>
              <w:spacing w:before="0" w:after="283"/>
              <w:jc w:val="left"/>
              <w:rPr/>
            </w:pPr>
            <w:r>
              <w:rPr/>
              <w:t> </w:t>
            </w:r>
            <w:bookmarkStart w:id="70" w:name="xdx_403_eus-gaap--Liabilities_i01TI_pp0d"/>
            <w:bookmarkEnd w:id="70"/>
          </w:p>
        </w:tc>
      </w:tr>
      <w:tr>
        <w:trPr/>
        <w:tc>
          <w:tcPr>
            <w:tcW w:w="7820" w:type="dxa"/>
            <w:tcBorders/>
            <w:shd w:fill="FFFFFF" w:val="clear"/>
            <w:vAlign w:val="center"/>
          </w:tcPr>
          <w:p>
            <w:pPr>
              <w:pStyle w:val="TableContents"/>
              <w:bidi w:val="0"/>
              <w:spacing w:before="0" w:after="283"/>
              <w:jc w:val="left"/>
              <w:rPr>
                <w:sz w:val="18"/>
              </w:rPr>
            </w:pPr>
            <w:r>
              <w:rPr>
                <w:sz w:val="18"/>
              </w:rPr>
              <w:t>Total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14,155,964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17,366,765</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71" w:name="xdx_404_eus-gaap--CommitmentsAndContinge"/>
            <w:bookmarkEnd w:id="71"/>
          </w:p>
        </w:tc>
      </w:tr>
      <w:tr>
        <w:trPr/>
        <w:tc>
          <w:tcPr>
            <w:tcW w:w="7820" w:type="dxa"/>
            <w:tcBorders/>
            <w:shd w:fill="FFFFFF" w:val="clear"/>
            <w:vAlign w:val="center"/>
          </w:tcPr>
          <w:p>
            <w:pPr>
              <w:pStyle w:val="TableContents"/>
              <w:bidi w:val="0"/>
              <w:spacing w:before="0" w:after="283"/>
              <w:jc w:val="left"/>
              <w:rPr>
                <w:sz w:val="18"/>
              </w:rPr>
            </w:pPr>
            <w:r>
              <w:rPr>
                <w:sz w:val="18"/>
              </w:rPr>
              <w:t>Commitments and contingency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72" w:name="xdx_40B_eus-gaap--StockholdersEquityAbst"/>
            <w:bookmarkEnd w:id="72"/>
          </w:p>
        </w:tc>
      </w:tr>
      <w:tr>
        <w:trPr/>
        <w:tc>
          <w:tcPr>
            <w:tcW w:w="7820" w:type="dxa"/>
            <w:tcBorders/>
            <w:shd w:fill="FFFFFF" w:val="clear"/>
            <w:vAlign w:val="center"/>
          </w:tcPr>
          <w:p>
            <w:pPr>
              <w:pStyle w:val="TableContents"/>
              <w:bidi w:val="0"/>
              <w:spacing w:before="0" w:after="283"/>
              <w:jc w:val="left"/>
              <w:rPr>
                <w:sz w:val="18"/>
              </w:rPr>
            </w:pPr>
            <w:r>
              <w:rPr>
                <w:sz w:val="18"/>
              </w:rPr>
              <w:t>Stockholders'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bookmarkStart w:id="73" w:name="xdx_402_eus-gaap--PreferredStockValue_i0"/>
            <w:bookmarkEnd w:id="73"/>
          </w:p>
        </w:tc>
      </w:tr>
      <w:tr>
        <w:trPr/>
        <w:tc>
          <w:tcPr>
            <w:tcW w:w="7820" w:type="dxa"/>
            <w:tcBorders/>
            <w:shd w:fill="EEEEEE" w:val="clear"/>
            <w:vAlign w:val="center"/>
          </w:tcPr>
          <w:p>
            <w:pPr>
              <w:pStyle w:val="TableContents"/>
              <w:bidi w:val="0"/>
              <w:spacing w:before="0" w:after="283"/>
              <w:jc w:val="left"/>
              <w:rPr>
                <w:sz w:val="18"/>
              </w:rPr>
            </w:pPr>
            <w:r>
              <w:rPr>
                <w:sz w:val="18"/>
              </w:rPr>
              <w:t>Preferred stock, $</w:t>
            </w:r>
            <w:bookmarkStart w:id="74" w:name="xdx_903_eus-gaap--PreferredStockParOrSta"/>
            <w:bookmarkStart w:id="75" w:name="xdx_90A_eus-gaap--PreferredStockParOrSta"/>
            <w:bookmarkEnd w:id="74"/>
            <w:bookmarkEnd w:id="75"/>
            <w:r>
              <w:rPr>
                <w:sz w:val="18"/>
              </w:rPr>
              <w:t xml:space="preserve">0.001 par value; </w:t>
            </w:r>
            <w:bookmarkStart w:id="76" w:name="xdx_905_eus-gaap--PreferredStockSharesAu"/>
            <w:bookmarkStart w:id="77" w:name="xdx_906_eus-gaap--PreferredStockSharesAu"/>
            <w:bookmarkEnd w:id="76"/>
            <w:bookmarkEnd w:id="77"/>
            <w:r>
              <w:rPr>
                <w:sz w:val="18"/>
              </w:rPr>
              <w:t xml:space="preserve">20,000,000 shares authorized; </w:t>
            </w:r>
            <w:bookmarkStart w:id="78" w:name="xdx_905_eus-gaap--PreferredStockSharesOu"/>
            <w:bookmarkStart w:id="79" w:name="xdx_902_eus-gaap--PreferredStockSharesIs"/>
            <w:bookmarkStart w:id="80" w:name="xdx_90E_eus-gaap--PreferredStockSharesOu"/>
            <w:bookmarkStart w:id="81" w:name="xdx_904_eus-gaap--PreferredStockSharesIs"/>
            <w:bookmarkEnd w:id="78"/>
            <w:bookmarkEnd w:id="79"/>
            <w:bookmarkEnd w:id="80"/>
            <w:bookmarkEnd w:id="81"/>
            <w:r>
              <w:rPr>
                <w:sz w:val="18"/>
              </w:rPr>
              <w:t>0 shares issued and outstanding at March 31, 2026 and June 30, 2025</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ind w:left="0" w:right="0" w:hanging="200"/>
              <w:jc w:val="left"/>
              <w:rPr/>
            </w:pPr>
            <w:r>
              <w:rPr/>
              <w:t> </w:t>
            </w:r>
            <w:bookmarkStart w:id="82" w:name="xdx_403_eus-gaap--CommonStockValue_i01I_"/>
            <w:bookmarkEnd w:id="82"/>
          </w:p>
        </w:tc>
      </w:tr>
      <w:tr>
        <w:trPr/>
        <w:tc>
          <w:tcPr>
            <w:tcW w:w="7820" w:type="dxa"/>
            <w:tcBorders/>
            <w:shd w:fill="FFFFFF" w:val="clear"/>
            <w:vAlign w:val="center"/>
          </w:tcPr>
          <w:p>
            <w:pPr>
              <w:pStyle w:val="TableContents"/>
              <w:bidi w:val="0"/>
              <w:spacing w:before="0" w:after="283"/>
              <w:jc w:val="left"/>
              <w:rPr>
                <w:sz w:val="18"/>
              </w:rPr>
            </w:pPr>
            <w:r>
              <w:rPr>
                <w:sz w:val="18"/>
              </w:rPr>
              <w:t>**Common stock, $</w:t>
            </w:r>
            <w:bookmarkStart w:id="83" w:name="xdx_909_eus-gaap--CommonStockParOrStated"/>
            <w:bookmarkStart w:id="84" w:name="xdx_90C_eus-gaap--CommonStockParOrStated"/>
            <w:bookmarkEnd w:id="83"/>
            <w:bookmarkEnd w:id="84"/>
            <w:r>
              <w:rPr>
                <w:sz w:val="18"/>
              </w:rPr>
              <w:t xml:space="preserve">0.001 par value; </w:t>
            </w:r>
            <w:bookmarkStart w:id="85" w:name="xdx_900_eus-gaap--CommonStockSharesAutho"/>
            <w:bookmarkStart w:id="86" w:name="xdx_902_eus-gaap--CommonStockSharesAutho"/>
            <w:bookmarkEnd w:id="85"/>
            <w:bookmarkEnd w:id="86"/>
            <w:r>
              <w:rPr>
                <w:sz w:val="18"/>
              </w:rPr>
              <w:t xml:space="preserve">180,000,000 shares authorized; </w:t>
            </w:r>
            <w:bookmarkStart w:id="87" w:name="xdx_909_eus-gaap--CommonStockSharesOutst"/>
            <w:bookmarkStart w:id="88" w:name="xdx_90D_eus-gaap--CommonStockSharesIssue"/>
            <w:bookmarkEnd w:id="87"/>
            <w:bookmarkEnd w:id="88"/>
            <w:r>
              <w:rPr>
                <w:sz w:val="18"/>
              </w:rPr>
              <w:t xml:space="preserve">1,773,999 and </w:t>
            </w:r>
            <w:bookmarkStart w:id="89" w:name="xdx_90C_eus-gaap--CommonStockSharesOutst"/>
            <w:bookmarkStart w:id="90" w:name="xdx_90B_eus-gaap--CommonStockSharesIssue"/>
            <w:bookmarkEnd w:id="89"/>
            <w:bookmarkEnd w:id="90"/>
            <w:r>
              <w:rPr>
                <w:sz w:val="18"/>
              </w:rPr>
              <w:t>1,045,330 shares issued and outstanding at March 31, 2026 and June 30,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18"/>
              </w:rPr>
            </w:pPr>
            <w:r>
              <w:rPr>
                <w:sz w:val="18"/>
              </w:rPr>
              <w:t>1,045</w:t>
            </w:r>
          </w:p>
        </w:tc>
        <w:tc>
          <w:tcPr>
            <w:tcW w:w="95" w:type="dxa"/>
            <w:tcBorders/>
            <w:shd w:fill="FFFFFF" w:val="clear"/>
            <w:vAlign w:val="center"/>
          </w:tcPr>
          <w:p>
            <w:pPr>
              <w:pStyle w:val="TableContents"/>
              <w:bidi w:val="0"/>
              <w:spacing w:before="0" w:after="283"/>
              <w:jc w:val="left"/>
              <w:rPr/>
            </w:pPr>
            <w:r>
              <w:rPr/>
              <w:t> </w:t>
            </w:r>
            <w:bookmarkStart w:id="91" w:name="xdx_401_eus-gaap--AdditionalPaidInCapita"/>
            <w:bookmarkEnd w:id="91"/>
          </w:p>
        </w:tc>
      </w:tr>
      <w:tr>
        <w:trPr/>
        <w:tc>
          <w:tcPr>
            <w:tcW w:w="7820" w:type="dxa"/>
            <w:tcBorders/>
            <w:shd w:fill="EEEEEE" w:val="clear"/>
            <w:vAlign w:val="center"/>
          </w:tcPr>
          <w:p>
            <w:pPr>
              <w:pStyle w:val="TableContents"/>
              <w:bidi w:val="0"/>
              <w:spacing w:before="0" w:after="283"/>
              <w:jc w:val="left"/>
              <w:rPr>
                <w:sz w:val="18"/>
              </w:rPr>
            </w:pPr>
            <w:r>
              <w:rPr>
                <w:sz w:val="18"/>
              </w:rPr>
              <w:t>Additional paid in capital</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37,528,080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sz w:val="18"/>
              </w:rPr>
            </w:pPr>
            <w:r>
              <w:rPr>
                <w:sz w:val="18"/>
              </w:rPr>
              <w:t>33,481,201</w:t>
            </w:r>
          </w:p>
        </w:tc>
        <w:tc>
          <w:tcPr>
            <w:tcW w:w="95" w:type="dxa"/>
            <w:tcBorders/>
            <w:shd w:fill="EEEEEE" w:val="clear"/>
            <w:vAlign w:val="center"/>
          </w:tcPr>
          <w:p>
            <w:pPr>
              <w:pStyle w:val="TableContents"/>
              <w:bidi w:val="0"/>
              <w:spacing w:before="0" w:after="283"/>
              <w:jc w:val="left"/>
              <w:rPr/>
            </w:pPr>
            <w:r>
              <w:rPr/>
              <w:t> </w:t>
            </w:r>
            <w:bookmarkStart w:id="92" w:name="xdx_40C_eus-gaap--RetainedEarningsAccumu"/>
            <w:bookmarkEnd w:id="92"/>
          </w:p>
        </w:tc>
      </w:tr>
      <w:tr>
        <w:trPr/>
        <w:tc>
          <w:tcPr>
            <w:tcW w:w="7820" w:type="dxa"/>
            <w:tcBorders/>
            <w:shd w:fill="FFFFFF" w:val="clear"/>
            <w:vAlign w:val="center"/>
          </w:tcPr>
          <w:p>
            <w:pPr>
              <w:pStyle w:val="TableContents"/>
              <w:bidi w:val="0"/>
              <w:spacing w:before="0" w:after="283"/>
              <w:jc w:val="left"/>
              <w:rPr>
                <w:sz w:val="18"/>
              </w:rPr>
            </w:pPr>
            <w:r>
              <w:rPr>
                <w:sz w:val="18"/>
              </w:rPr>
              <w:t>Accumulated deficits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(20,380,696</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18"/>
              </w:rPr>
            </w:pPr>
            <w:r>
              <w:rPr>
                <w:sz w:val="18"/>
              </w:rPr>
              <w:t>(15,198,889</w:t>
            </w:r>
          </w:p>
        </w:tc>
        <w:tc>
          <w:tcPr>
            <w:tcW w:w="95" w:type="dxa"/>
            <w:tcBorders/>
            <w:shd w:fill="FFFFFF" w:val="clear"/>
            <w:vAlign w:val="center"/>
          </w:tcPr>
          <w:p>
            <w:pPr>
              <w:pStyle w:val="TableContents"/>
              <w:bidi w:val="0"/>
              <w:spacing w:before="0" w:after="283"/>
              <w:jc w:val="left"/>
              <w:rPr>
                <w:sz w:val="18"/>
              </w:rPr>
            </w:pPr>
            <w:r>
              <w:rPr>
                <w:sz w:val="18"/>
              </w:rPr>
              <w:t>)</w:t>
            </w:r>
            <w:bookmarkStart w:id="93" w:name="xdx_400_eus-gaap--MinorityInterest_i01I_"/>
            <w:bookmarkEnd w:id="93"/>
          </w:p>
        </w:tc>
      </w:tr>
      <w:tr>
        <w:trPr/>
        <w:tc>
          <w:tcPr>
            <w:tcW w:w="7820" w:type="dxa"/>
            <w:tcBorders/>
            <w:shd w:fill="EEEEEE" w:val="clear"/>
            <w:vAlign w:val="center"/>
          </w:tcPr>
          <w:p>
            <w:pPr>
              <w:pStyle w:val="TableContents"/>
              <w:bidi w:val="0"/>
              <w:spacing w:before="0" w:after="283"/>
              <w:jc w:val="left"/>
              <w:rPr>
                <w:sz w:val="18"/>
              </w:rPr>
            </w:pPr>
            <w:r>
              <w:rPr>
                <w:sz w:val="18"/>
              </w:rPr>
              <w:t>Non-controlling interest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(47,462</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sz w:val="18"/>
              </w:rPr>
            </w:pPr>
            <w:r>
              <w:rPr>
                <w:sz w:val="18"/>
              </w:rPr>
              <w:t>(47,462</w:t>
            </w:r>
          </w:p>
        </w:tc>
        <w:tc>
          <w:tcPr>
            <w:tcW w:w="95" w:type="dxa"/>
            <w:tcBorders/>
            <w:shd w:fill="EEEEEE" w:val="clear"/>
            <w:vAlign w:val="center"/>
          </w:tcPr>
          <w:p>
            <w:pPr>
              <w:pStyle w:val="TableContents"/>
              <w:bidi w:val="0"/>
              <w:spacing w:before="0" w:after="283"/>
              <w:jc w:val="left"/>
              <w:rPr>
                <w:sz w:val="18"/>
              </w:rPr>
            </w:pPr>
            <w:r>
              <w:rPr>
                <w:sz w:val="18"/>
              </w:rPr>
              <w:t>)</w:t>
            </w:r>
            <w:bookmarkStart w:id="94" w:name="xdx_406_eus-gaap--AccumulatedOtherCompre"/>
            <w:bookmarkEnd w:id="94"/>
          </w:p>
        </w:tc>
      </w:tr>
      <w:tr>
        <w:trPr/>
        <w:tc>
          <w:tcPr>
            <w:tcW w:w="7820" w:type="dxa"/>
            <w:tcBorders/>
            <w:shd w:fill="FFFFFF" w:val="clear"/>
            <w:vAlign w:val="center"/>
          </w:tcPr>
          <w:p>
            <w:pPr>
              <w:pStyle w:val="TableContents"/>
              <w:bidi w:val="0"/>
              <w:spacing w:before="0" w:after="283"/>
              <w:jc w:val="left"/>
              <w:rPr>
                <w:sz w:val="18"/>
              </w:rPr>
            </w:pPr>
            <w:r>
              <w:rPr>
                <w:sz w:val="18"/>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48,928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40,107</w:t>
            </w:r>
          </w:p>
        </w:tc>
        <w:tc>
          <w:tcPr>
            <w:tcW w:w="95" w:type="dxa"/>
            <w:tcBorders/>
            <w:shd w:fill="FFFFFF" w:val="clear"/>
            <w:vAlign w:val="center"/>
          </w:tcPr>
          <w:p>
            <w:pPr>
              <w:pStyle w:val="TableContents"/>
              <w:bidi w:val="0"/>
              <w:spacing w:before="0" w:after="283"/>
              <w:jc w:val="left"/>
              <w:rPr/>
            </w:pPr>
            <w:r>
              <w:rPr/>
              <w:t> </w:t>
            </w:r>
            <w:bookmarkStart w:id="95" w:name="xdx_406_eus-gaap--StockholdersEquityIncl"/>
            <w:bookmarkEnd w:id="95"/>
          </w:p>
        </w:tc>
      </w:tr>
      <w:tr>
        <w:trPr/>
        <w:tc>
          <w:tcPr>
            <w:tcW w:w="7820" w:type="dxa"/>
            <w:tcBorders/>
            <w:shd w:fill="EEEEEE" w:val="clear"/>
            <w:vAlign w:val="center"/>
          </w:tcPr>
          <w:p>
            <w:pPr>
              <w:pStyle w:val="TableContents"/>
              <w:bidi w:val="0"/>
              <w:spacing w:before="0" w:after="283"/>
              <w:jc w:val="left"/>
              <w:rPr>
                <w:sz w:val="18"/>
              </w:rPr>
            </w:pPr>
            <w:r>
              <w:rPr>
                <w:sz w:val="18"/>
              </w:rPr>
              <w:t>Total stockholders' equity</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17,150,624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18,276,002</w:t>
            </w:r>
          </w:p>
        </w:tc>
        <w:tc>
          <w:tcPr>
            <w:tcW w:w="95" w:type="dxa"/>
            <w:tcBorders/>
            <w:shd w:fill="EEEEEE"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96" w:name="xdx_403_eus-gaap--LiabilitiesAndStockhol"/>
            <w:bookmarkEnd w:id="96"/>
          </w:p>
        </w:tc>
      </w:tr>
      <w:tr>
        <w:trPr/>
        <w:tc>
          <w:tcPr>
            <w:tcW w:w="7820" w:type="dxa"/>
            <w:tcBorders/>
            <w:shd w:fill="EEEEEE" w:val="clear"/>
            <w:vAlign w:val="center"/>
          </w:tcPr>
          <w:p>
            <w:pPr>
              <w:pStyle w:val="TableContents"/>
              <w:bidi w:val="0"/>
              <w:spacing w:before="0" w:after="283"/>
              <w:jc w:val="left"/>
              <w:rPr>
                <w:sz w:val="18"/>
              </w:rPr>
            </w:pPr>
            <w:r>
              <w:rPr>
                <w:sz w:val="18"/>
              </w:rPr>
              <w:t>Total liabilities and stockholders' equity</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31,306,588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sz w:val="18"/>
              </w:rPr>
            </w:pPr>
            <w:r>
              <w:rPr>
                <w:sz w:val="18"/>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35,642,767</w:t>
            </w:r>
          </w:p>
        </w:tc>
        <w:tc>
          <w:tcPr>
            <w:tcW w:w="95"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sz w:val="16"/>
              </w:rPr>
            </w:pPr>
            <w:r>
              <w:rPr>
                <w:sz w:val="16"/>
              </w:rPr>
              <w:t>**</w:t>
            </w:r>
          </w:p>
        </w:tc>
        <w:tc>
          <w:tcPr>
            <w:tcW w:w="10056" w:type="dxa"/>
            <w:tcBorders/>
            <w:vAlign w:val="center"/>
          </w:tcPr>
          <w:p>
            <w:pPr>
              <w:pStyle w:val="TableContents"/>
              <w:bidi w:val="0"/>
              <w:spacing w:before="0" w:after="283"/>
              <w:jc w:val="left"/>
              <w:rPr>
                <w:sz w:val="16"/>
              </w:rPr>
            </w:pPr>
            <w:r>
              <w:rPr>
                <w:sz w:val="16"/>
              </w:rPr>
              <w:t>Unless otherwise indicated, all shares of common stock and per share numbers in the unaudited condensed consolidated financial statements and notes below have been adjusted retroactively to reflect the 1-for-30 reverse stock split effected on October 27, 2025, for all periods presented (see Note 16 for details).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97" w:name="q3_003"/>
      <w:bookmarkEnd w:id="97"/>
      <w:r>
        <w:rPr>
          <w:rFonts w:ascii="Times New Roman;Times;Serif" w:hAnsi="Times New Roman;Times;Serif"/>
          <w:b w:val="false"/>
          <w:i w:val="false"/>
          <w:caps w:val="false"/>
          <w:smallCaps w:val="false"/>
          <w:sz w:val="20"/>
        </w:rPr>
        <w:t>Consolidated Statements of Operations and Comprehensive Loss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March 31, 2026 and 2025</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8" w:name="xdx_308_113_zF9e2VgswK18"/>
      <w:bookmarkStart w:id="99" w:name="xdx_308_113_zF9e2VgswK18"/>
      <w:bookmarkEnd w:id="99"/>
    </w:p>
    <w:tbl>
      <w:tblPr>
        <w:tblW w:w="9785" w:type="dxa"/>
        <w:jc w:val="left"/>
        <w:tblInd w:w="0" w:type="dxa"/>
        <w:tblLayout w:type="fixed"/>
        <w:tblCellMar>
          <w:top w:w="0" w:type="dxa"/>
          <w:left w:w="0" w:type="dxa"/>
          <w:bottom w:w="0" w:type="dxa"/>
          <w:right w:w="0" w:type="dxa"/>
        </w:tblCellMar>
      </w:tblPr>
      <w:tblGrid>
        <w:gridCol w:w="4880"/>
        <w:gridCol w:w="60"/>
        <w:gridCol w:w="110"/>
        <w:gridCol w:w="1055"/>
        <w:gridCol w:w="155"/>
        <w:gridCol w:w="60"/>
        <w:gridCol w:w="110"/>
        <w:gridCol w:w="830"/>
        <w:gridCol w:w="80"/>
        <w:gridCol w:w="60"/>
        <w:gridCol w:w="110"/>
        <w:gridCol w:w="1055"/>
        <w:gridCol w:w="125"/>
        <w:gridCol w:w="60"/>
        <w:gridCol w:w="110"/>
        <w:gridCol w:w="830"/>
        <w:gridCol w:w="95"/>
      </w:tblGrid>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00" w:name="xdx_49C_20260101__20260331_znTNrh4ZjkVc"/>
            <w:bookmarkEnd w:id="100"/>
          </w:p>
        </w:tc>
        <w:tc>
          <w:tcPr>
            <w:tcW w:w="105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01" w:name="xdx_49B_20250101__20250331_zdDGnEcurThf"/>
            <w:bookmarkEnd w:id="101"/>
          </w:p>
        </w:tc>
        <w:tc>
          <w:tcPr>
            <w:tcW w:w="83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02" w:name="xdx_496_20250701__20260331_zEtK81EzJLl"/>
            <w:bookmarkEnd w:id="102"/>
          </w:p>
        </w:tc>
        <w:tc>
          <w:tcPr>
            <w:tcW w:w="1055" w:type="dxa"/>
            <w:tcBorders/>
            <w:shd w:fill="FFFFFF" w:val="clear"/>
            <w:vAlign w:val="center"/>
          </w:tcPr>
          <w:p>
            <w:pPr>
              <w:pStyle w:val="TableContents"/>
              <w:bidi w:val="0"/>
              <w:spacing w:before="0" w:after="283"/>
              <w:jc w:val="center"/>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03" w:name="xdx_49A_20240701__20250331_zmgxU3la9QBd"/>
            <w:bookmarkEnd w:id="103"/>
          </w:p>
        </w:tc>
        <w:tc>
          <w:tcPr>
            <w:tcW w:w="830"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0" w:type="dxa"/>
            <w:gridSpan w:val="7"/>
            <w:tcBorders>
              <w:bottom w:val="single" w:sz="8" w:space="0" w:color="000000"/>
            </w:tcBorders>
            <w:tcMar>
              <w:bottom w:w="28" w:type="dxa"/>
            </w:tcMar>
            <w:vAlign w:val="center"/>
          </w:tcPr>
          <w:p>
            <w:pPr>
              <w:pStyle w:val="TableContents"/>
              <w:bidi w:val="0"/>
              <w:jc w:val="center"/>
              <w:rPr>
                <w:b/>
                <w:sz w:val="18"/>
              </w:rPr>
            </w:pPr>
            <w:r>
              <w:rPr>
                <w:b/>
                <w:sz w:val="18"/>
              </w:rPr>
              <w:t>For the Three Months Ended</w:t>
            </w:r>
          </w:p>
          <w:p>
            <w:pPr>
              <w:pStyle w:val="TableContents"/>
              <w:bidi w:val="0"/>
              <w:spacing w:before="0" w:after="283"/>
              <w:jc w:val="center"/>
              <w:rPr>
                <w:b/>
                <w:sz w:val="18"/>
              </w:rPr>
            </w:pPr>
            <w:r>
              <w:rPr>
                <w:b/>
                <w:sz w:val="18"/>
              </w:rPr>
              <w:t>March 31,</w:t>
            </w:r>
          </w:p>
        </w:tc>
        <w:tc>
          <w:tcPr>
            <w:tcW w:w="60" w:type="dxa"/>
            <w:tcBorders/>
            <w:vAlign w:val="center"/>
          </w:tcPr>
          <w:p>
            <w:pPr>
              <w:pStyle w:val="TableContents"/>
              <w:bidi w:val="0"/>
              <w:spacing w:before="0" w:after="283"/>
              <w:jc w:val="left"/>
              <w:rPr/>
            </w:pPr>
            <w:r>
              <w:rPr/>
              <w:t> </w:t>
            </w:r>
          </w:p>
        </w:tc>
        <w:tc>
          <w:tcPr>
            <w:tcW w:w="2385" w:type="dxa"/>
            <w:gridSpan w:val="7"/>
            <w:tcBorders>
              <w:bottom w:val="single" w:sz="8" w:space="0" w:color="000000"/>
            </w:tcBorders>
            <w:tcMar>
              <w:bottom w:w="28" w:type="dxa"/>
            </w:tcMar>
            <w:vAlign w:val="center"/>
          </w:tcPr>
          <w:p>
            <w:pPr>
              <w:pStyle w:val="TableContents"/>
              <w:bidi w:val="0"/>
              <w:jc w:val="center"/>
              <w:rPr>
                <w:b/>
                <w:sz w:val="18"/>
              </w:rPr>
            </w:pPr>
            <w:r>
              <w:rPr>
                <w:b/>
                <w:sz w:val="18"/>
              </w:rPr>
              <w:t>For the Nine Months Ended</w:t>
            </w:r>
          </w:p>
          <w:p>
            <w:pPr>
              <w:pStyle w:val="TableContents"/>
              <w:bidi w:val="0"/>
              <w:spacing w:before="0" w:after="283"/>
              <w:jc w:val="center"/>
              <w:rPr>
                <w:b/>
                <w:sz w:val="18"/>
              </w:rPr>
            </w:pPr>
            <w:r>
              <w:rPr>
                <w:b/>
                <w:sz w:val="18"/>
              </w:rPr>
              <w:t>March 31,</w:t>
            </w:r>
          </w:p>
        </w:tc>
      </w:tr>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0" w:type="dxa"/>
            <w:gridSpan w:val="3"/>
            <w:tcBorders>
              <w:bottom w:val="single" w:sz="8" w:space="0" w:color="000000"/>
            </w:tcBorders>
            <w:tcMar>
              <w:bottom w:w="28" w:type="dxa"/>
            </w:tcMar>
            <w:vAlign w:val="center"/>
          </w:tcPr>
          <w:p>
            <w:pPr>
              <w:pStyle w:val="TableContents"/>
              <w:bidi w:val="0"/>
              <w:spacing w:before="0" w:after="283"/>
              <w:jc w:val="center"/>
              <w:rPr>
                <w:b/>
                <w:sz w:val="18"/>
              </w:rPr>
            </w:pPr>
            <w:r>
              <w:rPr>
                <w:b/>
                <w:sz w:val="18"/>
              </w:rPr>
              <w:t>2026</w:t>
            </w:r>
          </w:p>
        </w:tc>
        <w:tc>
          <w:tcPr>
            <w:tcW w:w="60" w:type="dxa"/>
            <w:tcBorders/>
            <w:vAlign w:val="center"/>
          </w:tcPr>
          <w:p>
            <w:pPr>
              <w:pStyle w:val="TableContents"/>
              <w:bidi w:val="0"/>
              <w:spacing w:before="0" w:after="283"/>
              <w:jc w:val="left"/>
              <w:rPr/>
            </w:pPr>
            <w:r>
              <w:rPr/>
              <w:t> </w:t>
            </w:r>
          </w:p>
        </w:tc>
        <w:tc>
          <w:tcPr>
            <w:tcW w:w="1020" w:type="dxa"/>
            <w:gridSpan w:val="3"/>
            <w:tcBorders>
              <w:bottom w:val="single" w:sz="8" w:space="0" w:color="000000"/>
            </w:tcBorders>
            <w:tcMar>
              <w:bottom w:w="28" w:type="dxa"/>
            </w:tcMar>
            <w:vAlign w:val="center"/>
          </w:tcPr>
          <w:p>
            <w:pPr>
              <w:pStyle w:val="TableContents"/>
              <w:bidi w:val="0"/>
              <w:spacing w:before="0" w:after="283"/>
              <w:jc w:val="center"/>
              <w:rPr>
                <w:b/>
                <w:sz w:val="18"/>
              </w:rPr>
            </w:pPr>
            <w:r>
              <w:rPr>
                <w:b/>
                <w:sz w:val="18"/>
              </w:rPr>
              <w:t>2025</w:t>
            </w:r>
          </w:p>
        </w:tc>
        <w:tc>
          <w:tcPr>
            <w:tcW w:w="60" w:type="dxa"/>
            <w:tcBorders/>
            <w:vAlign w:val="center"/>
          </w:tcPr>
          <w:p>
            <w:pPr>
              <w:pStyle w:val="TableContents"/>
              <w:bidi w:val="0"/>
              <w:spacing w:before="0" w:after="283"/>
              <w:jc w:val="left"/>
              <w:rPr/>
            </w:pPr>
            <w:r>
              <w:rPr/>
              <w:t> </w:t>
            </w:r>
          </w:p>
        </w:tc>
        <w:tc>
          <w:tcPr>
            <w:tcW w:w="1290" w:type="dxa"/>
            <w:gridSpan w:val="3"/>
            <w:tcBorders>
              <w:bottom w:val="single" w:sz="8" w:space="0" w:color="000000"/>
            </w:tcBorders>
            <w:tcMar>
              <w:bottom w:w="28" w:type="dxa"/>
            </w:tcMar>
            <w:vAlign w:val="center"/>
          </w:tcPr>
          <w:p>
            <w:pPr>
              <w:pStyle w:val="TableContents"/>
              <w:bidi w:val="0"/>
              <w:spacing w:before="0" w:after="283"/>
              <w:jc w:val="center"/>
              <w:rPr>
                <w:b/>
                <w:sz w:val="18"/>
              </w:rPr>
            </w:pPr>
            <w:r>
              <w:rPr>
                <w:b/>
                <w:sz w:val="18"/>
              </w:rPr>
              <w:t>2026</w:t>
            </w:r>
          </w:p>
        </w:tc>
        <w:tc>
          <w:tcPr>
            <w:tcW w:w="60" w:type="dxa"/>
            <w:tcBorders/>
            <w:vAlign w:val="center"/>
          </w:tcPr>
          <w:p>
            <w:pPr>
              <w:pStyle w:val="TableContents"/>
              <w:bidi w:val="0"/>
              <w:spacing w:before="0" w:after="283"/>
              <w:jc w:val="left"/>
              <w:rPr/>
            </w:pPr>
            <w:r>
              <w:rPr/>
              <w:t> </w:t>
            </w:r>
          </w:p>
        </w:tc>
        <w:tc>
          <w:tcPr>
            <w:tcW w:w="1035" w:type="dxa"/>
            <w:gridSpan w:val="3"/>
            <w:tcBorders>
              <w:bottom w:val="single" w:sz="8" w:space="0" w:color="000000"/>
            </w:tcBorders>
            <w:tcMar>
              <w:bottom w:w="28" w:type="dxa"/>
            </w:tcMar>
            <w:vAlign w:val="center"/>
          </w:tcPr>
          <w:p>
            <w:pPr>
              <w:pStyle w:val="TableContents"/>
              <w:bidi w:val="0"/>
              <w:spacing w:before="0" w:after="283"/>
              <w:jc w:val="center"/>
              <w:rPr>
                <w:b/>
                <w:sz w:val="18"/>
              </w:rPr>
            </w:pPr>
            <w:r>
              <w:rPr>
                <w:b/>
                <w:sz w:val="18"/>
              </w:rPr>
              <w:t>2025</w:t>
            </w:r>
          </w:p>
        </w:tc>
      </w:tr>
      <w:tr>
        <w:trPr/>
        <w:tc>
          <w:tcPr>
            <w:tcW w:w="48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20" w:type="dxa"/>
            <w:gridSpan w:val="3"/>
            <w:tcBorders/>
            <w:vAlign w:val="center"/>
          </w:tcPr>
          <w:p>
            <w:pPr>
              <w:pStyle w:val="TableContents"/>
              <w:bidi w:val="0"/>
              <w:spacing w:before="0" w:after="283"/>
              <w:jc w:val="center"/>
              <w:rPr>
                <w:sz w:val="18"/>
              </w:rPr>
            </w:pPr>
            <w:r>
              <w:rPr>
                <w:sz w:val="18"/>
              </w:rPr>
              <w:t>(Unaudited)</w:t>
            </w:r>
          </w:p>
        </w:tc>
        <w:tc>
          <w:tcPr>
            <w:tcW w:w="60" w:type="dxa"/>
            <w:tcBorders/>
            <w:vAlign w:val="center"/>
          </w:tcPr>
          <w:p>
            <w:pPr>
              <w:pStyle w:val="TableContents"/>
              <w:bidi w:val="0"/>
              <w:spacing w:before="0" w:after="283"/>
              <w:jc w:val="left"/>
              <w:rPr/>
            </w:pPr>
            <w:r>
              <w:rPr/>
              <w:t> </w:t>
            </w:r>
          </w:p>
        </w:tc>
        <w:tc>
          <w:tcPr>
            <w:tcW w:w="1020" w:type="dxa"/>
            <w:gridSpan w:val="3"/>
            <w:tcBorders/>
            <w:vAlign w:val="center"/>
          </w:tcPr>
          <w:p>
            <w:pPr>
              <w:pStyle w:val="TableContents"/>
              <w:bidi w:val="0"/>
              <w:spacing w:before="0" w:after="283"/>
              <w:jc w:val="center"/>
              <w:rPr>
                <w:sz w:val="18"/>
              </w:rPr>
            </w:pPr>
            <w:r>
              <w:rPr>
                <w:sz w:val="18"/>
              </w:rPr>
              <w:t>(Unaudited)</w:t>
            </w:r>
          </w:p>
        </w:tc>
        <w:tc>
          <w:tcPr>
            <w:tcW w:w="60" w:type="dxa"/>
            <w:tcBorders/>
            <w:vAlign w:val="center"/>
          </w:tcPr>
          <w:p>
            <w:pPr>
              <w:pStyle w:val="TableContents"/>
              <w:bidi w:val="0"/>
              <w:spacing w:before="0" w:after="283"/>
              <w:jc w:val="left"/>
              <w:rPr/>
            </w:pPr>
            <w:r>
              <w:rPr/>
              <w:t> </w:t>
            </w:r>
          </w:p>
        </w:tc>
        <w:tc>
          <w:tcPr>
            <w:tcW w:w="1290" w:type="dxa"/>
            <w:gridSpan w:val="3"/>
            <w:tcBorders/>
            <w:vAlign w:val="center"/>
          </w:tcPr>
          <w:p>
            <w:pPr>
              <w:pStyle w:val="TableContents"/>
              <w:bidi w:val="0"/>
              <w:spacing w:before="0" w:after="283"/>
              <w:jc w:val="center"/>
              <w:rPr>
                <w:sz w:val="18"/>
              </w:rPr>
            </w:pPr>
            <w:r>
              <w:rPr>
                <w:sz w:val="18"/>
              </w:rPr>
              <w:t>(Unaudited)</w:t>
            </w:r>
          </w:p>
        </w:tc>
        <w:tc>
          <w:tcPr>
            <w:tcW w:w="60" w:type="dxa"/>
            <w:tcBorders/>
            <w:vAlign w:val="center"/>
          </w:tcPr>
          <w:p>
            <w:pPr>
              <w:pStyle w:val="TableContents"/>
              <w:bidi w:val="0"/>
              <w:spacing w:before="0" w:after="283"/>
              <w:jc w:val="left"/>
              <w:rPr/>
            </w:pPr>
            <w:r>
              <w:rPr/>
              <w:t> </w:t>
            </w:r>
          </w:p>
        </w:tc>
        <w:tc>
          <w:tcPr>
            <w:tcW w:w="1035" w:type="dxa"/>
            <w:gridSpan w:val="3"/>
            <w:tcBorders/>
            <w:vAlign w:val="center"/>
          </w:tcPr>
          <w:p>
            <w:pPr>
              <w:pStyle w:val="TableContents"/>
              <w:bidi w:val="0"/>
              <w:spacing w:before="0" w:after="283"/>
              <w:jc w:val="center"/>
              <w:rPr>
                <w:sz w:val="18"/>
              </w:rPr>
            </w:pPr>
            <w:r>
              <w:rPr>
                <w:sz w:val="18"/>
              </w:rPr>
              <w:t>(Unaudited)</w:t>
            </w:r>
            <w:bookmarkStart w:id="104" w:name="xdx_405_eus-gaap--RevenuesAbstract_iB_zY"/>
            <w:bookmarkEnd w:id="104"/>
          </w:p>
        </w:tc>
      </w:tr>
      <w:tr>
        <w:trPr/>
        <w:tc>
          <w:tcPr>
            <w:tcW w:w="4880" w:type="dxa"/>
            <w:tcBorders/>
            <w:shd w:fill="EEEEEE" w:val="clear"/>
            <w:vAlign w:val="center"/>
          </w:tcPr>
          <w:p>
            <w:pPr>
              <w:pStyle w:val="TableContents"/>
              <w:bidi w:val="0"/>
              <w:spacing w:before="0" w:after="283"/>
              <w:jc w:val="left"/>
              <w:rPr>
                <w:sz w:val="18"/>
              </w:rPr>
            </w:pPr>
            <w:r>
              <w:rPr>
                <w:sz w:val="18"/>
              </w:rPr>
              <w:t>REVENUES</w:t>
            </w:r>
          </w:p>
        </w:tc>
        <w:tc>
          <w:tcPr>
            <w:tcW w:w="60" w:type="dxa"/>
            <w:tcBorders/>
            <w:shd w:fill="EEEEEE" w:val="clear"/>
            <w:vAlign w:val="center"/>
          </w:tcPr>
          <w:p>
            <w:pPr>
              <w:pStyle w:val="TableContents"/>
              <w:bidi w:val="0"/>
              <w:spacing w:before="0" w:after="283"/>
              <w:jc w:val="left"/>
              <w:rPr/>
            </w:pPr>
            <w:r>
              <w:rPr/>
              <w:t> </w:t>
            </w:r>
          </w:p>
        </w:tc>
        <w:tc>
          <w:tcPr>
            <w:tcW w:w="1320" w:type="dxa"/>
            <w:gridSpan w:val="3"/>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1020" w:type="dxa"/>
            <w:gridSpan w:val="3"/>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1290" w:type="dxa"/>
            <w:gridSpan w:val="3"/>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1035" w:type="dxa"/>
            <w:gridSpan w:val="3"/>
            <w:tcBorders/>
            <w:shd w:fill="EEEEEE" w:val="clear"/>
            <w:vAlign w:val="center"/>
          </w:tcPr>
          <w:p>
            <w:pPr>
              <w:pStyle w:val="TableContents"/>
              <w:bidi w:val="0"/>
              <w:spacing w:before="0" w:after="283"/>
              <w:jc w:val="center"/>
              <w:rPr/>
            </w:pPr>
            <w:r>
              <w:rPr/>
              <w:t> </w:t>
            </w:r>
          </w:p>
        </w:tc>
      </w:tr>
      <w:tr>
        <w:trPr/>
        <w:tc>
          <w:tcPr>
            <w:tcW w:w="4880" w:type="dxa"/>
            <w:tcBorders/>
            <w:shd w:fill="FFFFFF" w:val="clear"/>
            <w:vAlign w:val="center"/>
          </w:tcPr>
          <w:p>
            <w:pPr>
              <w:pStyle w:val="TableContents"/>
              <w:bidi w:val="0"/>
              <w:spacing w:before="0" w:after="283"/>
              <w:jc w:val="left"/>
              <w:rPr>
                <w:sz w:val="18"/>
              </w:rPr>
            </w:pPr>
            <w:r>
              <w:rPr>
                <w:sz w:val="18"/>
              </w:rPr>
              <w:t>Product sales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bookmarkStart w:id="105" w:name="xdx_987_eus-gaap--Revenues_c20260101__20"/>
            <w:bookmarkEnd w:id="105"/>
          </w:p>
        </w:tc>
        <w:tc>
          <w:tcPr>
            <w:tcW w:w="1055" w:type="dxa"/>
            <w:tcBorders/>
            <w:shd w:fill="FFFFFF" w:val="clear"/>
            <w:vAlign w:val="center"/>
          </w:tcPr>
          <w:p>
            <w:pPr>
              <w:pStyle w:val="TableContents"/>
              <w:bidi w:val="0"/>
              <w:spacing w:before="0" w:after="283"/>
              <w:jc w:val="right"/>
              <w:rPr>
                <w:sz w:val="18"/>
              </w:rPr>
            </w:pPr>
            <w:r>
              <w:rPr>
                <w:sz w:val="18"/>
              </w:rPr>
              <w:t>3,498,681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bookmarkStart w:id="106" w:name="xdx_989_eus-gaap--Revenues_c20250101__20"/>
            <w:bookmarkEnd w:id="106"/>
          </w:p>
        </w:tc>
        <w:tc>
          <w:tcPr>
            <w:tcW w:w="830" w:type="dxa"/>
            <w:tcBorders/>
            <w:shd w:fill="FFFFFF" w:val="clear"/>
            <w:vAlign w:val="center"/>
          </w:tcPr>
          <w:p>
            <w:pPr>
              <w:pStyle w:val="TableContents"/>
              <w:bidi w:val="0"/>
              <w:spacing w:before="0" w:after="283"/>
              <w:jc w:val="right"/>
              <w:rPr>
                <w:sz w:val="18"/>
              </w:rPr>
            </w:pPr>
            <w:r>
              <w:rPr>
                <w:sz w:val="18"/>
              </w:rPr>
              <w:t>15,018,227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bookmarkStart w:id="107" w:name="xdx_988_eus-gaap--Revenues_c20250701__20"/>
            <w:bookmarkEnd w:id="107"/>
          </w:p>
        </w:tc>
        <w:tc>
          <w:tcPr>
            <w:tcW w:w="1055" w:type="dxa"/>
            <w:tcBorders/>
            <w:shd w:fill="FFFFFF" w:val="clear"/>
            <w:vAlign w:val="center"/>
          </w:tcPr>
          <w:p>
            <w:pPr>
              <w:pStyle w:val="TableContents"/>
              <w:bidi w:val="0"/>
              <w:spacing w:before="0" w:after="283"/>
              <w:jc w:val="right"/>
              <w:rPr>
                <w:sz w:val="18"/>
              </w:rPr>
            </w:pPr>
            <w:r>
              <w:rPr>
                <w:sz w:val="18"/>
              </w:rPr>
              <w:t>16,990,959</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bookmarkStart w:id="108" w:name="xdx_98C_eus-gaap--Revenues_c20240701__20"/>
            <w:bookmarkEnd w:id="108"/>
          </w:p>
        </w:tc>
        <w:tc>
          <w:tcPr>
            <w:tcW w:w="830" w:type="dxa"/>
            <w:tcBorders/>
            <w:shd w:fill="FFFFFF" w:val="clear"/>
            <w:vAlign w:val="center"/>
          </w:tcPr>
          <w:p>
            <w:pPr>
              <w:pStyle w:val="TableContents"/>
              <w:bidi w:val="0"/>
              <w:spacing w:before="0" w:after="283"/>
              <w:jc w:val="right"/>
              <w:rPr>
                <w:sz w:val="18"/>
              </w:rPr>
            </w:pPr>
            <w:r>
              <w:rPr>
                <w:sz w:val="18"/>
              </w:rPr>
              <w:t>49,422,823</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EEEEEE" w:val="clear"/>
            <w:vAlign w:val="center"/>
          </w:tcPr>
          <w:p>
            <w:pPr>
              <w:pStyle w:val="TableContents"/>
              <w:bidi w:val="0"/>
              <w:spacing w:before="0" w:after="283"/>
              <w:jc w:val="left"/>
              <w:rPr>
                <w:sz w:val="18"/>
              </w:rPr>
            </w:pPr>
            <w:r>
              <w:rPr>
                <w:sz w:val="18"/>
              </w:rPr>
              <w:t>Service income</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09" w:name="xdx_982_eus-gaap--Revenues_d0_c20260101_"/>
            <w:bookmarkEnd w:id="109"/>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10" w:name="xdx_98F_eus-gaap--Revenues_c20250101__20"/>
            <w:bookmarkEnd w:id="110"/>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1,023,445</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11" w:name="xdx_982_eus-gaap--Revenues_c20250701__20"/>
            <w:bookmarkEnd w:id="111"/>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1,532,722</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12" w:name="xdx_988_eus-gaap--Revenues_c20240701__20"/>
            <w:bookmarkEnd w:id="112"/>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3,222,236</w:t>
            </w:r>
          </w:p>
        </w:tc>
        <w:tc>
          <w:tcPr>
            <w:tcW w:w="95" w:type="dxa"/>
            <w:tcBorders/>
            <w:shd w:fill="EEEEEE" w:val="clear"/>
            <w:vAlign w:val="center"/>
          </w:tcPr>
          <w:p>
            <w:pPr>
              <w:pStyle w:val="TableContents"/>
              <w:bidi w:val="0"/>
              <w:spacing w:before="0" w:after="283"/>
              <w:jc w:val="left"/>
              <w:rPr/>
            </w:pPr>
            <w:r>
              <w:rPr/>
              <w:t> </w:t>
            </w:r>
            <w:bookmarkStart w:id="113" w:name="xdx_405_eus-gaap--Revenues_maGPzwT9_z9Qb"/>
            <w:bookmarkEnd w:id="113"/>
          </w:p>
        </w:tc>
      </w:tr>
      <w:tr>
        <w:trPr/>
        <w:tc>
          <w:tcPr>
            <w:tcW w:w="4880" w:type="dxa"/>
            <w:tcBorders/>
            <w:shd w:fill="FFFFFF" w:val="clear"/>
            <w:vAlign w:val="center"/>
          </w:tcPr>
          <w:p>
            <w:pPr>
              <w:pStyle w:val="TableContents"/>
              <w:bidi w:val="0"/>
              <w:spacing w:before="0" w:after="283"/>
              <w:jc w:val="left"/>
              <w:rPr>
                <w:sz w:val="18"/>
              </w:rPr>
            </w:pPr>
            <w:r>
              <w:rPr>
                <w:sz w:val="18"/>
              </w:rPr>
              <w:t>Total revenues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3,498,681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16,041,672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18,523,681</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52,645,059</w:t>
            </w:r>
          </w:p>
        </w:tc>
        <w:tc>
          <w:tcPr>
            <w:tcW w:w="95" w:type="dxa"/>
            <w:tcBorders/>
            <w:shd w:fill="FFFFFF" w:val="clear"/>
            <w:vAlign w:val="center"/>
          </w:tcPr>
          <w:p>
            <w:pPr>
              <w:pStyle w:val="TableContents"/>
              <w:bidi w:val="0"/>
              <w:spacing w:before="0" w:after="283"/>
              <w:jc w:val="left"/>
              <w:rPr/>
            </w:pPr>
            <w:r>
              <w:rPr/>
              <w:t> </w:t>
            </w:r>
            <w:bookmarkStart w:id="114" w:name="xdx_40E_eus-gaap--CostOfRevenueAbstract_"/>
            <w:bookmarkEnd w:id="114"/>
          </w:p>
        </w:tc>
      </w:tr>
      <w:tr>
        <w:trPr/>
        <w:tc>
          <w:tcPr>
            <w:tcW w:w="4880" w:type="dxa"/>
            <w:tcBorders/>
            <w:shd w:fill="EEEEEE" w:val="clear"/>
            <w:vAlign w:val="center"/>
          </w:tcPr>
          <w:p>
            <w:pPr>
              <w:pStyle w:val="TableContents"/>
              <w:bidi w:val="0"/>
              <w:spacing w:before="0" w:after="283"/>
              <w:jc w:val="left"/>
              <w:rPr>
                <w:sz w:val="18"/>
              </w:rPr>
            </w:pPr>
            <w:r>
              <w:rPr>
                <w:sz w:val="18"/>
              </w:rPr>
              <w:t>COST OF REVENUES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sz w:val="18"/>
              </w:rPr>
            </w:pPr>
            <w:r>
              <w:rPr>
                <w:sz w:val="18"/>
              </w:rPr>
              <w:t>Product costs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15" w:name="xdx_98C_eus-gaap--CostOfRevenue_c2026010"/>
            <w:bookmarkEnd w:id="115"/>
          </w:p>
        </w:tc>
        <w:tc>
          <w:tcPr>
            <w:tcW w:w="1055" w:type="dxa"/>
            <w:tcBorders/>
            <w:shd w:fill="FFFFFF" w:val="clear"/>
            <w:vAlign w:val="center"/>
          </w:tcPr>
          <w:p>
            <w:pPr>
              <w:pStyle w:val="TableContents"/>
              <w:bidi w:val="0"/>
              <w:spacing w:before="0" w:after="283"/>
              <w:jc w:val="right"/>
              <w:rPr>
                <w:sz w:val="18"/>
              </w:rPr>
            </w:pPr>
            <w:r>
              <w:rPr>
                <w:sz w:val="18"/>
              </w:rPr>
              <w:t>2,743,132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16" w:name="xdx_98F_eus-gaap--CostOfRevenue_c2025010"/>
            <w:bookmarkEnd w:id="116"/>
          </w:p>
        </w:tc>
        <w:tc>
          <w:tcPr>
            <w:tcW w:w="830" w:type="dxa"/>
            <w:tcBorders/>
            <w:shd w:fill="FFFFFF" w:val="clear"/>
            <w:vAlign w:val="center"/>
          </w:tcPr>
          <w:p>
            <w:pPr>
              <w:pStyle w:val="TableContents"/>
              <w:bidi w:val="0"/>
              <w:spacing w:before="0" w:after="283"/>
              <w:jc w:val="right"/>
              <w:rPr>
                <w:sz w:val="18"/>
              </w:rPr>
            </w:pPr>
            <w:r>
              <w:rPr>
                <w:sz w:val="18"/>
              </w:rPr>
              <w:t>8,306,217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17" w:name="xdx_98D_eus-gaap--CostOfRevenue_c2025070"/>
            <w:bookmarkEnd w:id="117"/>
          </w:p>
        </w:tc>
        <w:tc>
          <w:tcPr>
            <w:tcW w:w="1055" w:type="dxa"/>
            <w:tcBorders/>
            <w:shd w:fill="FFFFFF" w:val="clear"/>
            <w:vAlign w:val="center"/>
          </w:tcPr>
          <w:p>
            <w:pPr>
              <w:pStyle w:val="TableContents"/>
              <w:bidi w:val="0"/>
              <w:spacing w:before="0" w:after="283"/>
              <w:jc w:val="right"/>
              <w:rPr>
                <w:sz w:val="18"/>
              </w:rPr>
            </w:pPr>
            <w:r>
              <w:rPr>
                <w:sz w:val="18"/>
              </w:rPr>
              <w:t>10,353,516</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18" w:name="xdx_984_eus-gaap--CostOfRevenue_c2024070"/>
            <w:bookmarkEnd w:id="118"/>
          </w:p>
        </w:tc>
        <w:tc>
          <w:tcPr>
            <w:tcW w:w="830" w:type="dxa"/>
            <w:tcBorders/>
            <w:shd w:fill="FFFFFF" w:val="clear"/>
            <w:vAlign w:val="center"/>
          </w:tcPr>
          <w:p>
            <w:pPr>
              <w:pStyle w:val="TableContents"/>
              <w:bidi w:val="0"/>
              <w:spacing w:before="0" w:after="283"/>
              <w:jc w:val="right"/>
              <w:rPr>
                <w:sz w:val="18"/>
              </w:rPr>
            </w:pPr>
            <w:r>
              <w:rPr>
                <w:sz w:val="18"/>
              </w:rPr>
              <w:t>27,043,417</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EEEEEE" w:val="clear"/>
            <w:vAlign w:val="center"/>
          </w:tcPr>
          <w:p>
            <w:pPr>
              <w:pStyle w:val="TableContents"/>
              <w:bidi w:val="0"/>
              <w:spacing w:before="0" w:after="283"/>
              <w:jc w:val="left"/>
              <w:rPr>
                <w:sz w:val="18"/>
              </w:rPr>
            </w:pPr>
            <w:r>
              <w:rPr>
                <w:sz w:val="18"/>
              </w:rPr>
              <w:t>Service costs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19" w:name="xdx_98A_eus-gaap--CostOfRevenue_d0_c2026"/>
            <w:bookmarkEnd w:id="119"/>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20" w:name="xdx_982_eus-gaap--CostOfRevenue_c2025010"/>
            <w:bookmarkEnd w:id="120"/>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879,995</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21" w:name="xdx_98E_eus-gaap--CostOfRevenue_c2025070"/>
            <w:bookmarkEnd w:id="121"/>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1,332,681</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22" w:name="xdx_98B_eus-gaap--CostOfRevenue_c2024070"/>
            <w:bookmarkEnd w:id="122"/>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2,704,737</w:t>
            </w:r>
          </w:p>
        </w:tc>
        <w:tc>
          <w:tcPr>
            <w:tcW w:w="95" w:type="dxa"/>
            <w:tcBorders/>
            <w:shd w:fill="EEEEEE" w:val="clear"/>
            <w:vAlign w:val="center"/>
          </w:tcPr>
          <w:p>
            <w:pPr>
              <w:pStyle w:val="TableContents"/>
              <w:bidi w:val="0"/>
              <w:spacing w:before="0" w:after="283"/>
              <w:jc w:val="left"/>
              <w:rPr/>
            </w:pPr>
            <w:r>
              <w:rPr/>
              <w:t> </w:t>
            </w:r>
            <w:bookmarkStart w:id="123" w:name="xdx_402_eus-gaap--CostOfRevenue_msGPzwT9"/>
            <w:bookmarkEnd w:id="123"/>
          </w:p>
        </w:tc>
      </w:tr>
      <w:tr>
        <w:trPr/>
        <w:tc>
          <w:tcPr>
            <w:tcW w:w="4880" w:type="dxa"/>
            <w:tcBorders/>
            <w:shd w:fill="FFFFFF" w:val="clear"/>
            <w:vAlign w:val="center"/>
          </w:tcPr>
          <w:p>
            <w:pPr>
              <w:pStyle w:val="TableContents"/>
              <w:bidi w:val="0"/>
              <w:spacing w:before="0" w:after="283"/>
              <w:jc w:val="left"/>
              <w:rPr>
                <w:sz w:val="18"/>
              </w:rPr>
            </w:pPr>
            <w:r>
              <w:rPr>
                <w:sz w:val="18"/>
              </w:rPr>
              <w:t>Total cost of revenues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2,743,132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9,186,212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11,686,197</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29,748,154</w:t>
            </w:r>
          </w:p>
        </w:tc>
        <w:tc>
          <w:tcPr>
            <w:tcW w:w="95" w:type="dxa"/>
            <w:tcBorders/>
            <w:shd w:fill="FFFFFF" w:val="clear"/>
            <w:vAlign w:val="center"/>
          </w:tcPr>
          <w:p>
            <w:pPr>
              <w:pStyle w:val="TableContents"/>
              <w:bidi w:val="0"/>
              <w:spacing w:before="0" w:after="283"/>
              <w:jc w:val="left"/>
              <w:rPr/>
            </w:pPr>
            <w:r>
              <w:rPr/>
              <w:t> </w:t>
            </w:r>
            <w:bookmarkStart w:id="124" w:name="xdx_406_eus-gaap--GrossProfit_iT_pp0p0_m"/>
            <w:bookmarkEnd w:id="124"/>
          </w:p>
        </w:tc>
      </w:tr>
      <w:tr>
        <w:trPr/>
        <w:tc>
          <w:tcPr>
            <w:tcW w:w="4880" w:type="dxa"/>
            <w:tcBorders/>
            <w:shd w:fill="EEEEEE" w:val="clear"/>
            <w:vAlign w:val="center"/>
          </w:tcPr>
          <w:p>
            <w:pPr>
              <w:pStyle w:val="TableContents"/>
              <w:bidi w:val="0"/>
              <w:spacing w:before="0" w:after="283"/>
              <w:jc w:val="left"/>
              <w:rPr>
                <w:sz w:val="18"/>
              </w:rPr>
            </w:pPr>
            <w:r>
              <w:rPr>
                <w:sz w:val="18"/>
              </w:rPr>
              <w:t>GROSS PROFIT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755,549</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6,855,460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6,837,484</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22,896,905</w:t>
            </w:r>
          </w:p>
        </w:tc>
        <w:tc>
          <w:tcPr>
            <w:tcW w:w="95" w:type="dxa"/>
            <w:tcBorders/>
            <w:shd w:fill="EEEEEE"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25" w:name="xdx_40F_eus-gaap--OperatingExpensesAbstr"/>
            <w:bookmarkEnd w:id="125"/>
          </w:p>
        </w:tc>
      </w:tr>
      <w:tr>
        <w:trPr/>
        <w:tc>
          <w:tcPr>
            <w:tcW w:w="4880" w:type="dxa"/>
            <w:tcBorders/>
            <w:shd w:fill="EEEEEE" w:val="clear"/>
            <w:vAlign w:val="center"/>
          </w:tcPr>
          <w:p>
            <w:pPr>
              <w:pStyle w:val="TableContents"/>
              <w:bidi w:val="0"/>
              <w:spacing w:before="0" w:after="283"/>
              <w:jc w:val="left"/>
              <w:rPr>
                <w:sz w:val="18"/>
              </w:rPr>
            </w:pPr>
            <w:r>
              <w:rPr>
                <w:sz w:val="18"/>
              </w:rPr>
              <w:t>OPERATING EXPENSES: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26" w:name="xdx_402_eus-gaap--OtherSellingGeneralAnd"/>
            <w:bookmarkEnd w:id="126"/>
          </w:p>
        </w:tc>
      </w:tr>
      <w:tr>
        <w:trPr/>
        <w:tc>
          <w:tcPr>
            <w:tcW w:w="4880" w:type="dxa"/>
            <w:tcBorders/>
            <w:shd w:fill="FFFFFF" w:val="clear"/>
            <w:vAlign w:val="center"/>
          </w:tcPr>
          <w:p>
            <w:pPr>
              <w:pStyle w:val="TableContents"/>
              <w:bidi w:val="0"/>
              <w:spacing w:before="0" w:after="283"/>
              <w:jc w:val="left"/>
              <w:rPr>
                <w:sz w:val="18"/>
              </w:rPr>
            </w:pPr>
            <w:r>
              <w:rPr>
                <w:sz w:val="18"/>
              </w:rPr>
              <w:t>Selling and fulfillment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18"/>
              </w:rPr>
            </w:pPr>
            <w:r>
              <w:rPr>
                <w:sz w:val="18"/>
              </w:rPr>
              <w:t>991,037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5,373,932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18"/>
              </w:rPr>
            </w:pPr>
            <w:r>
              <w:rPr>
                <w:sz w:val="18"/>
              </w:rPr>
              <w:t>7,348,039</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15,687,013</w:t>
            </w:r>
          </w:p>
        </w:tc>
        <w:tc>
          <w:tcPr>
            <w:tcW w:w="95" w:type="dxa"/>
            <w:tcBorders/>
            <w:shd w:fill="FFFFFF" w:val="clear"/>
            <w:vAlign w:val="center"/>
          </w:tcPr>
          <w:p>
            <w:pPr>
              <w:pStyle w:val="TableContents"/>
              <w:bidi w:val="0"/>
              <w:spacing w:before="0" w:after="283"/>
              <w:jc w:val="left"/>
              <w:rPr/>
            </w:pPr>
            <w:r>
              <w:rPr/>
              <w:t> </w:t>
            </w:r>
            <w:bookmarkStart w:id="127" w:name="xdx_405_eus-gaap--OtherGeneralAndAdminis"/>
            <w:bookmarkEnd w:id="127"/>
          </w:p>
        </w:tc>
      </w:tr>
      <w:tr>
        <w:trPr/>
        <w:tc>
          <w:tcPr>
            <w:tcW w:w="4880" w:type="dxa"/>
            <w:tcBorders/>
            <w:shd w:fill="EEEEEE" w:val="clear"/>
            <w:vAlign w:val="center"/>
          </w:tcPr>
          <w:p>
            <w:pPr>
              <w:pStyle w:val="TableContents"/>
              <w:bidi w:val="0"/>
              <w:spacing w:before="0" w:after="283"/>
              <w:jc w:val="left"/>
              <w:rPr>
                <w:sz w:val="18"/>
              </w:rPr>
            </w:pPr>
            <w:r>
              <w:rPr>
                <w:sz w:val="18"/>
              </w:rPr>
              <w:t>General and administrative</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908,773</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1,816,032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4,630,041</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10,033,958</w:t>
            </w:r>
          </w:p>
        </w:tc>
        <w:tc>
          <w:tcPr>
            <w:tcW w:w="95" w:type="dxa"/>
            <w:tcBorders/>
            <w:shd w:fill="EEEEEE" w:val="clear"/>
            <w:vAlign w:val="center"/>
          </w:tcPr>
          <w:p>
            <w:pPr>
              <w:pStyle w:val="TableContents"/>
              <w:bidi w:val="0"/>
              <w:spacing w:before="0" w:after="283"/>
              <w:jc w:val="left"/>
              <w:rPr/>
            </w:pPr>
            <w:r>
              <w:rPr/>
              <w:t> </w:t>
            </w:r>
            <w:bookmarkStart w:id="128" w:name="xdx_405_eus-gaap--OperatingExpenses_i01T"/>
            <w:bookmarkEnd w:id="128"/>
          </w:p>
        </w:tc>
      </w:tr>
      <w:tr>
        <w:trPr/>
        <w:tc>
          <w:tcPr>
            <w:tcW w:w="4880" w:type="dxa"/>
            <w:tcBorders/>
            <w:shd w:fill="FFFFFF" w:val="clear"/>
            <w:vAlign w:val="center"/>
          </w:tcPr>
          <w:p>
            <w:pPr>
              <w:pStyle w:val="TableContents"/>
              <w:bidi w:val="0"/>
              <w:spacing w:before="0" w:after="283"/>
              <w:jc w:val="left"/>
              <w:rPr>
                <w:sz w:val="18"/>
              </w:rPr>
            </w:pPr>
            <w:r>
              <w:rPr>
                <w:sz w:val="18"/>
              </w:rPr>
              <w:t>Total operating expenses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1,899,810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7,189,964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11,978,080</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25,720,971</w:t>
            </w:r>
          </w:p>
        </w:tc>
        <w:tc>
          <w:tcPr>
            <w:tcW w:w="95" w:type="dxa"/>
            <w:tcBorders/>
            <w:shd w:fill="FFFFFF" w:val="clear"/>
            <w:vAlign w:val="center"/>
          </w:tcPr>
          <w:p>
            <w:pPr>
              <w:pStyle w:val="TableContents"/>
              <w:bidi w:val="0"/>
              <w:spacing w:before="0" w:after="283"/>
              <w:jc w:val="left"/>
              <w:rPr/>
            </w:pPr>
            <w:r>
              <w:rPr/>
              <w:t> </w:t>
            </w:r>
            <w:bookmarkStart w:id="129" w:name="xdx_400_eus-gaap--OperatingIncomeLoss_i0"/>
            <w:bookmarkEnd w:id="129"/>
          </w:p>
        </w:tc>
      </w:tr>
      <w:tr>
        <w:trPr/>
        <w:tc>
          <w:tcPr>
            <w:tcW w:w="4880" w:type="dxa"/>
            <w:tcBorders/>
            <w:shd w:fill="EEEEEE" w:val="clear"/>
            <w:vAlign w:val="center"/>
          </w:tcPr>
          <w:p>
            <w:pPr>
              <w:pStyle w:val="TableContents"/>
              <w:bidi w:val="0"/>
              <w:spacing w:before="0" w:after="283"/>
              <w:jc w:val="left"/>
              <w:rPr>
                <w:sz w:val="18"/>
              </w:rPr>
            </w:pPr>
            <w:r>
              <w:rPr>
                <w:sz w:val="18"/>
              </w:rPr>
              <w:t>LOSS FROM OPERATIONS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(1,144,261</w:t>
            </w:r>
          </w:p>
        </w:tc>
        <w:tc>
          <w:tcPr>
            <w:tcW w:w="155"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(334,504</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(5,140,596</w:t>
            </w:r>
          </w:p>
        </w:tc>
        <w:tc>
          <w:tcPr>
            <w:tcW w:w="125"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(2,824,066</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30" w:name="xdx_40F_eus-gaap--NonoperatingIncomeExpe"/>
            <w:bookmarkEnd w:id="130"/>
          </w:p>
        </w:tc>
      </w:tr>
      <w:tr>
        <w:trPr/>
        <w:tc>
          <w:tcPr>
            <w:tcW w:w="4880" w:type="dxa"/>
            <w:tcBorders/>
            <w:shd w:fill="EEEEEE" w:val="clear"/>
            <w:vAlign w:val="center"/>
          </w:tcPr>
          <w:p>
            <w:pPr>
              <w:pStyle w:val="TableContents"/>
              <w:bidi w:val="0"/>
              <w:spacing w:before="0" w:after="283"/>
              <w:jc w:val="left"/>
              <w:rPr>
                <w:sz w:val="18"/>
              </w:rPr>
            </w:pPr>
            <w:r>
              <w:rPr>
                <w:sz w:val="18"/>
              </w:rPr>
              <w:t>OTHER INCOME (EXPENSE)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31" w:name="xdx_40F_eus-gaap--InterestIncomeExpenseN"/>
            <w:bookmarkEnd w:id="131"/>
          </w:p>
        </w:tc>
      </w:tr>
      <w:tr>
        <w:trPr/>
        <w:tc>
          <w:tcPr>
            <w:tcW w:w="4880" w:type="dxa"/>
            <w:tcBorders/>
            <w:shd w:fill="FFFFFF" w:val="clear"/>
            <w:vAlign w:val="center"/>
          </w:tcPr>
          <w:p>
            <w:pPr>
              <w:pStyle w:val="TableContents"/>
              <w:bidi w:val="0"/>
              <w:spacing w:before="0" w:after="283"/>
              <w:jc w:val="left"/>
              <w:rPr>
                <w:sz w:val="18"/>
              </w:rPr>
            </w:pPr>
            <w:r>
              <w:rPr>
                <w:sz w:val="18"/>
              </w:rPr>
              <w:t>Interest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18"/>
              </w:rPr>
            </w:pPr>
            <w:r>
              <w:rPr>
                <w:sz w:val="18"/>
              </w:rPr>
              <w:t>(432,167</w:t>
            </w:r>
          </w:p>
        </w:tc>
        <w:tc>
          <w:tcPr>
            <w:tcW w:w="15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(81,968</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18"/>
              </w:rPr>
            </w:pPr>
            <w:r>
              <w:rPr>
                <w:sz w:val="18"/>
              </w:rPr>
              <w:t>(611,108</w:t>
            </w:r>
          </w:p>
        </w:tc>
        <w:tc>
          <w:tcPr>
            <w:tcW w:w="12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(362,602</w:t>
            </w:r>
          </w:p>
        </w:tc>
        <w:tc>
          <w:tcPr>
            <w:tcW w:w="95" w:type="dxa"/>
            <w:tcBorders/>
            <w:shd w:fill="FFFFFF" w:val="clear"/>
            <w:vAlign w:val="center"/>
          </w:tcPr>
          <w:p>
            <w:pPr>
              <w:pStyle w:val="TableContents"/>
              <w:bidi w:val="0"/>
              <w:spacing w:before="0" w:after="283"/>
              <w:jc w:val="left"/>
              <w:rPr>
                <w:sz w:val="18"/>
              </w:rPr>
            </w:pPr>
            <w:r>
              <w:rPr>
                <w:sz w:val="18"/>
              </w:rPr>
              <w:t>)</w:t>
            </w:r>
            <w:bookmarkStart w:id="132" w:name="xdx_405_eus-gaap--EquitySecuritiesFvNiGa"/>
            <w:bookmarkEnd w:id="132"/>
          </w:p>
        </w:tc>
      </w:tr>
      <w:tr>
        <w:trPr/>
        <w:tc>
          <w:tcPr>
            <w:tcW w:w="4880" w:type="dxa"/>
            <w:tcBorders/>
            <w:shd w:fill="EEEEEE" w:val="clear"/>
            <w:vAlign w:val="center"/>
          </w:tcPr>
          <w:p>
            <w:pPr>
              <w:pStyle w:val="TableContents"/>
              <w:bidi w:val="0"/>
              <w:spacing w:before="0" w:after="283"/>
              <w:jc w:val="left"/>
              <w:rPr>
                <w:sz w:val="18"/>
              </w:rPr>
            </w:pPr>
            <w:r>
              <w:rPr>
                <w:sz w:val="18"/>
              </w:rPr>
              <w:t>Loss on equity method investment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(986</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(2,707</w:t>
            </w:r>
          </w:p>
        </w:tc>
        <w:tc>
          <w:tcPr>
            <w:tcW w:w="95" w:type="dxa"/>
            <w:tcBorders/>
            <w:shd w:fill="EEEEEE" w:val="clear"/>
            <w:vAlign w:val="center"/>
          </w:tcPr>
          <w:p>
            <w:pPr>
              <w:pStyle w:val="TableContents"/>
              <w:bidi w:val="0"/>
              <w:spacing w:before="0" w:after="283"/>
              <w:jc w:val="left"/>
              <w:rPr>
                <w:sz w:val="18"/>
              </w:rPr>
            </w:pPr>
            <w:r>
              <w:rPr>
                <w:sz w:val="18"/>
              </w:rPr>
              <w:t>)</w:t>
            </w:r>
            <w:bookmarkStart w:id="133" w:name="xdx_407_eus-gaap--DeconsolidationGainOrL"/>
            <w:bookmarkEnd w:id="133"/>
          </w:p>
        </w:tc>
      </w:tr>
      <w:tr>
        <w:trPr/>
        <w:tc>
          <w:tcPr>
            <w:tcW w:w="4880" w:type="dxa"/>
            <w:tcBorders/>
            <w:shd w:fill="FFFFFF" w:val="clear"/>
            <w:vAlign w:val="center"/>
          </w:tcPr>
          <w:p>
            <w:pPr>
              <w:pStyle w:val="TableContents"/>
              <w:bidi w:val="0"/>
              <w:spacing w:before="0" w:after="283"/>
              <w:jc w:val="left"/>
              <w:rPr>
                <w:sz w:val="18"/>
              </w:rPr>
            </w:pPr>
            <w:r>
              <w:rPr>
                <w:sz w:val="18"/>
              </w:rPr>
              <w:t>Loss on deconsolidation of VIE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18"/>
              </w:rPr>
            </w:pPr>
            <w:r>
              <w:rPr>
                <w:sz w:val="18"/>
              </w:rPr>
              <w:t>(1,269</w:t>
            </w:r>
          </w:p>
        </w:tc>
        <w:tc>
          <w:tcPr>
            <w:tcW w:w="15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18"/>
              </w:rPr>
            </w:pPr>
            <w:r>
              <w:rPr>
                <w:sz w:val="18"/>
              </w:rPr>
              <w:t>(40,893</w:t>
            </w:r>
          </w:p>
        </w:tc>
        <w:tc>
          <w:tcPr>
            <w:tcW w:w="12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34" w:name="xdx_405_eus-gaap--CryptoAssetRealizedAnd"/>
            <w:bookmarkEnd w:id="134"/>
          </w:p>
        </w:tc>
      </w:tr>
      <w:tr>
        <w:trPr/>
        <w:tc>
          <w:tcPr>
            <w:tcW w:w="4880" w:type="dxa"/>
            <w:tcBorders/>
            <w:shd w:fill="EEEEEE" w:val="clear"/>
            <w:vAlign w:val="center"/>
          </w:tcPr>
          <w:p>
            <w:pPr>
              <w:pStyle w:val="TableContents"/>
              <w:bidi w:val="0"/>
              <w:spacing w:before="0" w:after="283"/>
              <w:jc w:val="left"/>
              <w:rPr>
                <w:sz w:val="18"/>
              </w:rPr>
            </w:pPr>
            <w:r>
              <w:rPr>
                <w:sz w:val="18"/>
              </w:rPr>
              <w:t>Unrealized gain (loss) on digital assets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sz w:val="18"/>
              </w:rPr>
            </w:pPr>
            <w:r>
              <w:rPr>
                <w:sz w:val="18"/>
              </w:rPr>
              <w:t>(549,932</w:t>
            </w:r>
          </w:p>
        </w:tc>
        <w:tc>
          <w:tcPr>
            <w:tcW w:w="155"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sz w:val="18"/>
              </w:rPr>
            </w:pPr>
            <w:r>
              <w:rPr>
                <w:sz w:val="18"/>
              </w:rPr>
              <w:t>(544,173</w:t>
            </w:r>
          </w:p>
        </w:tc>
        <w:tc>
          <w:tcPr>
            <w:tcW w:w="125"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135" w:name="xdx_40D_eus-gaap--GoodwillImpairmentLoss"/>
            <w:bookmarkEnd w:id="135"/>
          </w:p>
        </w:tc>
      </w:tr>
      <w:tr>
        <w:trPr/>
        <w:tc>
          <w:tcPr>
            <w:tcW w:w="4880" w:type="dxa"/>
            <w:tcBorders/>
            <w:shd w:fill="FFFFFF" w:val="clear"/>
            <w:vAlign w:val="center"/>
          </w:tcPr>
          <w:p>
            <w:pPr>
              <w:pStyle w:val="TableContents"/>
              <w:bidi w:val="0"/>
              <w:spacing w:before="0" w:after="283"/>
              <w:jc w:val="left"/>
              <w:rPr/>
            </w:pPr>
            <w:r>
              <w:rPr/>
              <w:t>Impairment loss - goodwill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(3,034,110</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(3,034,110</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36" w:name="xdx_40D_eus-gaap--DerivativeGainLossOnDe"/>
            <w:bookmarkEnd w:id="136"/>
          </w:p>
        </w:tc>
      </w:tr>
      <w:tr>
        <w:trPr/>
        <w:tc>
          <w:tcPr>
            <w:tcW w:w="4880" w:type="dxa"/>
            <w:tcBorders/>
            <w:shd w:fill="EEEEEE" w:val="clear"/>
            <w:vAlign w:val="center"/>
          </w:tcPr>
          <w:p>
            <w:pPr>
              <w:pStyle w:val="TableContents"/>
              <w:bidi w:val="0"/>
              <w:spacing w:before="0" w:after="283"/>
              <w:jc w:val="left"/>
              <w:rPr>
                <w:sz w:val="18"/>
              </w:rPr>
            </w:pPr>
            <w:r>
              <w:rPr>
                <w:sz w:val="18"/>
              </w:rPr>
              <w:t>Change in fair value of derivative liability</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sz w:val="18"/>
              </w:rPr>
            </w:pPr>
            <w:r>
              <w:rPr>
                <w:sz w:val="18"/>
              </w:rPr>
              <w:t>89,600</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sz w:val="18"/>
              </w:rPr>
            </w:pPr>
            <w:r>
              <w:rPr>
                <w:sz w:val="18"/>
              </w:rPr>
              <w:t>266,200</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137" w:name="xdx_40A_eus-gaap--GainsLossesOnExtinguis"/>
            <w:bookmarkEnd w:id="137"/>
          </w:p>
        </w:tc>
      </w:tr>
      <w:tr>
        <w:trPr/>
        <w:tc>
          <w:tcPr>
            <w:tcW w:w="4880" w:type="dxa"/>
            <w:tcBorders/>
            <w:shd w:fill="FFFFFF" w:val="clear"/>
            <w:vAlign w:val="center"/>
          </w:tcPr>
          <w:p>
            <w:pPr>
              <w:pStyle w:val="TableContents"/>
              <w:bidi w:val="0"/>
              <w:spacing w:before="0" w:after="283"/>
              <w:jc w:val="left"/>
              <w:rPr>
                <w:sz w:val="18"/>
              </w:rPr>
            </w:pPr>
            <w:r>
              <w:rPr>
                <w:sz w:val="18"/>
              </w:rPr>
              <w:t>Gain (Loss) on extinguishment of debt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18"/>
              </w:rPr>
            </w:pPr>
            <w:r>
              <w:rPr>
                <w:sz w:val="18"/>
              </w:rPr>
              <w:t>(539,634</w:t>
            </w:r>
          </w:p>
        </w:tc>
        <w:tc>
          <w:tcPr>
            <w:tcW w:w="15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18"/>
              </w:rPr>
            </w:pPr>
            <w:r>
              <w:rPr>
                <w:sz w:val="18"/>
              </w:rPr>
              <w:t>(563,734</w:t>
            </w:r>
          </w:p>
        </w:tc>
        <w:tc>
          <w:tcPr>
            <w:tcW w:w="12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38" w:name="xdx_40E_eus-gaap--OtherNonoperatingIncom"/>
            <w:bookmarkEnd w:id="138"/>
          </w:p>
        </w:tc>
      </w:tr>
      <w:tr>
        <w:trPr/>
        <w:tc>
          <w:tcPr>
            <w:tcW w:w="4880" w:type="dxa"/>
            <w:tcBorders/>
            <w:shd w:fill="EEEEEE" w:val="clear"/>
            <w:vAlign w:val="center"/>
          </w:tcPr>
          <w:p>
            <w:pPr>
              <w:pStyle w:val="TableContents"/>
              <w:bidi w:val="0"/>
              <w:spacing w:before="0" w:after="283"/>
              <w:jc w:val="left"/>
              <w:rPr>
                <w:sz w:val="18"/>
              </w:rPr>
            </w:pPr>
            <w:r>
              <w:rPr>
                <w:sz w:val="18"/>
              </w:rPr>
              <w:t>Other non-operating income (expenses)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3,897</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35,241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1,236,219</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47,521</w:t>
            </w:r>
          </w:p>
        </w:tc>
        <w:tc>
          <w:tcPr>
            <w:tcW w:w="95" w:type="dxa"/>
            <w:tcBorders/>
            <w:shd w:fill="EEEEEE" w:val="clear"/>
            <w:vAlign w:val="center"/>
          </w:tcPr>
          <w:p>
            <w:pPr>
              <w:pStyle w:val="TableContents"/>
              <w:bidi w:val="0"/>
              <w:spacing w:before="0" w:after="283"/>
              <w:jc w:val="left"/>
              <w:rPr/>
            </w:pPr>
            <w:r>
              <w:rPr/>
              <w:t> </w:t>
            </w:r>
            <w:bookmarkStart w:id="139" w:name="xdx_403_eus-gaap--NonoperatingIncomeExpe"/>
            <w:bookmarkEnd w:id="139"/>
          </w:p>
        </w:tc>
      </w:tr>
      <w:tr>
        <w:trPr/>
        <w:tc>
          <w:tcPr>
            <w:tcW w:w="4880" w:type="dxa"/>
            <w:tcBorders/>
            <w:shd w:fill="FFFFFF" w:val="clear"/>
            <w:vAlign w:val="center"/>
          </w:tcPr>
          <w:p>
            <w:pPr>
              <w:pStyle w:val="TableContents"/>
              <w:bidi w:val="0"/>
              <w:spacing w:before="0" w:after="283"/>
              <w:jc w:val="left"/>
              <w:rPr>
                <w:sz w:val="18"/>
              </w:rPr>
            </w:pPr>
            <w:r>
              <w:rPr>
                <w:sz w:val="18"/>
              </w:rPr>
              <w:t>Total other income (expenses), net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(4,463,615</w:t>
            </w:r>
          </w:p>
        </w:tc>
        <w:tc>
          <w:tcPr>
            <w:tcW w:w="15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(47,713</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(3,291,599</w:t>
            </w:r>
          </w:p>
        </w:tc>
        <w:tc>
          <w:tcPr>
            <w:tcW w:w="125" w:type="dxa"/>
            <w:tcBorders/>
            <w:shd w:fill="FFFFFF" w:val="clear"/>
            <w:vAlign w:val="center"/>
          </w:tcPr>
          <w:p>
            <w:pPr>
              <w:pStyle w:val="TableContents"/>
              <w:bidi w:val="0"/>
              <w:spacing w:before="0" w:after="283"/>
              <w:jc w:val="left"/>
              <w:rPr>
                <w:sz w:val="18"/>
              </w:rPr>
            </w:pPr>
            <w:r>
              <w:rPr>
                <w:sz w:val="18"/>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(317,788</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48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40" w:name="xdx_406_eus-gaap--IncomeLossFromContinui"/>
            <w:bookmarkEnd w:id="140"/>
          </w:p>
        </w:tc>
      </w:tr>
      <w:tr>
        <w:trPr/>
        <w:tc>
          <w:tcPr>
            <w:tcW w:w="4880" w:type="dxa"/>
            <w:tcBorders/>
            <w:shd w:fill="FFFFFF" w:val="clear"/>
            <w:vAlign w:val="center"/>
          </w:tcPr>
          <w:p>
            <w:pPr>
              <w:pStyle w:val="TableContents"/>
              <w:bidi w:val="0"/>
              <w:spacing w:before="0" w:after="283"/>
              <w:jc w:val="left"/>
              <w:rPr>
                <w:sz w:val="18"/>
              </w:rPr>
            </w:pPr>
            <w:r>
              <w:rPr>
                <w:sz w:val="18"/>
              </w:rPr>
              <w:t>LOSS BEFORE INCOME TAXES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18"/>
              </w:rPr>
            </w:pPr>
            <w:r>
              <w:rPr>
                <w:sz w:val="18"/>
              </w:rPr>
              <w:t>(5,607,876</w:t>
            </w:r>
          </w:p>
        </w:tc>
        <w:tc>
          <w:tcPr>
            <w:tcW w:w="15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(382,217</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18"/>
              </w:rPr>
            </w:pPr>
            <w:r>
              <w:rPr>
                <w:sz w:val="18"/>
              </w:rPr>
              <w:t>(8,432,195</w:t>
            </w:r>
          </w:p>
        </w:tc>
        <w:tc>
          <w:tcPr>
            <w:tcW w:w="12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(3,141,854</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48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ind w:left="0" w:right="0" w:hanging="200"/>
              <w:jc w:val="left"/>
              <w:rPr/>
            </w:pPr>
            <w:r>
              <w:rPr/>
              <w:t> </w:t>
            </w:r>
            <w:bookmarkStart w:id="141" w:name="xdx_408_eus-gaap--IncomeTaxExpenseBenefi"/>
            <w:bookmarkEnd w:id="141"/>
          </w:p>
        </w:tc>
      </w:tr>
      <w:tr>
        <w:trPr/>
        <w:tc>
          <w:tcPr>
            <w:tcW w:w="4880" w:type="dxa"/>
            <w:tcBorders/>
            <w:shd w:fill="FFFFFF" w:val="clear"/>
            <w:vAlign w:val="center"/>
          </w:tcPr>
          <w:p>
            <w:pPr>
              <w:pStyle w:val="TableContents"/>
              <w:bidi w:val="0"/>
              <w:spacing w:before="0" w:after="283"/>
              <w:jc w:val="left"/>
              <w:rPr>
                <w:sz w:val="18"/>
              </w:rPr>
            </w:pPr>
            <w:r>
              <w:rPr>
                <w:sz w:val="18"/>
              </w:rPr>
              <w:t>PROVISION FOR INCOME TAX EXPENSE (BENEFIT)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(326,502</w:t>
            </w:r>
          </w:p>
        </w:tc>
        <w:tc>
          <w:tcPr>
            <w:tcW w:w="15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6,364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(1,839,874</w:t>
            </w:r>
          </w:p>
        </w:tc>
        <w:tc>
          <w:tcPr>
            <w:tcW w:w="12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(637,108</w:t>
            </w:r>
          </w:p>
        </w:tc>
        <w:tc>
          <w:tcPr>
            <w:tcW w:w="95" w:type="dxa"/>
            <w:tcBorders/>
            <w:shd w:fill="FFFFFF" w:val="clear"/>
            <w:vAlign w:val="center"/>
          </w:tcPr>
          <w:p>
            <w:pPr>
              <w:pStyle w:val="TableContents"/>
              <w:bidi w:val="0"/>
              <w:spacing w:before="0" w:after="283"/>
              <w:ind w:left="0" w:right="0" w:hanging="200"/>
              <w:jc w:val="left"/>
              <w:rPr>
                <w:sz w:val="18"/>
              </w:rPr>
            </w:pPr>
            <w:r>
              <w:rPr>
                <w:sz w:val="18"/>
              </w:rPr>
              <w:t>)</w:t>
            </w:r>
            <w:bookmarkStart w:id="142" w:name="xdx_407_eus-gaap--IncomeLossFromContinui"/>
            <w:bookmarkEnd w:id="142"/>
          </w:p>
        </w:tc>
      </w:tr>
      <w:tr>
        <w:trPr/>
        <w:tc>
          <w:tcPr>
            <w:tcW w:w="4880" w:type="dxa"/>
            <w:tcBorders/>
            <w:shd w:fill="EEEEEE" w:val="clear"/>
            <w:vAlign w:val="center"/>
          </w:tcPr>
          <w:p>
            <w:pPr>
              <w:pStyle w:val="TableContents"/>
              <w:bidi w:val="0"/>
              <w:spacing w:before="0" w:after="283"/>
              <w:jc w:val="left"/>
              <w:rPr>
                <w:sz w:val="18"/>
              </w:rPr>
            </w:pPr>
            <w:r>
              <w:rPr>
                <w:sz w:val="18"/>
              </w:rPr>
              <w:t>NET LOSS FROM CONTINUING OPERATIONS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sz w:val="18"/>
              </w:rPr>
            </w:pPr>
            <w:r>
              <w:rPr>
                <w:sz w:val="18"/>
              </w:rPr>
              <w:t>(5,281,374</w:t>
            </w:r>
          </w:p>
        </w:tc>
        <w:tc>
          <w:tcPr>
            <w:tcW w:w="155"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(388,581</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sz w:val="18"/>
              </w:rPr>
            </w:pPr>
            <w:r>
              <w:rPr>
                <w:sz w:val="18"/>
              </w:rPr>
              <w:t>(6,592,321</w:t>
            </w:r>
          </w:p>
        </w:tc>
        <w:tc>
          <w:tcPr>
            <w:tcW w:w="125"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(2,504,746</w:t>
            </w:r>
          </w:p>
        </w:tc>
        <w:tc>
          <w:tcPr>
            <w:tcW w:w="95" w:type="dxa"/>
            <w:tcBorders/>
            <w:shd w:fill="EEEEEE" w:val="clear"/>
            <w:vAlign w:val="center"/>
          </w:tcPr>
          <w:p>
            <w:pPr>
              <w:pStyle w:val="TableContents"/>
              <w:bidi w:val="0"/>
              <w:spacing w:before="0" w:after="283"/>
              <w:ind w:left="0" w:right="0" w:hanging="200"/>
              <w:jc w:val="left"/>
              <w:rPr>
                <w:sz w:val="18"/>
              </w:rPr>
            </w:pPr>
            <w:r>
              <w:rPr>
                <w:sz w:val="18"/>
              </w:rPr>
              <w:t>)</w:t>
            </w:r>
            <w:bookmarkStart w:id="143" w:name="xdx_40E_eus-gaap--IncomeLossFromDisconti"/>
            <w:bookmarkEnd w:id="143"/>
          </w:p>
        </w:tc>
      </w:tr>
      <w:tr>
        <w:trPr/>
        <w:tc>
          <w:tcPr>
            <w:tcW w:w="4880" w:type="dxa"/>
            <w:tcBorders/>
            <w:shd w:fill="FFFFFF" w:val="clear"/>
            <w:vAlign w:val="center"/>
          </w:tcPr>
          <w:p>
            <w:pPr>
              <w:pStyle w:val="TableContents"/>
              <w:bidi w:val="0"/>
              <w:spacing w:before="0" w:after="283"/>
              <w:jc w:val="left"/>
              <w:rPr>
                <w:sz w:val="18"/>
              </w:rPr>
            </w:pPr>
            <w:r>
              <w:rPr>
                <w:sz w:val="18"/>
              </w:rPr>
              <w:t>DISCONTINUED OPERATIONS, NET OF TAX</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1,826,496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46,208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1,410,514</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345,920</w:t>
            </w:r>
          </w:p>
        </w:tc>
        <w:tc>
          <w:tcPr>
            <w:tcW w:w="95" w:type="dxa"/>
            <w:tcBorders/>
            <w:shd w:fill="FFFFFF" w:val="clear"/>
            <w:vAlign w:val="center"/>
          </w:tcPr>
          <w:p>
            <w:pPr>
              <w:pStyle w:val="TableContents"/>
              <w:bidi w:val="0"/>
              <w:spacing w:before="0" w:after="283"/>
              <w:jc w:val="left"/>
              <w:rPr/>
            </w:pPr>
            <w:r>
              <w:rPr/>
              <w:t> </w:t>
            </w:r>
            <w:bookmarkStart w:id="144" w:name="xdx_402_eus-gaap--ProfitLoss_i01T_pp0p0_"/>
            <w:bookmarkEnd w:id="144"/>
          </w:p>
        </w:tc>
      </w:tr>
      <w:tr>
        <w:trPr/>
        <w:tc>
          <w:tcPr>
            <w:tcW w:w="4880" w:type="dxa"/>
            <w:tcBorders/>
            <w:shd w:fill="EEEEEE" w:val="clear"/>
            <w:vAlign w:val="center"/>
          </w:tcPr>
          <w:p>
            <w:pPr>
              <w:pStyle w:val="TableContents"/>
              <w:bidi w:val="0"/>
              <w:spacing w:before="0" w:after="283"/>
              <w:jc w:val="left"/>
              <w:rPr>
                <w:sz w:val="18"/>
              </w:rPr>
            </w:pPr>
            <w:r>
              <w:rPr>
                <w:sz w:val="18"/>
              </w:rPr>
              <w:t>NET LOSS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sz w:val="18"/>
              </w:rPr>
            </w:pPr>
            <w:r>
              <w:rPr>
                <w:sz w:val="18"/>
              </w:rPr>
              <w:t>(3,454,878</w:t>
            </w:r>
          </w:p>
        </w:tc>
        <w:tc>
          <w:tcPr>
            <w:tcW w:w="155" w:type="dxa"/>
            <w:tcBorders/>
            <w:shd w:fill="EEEEEE" w:val="clear"/>
            <w:vAlign w:val="center"/>
          </w:tcPr>
          <w:p>
            <w:pPr>
              <w:pStyle w:val="TableContents"/>
              <w:bidi w:val="0"/>
              <w:spacing w:before="0" w:after="283"/>
              <w:jc w:val="left"/>
              <w:rPr>
                <w:sz w:val="18"/>
              </w:rPr>
            </w:pPr>
            <w:r>
              <w:rPr>
                <w:sz w:val="18"/>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(342,373</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sz w:val="18"/>
              </w:rPr>
            </w:pPr>
            <w:r>
              <w:rPr>
                <w:sz w:val="18"/>
              </w:rPr>
              <w:t>(5,181,807</w:t>
            </w:r>
          </w:p>
        </w:tc>
        <w:tc>
          <w:tcPr>
            <w:tcW w:w="125"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(2,158,826</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45" w:name="xdx_40D_eus-gaap--NetIncomeLossAttributa"/>
            <w:bookmarkEnd w:id="145"/>
          </w:p>
        </w:tc>
      </w:tr>
      <w:tr>
        <w:trPr/>
        <w:tc>
          <w:tcPr>
            <w:tcW w:w="4880" w:type="dxa"/>
            <w:tcBorders/>
            <w:shd w:fill="EEEEEE" w:val="clear"/>
            <w:vAlign w:val="center"/>
          </w:tcPr>
          <w:p>
            <w:pPr>
              <w:pStyle w:val="TableContents"/>
              <w:bidi w:val="0"/>
              <w:spacing w:before="0" w:after="283"/>
              <w:jc w:val="left"/>
              <w:rPr>
                <w:sz w:val="18"/>
              </w:rPr>
            </w:pPr>
            <w:r>
              <w:rPr>
                <w:sz w:val="18"/>
              </w:rPr>
              <w:t>Non-controlling interest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(2,774</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(8,765</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bookmarkStart w:id="146" w:name="xdx_406_eus-gaap--NetIncomeLossAvailable"/>
            <w:bookmarkEnd w:id="146"/>
          </w:p>
        </w:tc>
      </w:tr>
      <w:tr>
        <w:trPr/>
        <w:tc>
          <w:tcPr>
            <w:tcW w:w="4880" w:type="dxa"/>
            <w:tcBorders/>
            <w:shd w:fill="EEEEEE" w:val="clear"/>
            <w:vAlign w:val="center"/>
          </w:tcPr>
          <w:p>
            <w:pPr>
              <w:pStyle w:val="TableContents"/>
              <w:bidi w:val="0"/>
              <w:spacing w:before="0" w:after="283"/>
              <w:jc w:val="left"/>
              <w:rPr>
                <w:sz w:val="18"/>
              </w:rPr>
            </w:pPr>
            <w:r>
              <w:rPr>
                <w:sz w:val="18"/>
              </w:rPr>
              <w:t>NET LOSS ATTRIBUTABLE TO IPOWER INC.</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1055" w:type="dxa"/>
            <w:tcBorders/>
            <w:shd w:fill="EEEEEE" w:val="clear"/>
            <w:vAlign w:val="center"/>
          </w:tcPr>
          <w:p>
            <w:pPr>
              <w:pStyle w:val="TableContents"/>
              <w:bidi w:val="0"/>
              <w:spacing w:before="0" w:after="283"/>
              <w:jc w:val="right"/>
              <w:rPr>
                <w:sz w:val="18"/>
              </w:rPr>
            </w:pPr>
            <w:r>
              <w:rPr>
                <w:sz w:val="18"/>
              </w:rPr>
              <w:t>(3,454,878</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830" w:type="dxa"/>
            <w:tcBorders/>
            <w:shd w:fill="EEEEEE" w:val="clear"/>
            <w:vAlign w:val="center"/>
          </w:tcPr>
          <w:p>
            <w:pPr>
              <w:pStyle w:val="TableContents"/>
              <w:bidi w:val="0"/>
              <w:spacing w:before="0" w:after="283"/>
              <w:jc w:val="right"/>
              <w:rPr>
                <w:sz w:val="18"/>
              </w:rPr>
            </w:pPr>
            <w:r>
              <w:rPr>
                <w:sz w:val="18"/>
              </w:rPr>
              <w:t>(339,599</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1055" w:type="dxa"/>
            <w:tcBorders/>
            <w:shd w:fill="EEEEEE" w:val="clear"/>
            <w:vAlign w:val="center"/>
          </w:tcPr>
          <w:p>
            <w:pPr>
              <w:pStyle w:val="TableContents"/>
              <w:bidi w:val="0"/>
              <w:spacing w:before="0" w:after="283"/>
              <w:jc w:val="right"/>
              <w:rPr>
                <w:sz w:val="18"/>
              </w:rPr>
            </w:pPr>
            <w:r>
              <w:rPr>
                <w:sz w:val="18"/>
              </w:rPr>
              <w:t>(5,181,807</w:t>
            </w:r>
          </w:p>
        </w:tc>
        <w:tc>
          <w:tcPr>
            <w:tcW w:w="125"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830" w:type="dxa"/>
            <w:tcBorders/>
            <w:shd w:fill="EEEEEE" w:val="clear"/>
            <w:vAlign w:val="center"/>
          </w:tcPr>
          <w:p>
            <w:pPr>
              <w:pStyle w:val="TableContents"/>
              <w:bidi w:val="0"/>
              <w:spacing w:before="0" w:after="283"/>
              <w:jc w:val="right"/>
              <w:rPr>
                <w:sz w:val="18"/>
              </w:rPr>
            </w:pPr>
            <w:r>
              <w:rPr>
                <w:sz w:val="18"/>
              </w:rPr>
              <w:t>(2,150,061</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47" w:name="xdx_406_eus-gaap--OtherComprehensiveInco"/>
            <w:bookmarkEnd w:id="147"/>
          </w:p>
        </w:tc>
      </w:tr>
      <w:tr>
        <w:trPr/>
        <w:tc>
          <w:tcPr>
            <w:tcW w:w="4880" w:type="dxa"/>
            <w:tcBorders/>
            <w:shd w:fill="EEEEEE" w:val="clear"/>
            <w:vAlign w:val="center"/>
          </w:tcPr>
          <w:p>
            <w:pPr>
              <w:pStyle w:val="TableContents"/>
              <w:bidi w:val="0"/>
              <w:spacing w:before="0" w:after="283"/>
              <w:jc w:val="left"/>
              <w:rPr>
                <w:sz w:val="18"/>
              </w:rPr>
            </w:pPr>
            <w:r>
              <w:rPr>
                <w:sz w:val="18"/>
              </w:rPr>
              <w:t>OTHER COMPREHENSIVE INCOME (LOSS)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48" w:name="xdx_402_eus-gaap--OtherComprehensiveInco"/>
            <w:bookmarkEnd w:id="148"/>
          </w:p>
        </w:tc>
      </w:tr>
      <w:tr>
        <w:trPr/>
        <w:tc>
          <w:tcPr>
            <w:tcW w:w="4880" w:type="dxa"/>
            <w:tcBorders/>
            <w:shd w:fill="FFFFFF" w:val="clear"/>
            <w:vAlign w:val="center"/>
          </w:tcPr>
          <w:p>
            <w:pPr>
              <w:pStyle w:val="TableContents"/>
              <w:bidi w:val="0"/>
              <w:spacing w:before="0" w:after="283"/>
              <w:jc w:val="left"/>
              <w:rPr>
                <w:sz w:val="18"/>
              </w:rPr>
            </w:pPr>
            <w:r>
              <w:rPr>
                <w:sz w:val="18"/>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(15,743</w:t>
            </w:r>
          </w:p>
        </w:tc>
        <w:tc>
          <w:tcPr>
            <w:tcW w:w="15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(97,556</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8,821</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3,520</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ind w:left="0" w:right="0" w:hanging="200"/>
              <w:jc w:val="left"/>
              <w:rPr/>
            </w:pPr>
            <w:r>
              <w:rPr/>
              <w:t> </w:t>
            </w:r>
            <w:bookmarkStart w:id="149" w:name="xdx_402_eus-gaap--ComprehensiveIncomeNet"/>
            <w:bookmarkEnd w:id="149"/>
          </w:p>
        </w:tc>
      </w:tr>
      <w:tr>
        <w:trPr/>
        <w:tc>
          <w:tcPr>
            <w:tcW w:w="4880" w:type="dxa"/>
            <w:tcBorders/>
            <w:shd w:fill="FFFFFF" w:val="clear"/>
            <w:vAlign w:val="center"/>
          </w:tcPr>
          <w:p>
            <w:pPr>
              <w:pStyle w:val="TableContents"/>
              <w:bidi w:val="0"/>
              <w:spacing w:before="0" w:after="283"/>
              <w:jc w:val="left"/>
              <w:rPr>
                <w:sz w:val="18"/>
              </w:rPr>
            </w:pPr>
            <w:r>
              <w:rPr>
                <w:sz w:val="18"/>
              </w:rPr>
              <w:t>COMPREHENSIVE LOSS ATTRIBUTABLE TO IPOWER INC.</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(3,470,621</w:t>
            </w:r>
          </w:p>
        </w:tc>
        <w:tc>
          <w:tcPr>
            <w:tcW w:w="155" w:type="dxa"/>
            <w:tcBorders/>
            <w:shd w:fill="FFFFFF" w:val="clear"/>
            <w:vAlign w:val="center"/>
          </w:tcPr>
          <w:p>
            <w:pPr>
              <w:pStyle w:val="TableContents"/>
              <w:bidi w:val="0"/>
              <w:spacing w:before="0" w:after="283"/>
              <w:jc w:val="left"/>
              <w:rPr>
                <w:sz w:val="18"/>
              </w:rPr>
            </w:pPr>
            <w:r>
              <w:rPr>
                <w:sz w:val="18"/>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(437,155</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(5,172,986</w:t>
            </w:r>
          </w:p>
        </w:tc>
        <w:tc>
          <w:tcPr>
            <w:tcW w:w="12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(2,146,541</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48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ind w:left="0" w:right="0" w:hanging="200"/>
              <w:jc w:val="left"/>
              <w:rPr/>
            </w:pPr>
            <w:r>
              <w:rPr/>
              <w:t> </w:t>
            </w:r>
            <w:bookmarkStart w:id="150" w:name="xdx_40D_eus-gaap--WeightedAverageNumberO"/>
            <w:bookmarkEnd w:id="150"/>
          </w:p>
        </w:tc>
      </w:tr>
      <w:tr>
        <w:trPr/>
        <w:tc>
          <w:tcPr>
            <w:tcW w:w="4880" w:type="dxa"/>
            <w:tcBorders/>
            <w:shd w:fill="FFFFFF" w:val="clear"/>
            <w:vAlign w:val="center"/>
          </w:tcPr>
          <w:p>
            <w:pPr>
              <w:pStyle w:val="TableContents"/>
              <w:bidi w:val="0"/>
              <w:spacing w:before="0" w:after="283"/>
              <w:jc w:val="left"/>
              <w:rPr>
                <w:sz w:val="18"/>
              </w:rPr>
            </w:pPr>
            <w:r>
              <w:rPr>
                <w:sz w:val="18"/>
              </w:rPr>
              <w:t>WEIGHTED AVERAGE NUMBER OF COMMON STOCK</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51" w:name="xdx_40C_eus-gaap--WeightedAverageNumberO"/>
            <w:bookmarkEnd w:id="151"/>
          </w:p>
        </w:tc>
      </w:tr>
      <w:tr>
        <w:trPr/>
        <w:tc>
          <w:tcPr>
            <w:tcW w:w="4880" w:type="dxa"/>
            <w:tcBorders/>
            <w:shd w:fill="EEEEEE" w:val="clear"/>
            <w:vAlign w:val="center"/>
          </w:tcPr>
          <w:p>
            <w:pPr>
              <w:pStyle w:val="TableContents"/>
              <w:bidi w:val="0"/>
              <w:spacing w:before="0" w:after="283"/>
              <w:jc w:val="left"/>
              <w:rPr>
                <w:sz w:val="18"/>
              </w:rPr>
            </w:pPr>
            <w:r>
              <w:rPr>
                <w:sz w:val="18"/>
              </w:rPr>
              <w:t>**Basic</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1,453,875</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1,048,508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1,200,110</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1,047,816</w:t>
            </w:r>
          </w:p>
        </w:tc>
        <w:tc>
          <w:tcPr>
            <w:tcW w:w="95" w:type="dxa"/>
            <w:tcBorders/>
            <w:shd w:fill="EEEEEE"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52" w:name="xdx_404_eus-gaap--WeightedAverageNumberO"/>
            <w:bookmarkEnd w:id="152"/>
          </w:p>
        </w:tc>
      </w:tr>
      <w:tr>
        <w:trPr/>
        <w:tc>
          <w:tcPr>
            <w:tcW w:w="4880" w:type="dxa"/>
            <w:tcBorders/>
            <w:shd w:fill="EEEEEE" w:val="clear"/>
            <w:vAlign w:val="center"/>
          </w:tcPr>
          <w:p>
            <w:pPr>
              <w:pStyle w:val="TableContents"/>
              <w:bidi w:val="0"/>
              <w:spacing w:before="0" w:after="283"/>
              <w:jc w:val="left"/>
              <w:rPr>
                <w:sz w:val="18"/>
              </w:rPr>
            </w:pPr>
            <w:r>
              <w:rPr>
                <w:sz w:val="18"/>
              </w:rPr>
              <w:t>**Diluted</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1,453,875</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1,048,508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1,200,110</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1,047,816</w:t>
            </w:r>
          </w:p>
        </w:tc>
        <w:tc>
          <w:tcPr>
            <w:tcW w:w="95" w:type="dxa"/>
            <w:tcBorders/>
            <w:shd w:fill="EEEEEE"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53" w:name="xdx_40E_eus-gaap--EarningsPerShareAbstra"/>
            <w:bookmarkEnd w:id="153"/>
          </w:p>
        </w:tc>
      </w:tr>
      <w:tr>
        <w:trPr/>
        <w:tc>
          <w:tcPr>
            <w:tcW w:w="4880" w:type="dxa"/>
            <w:tcBorders/>
            <w:shd w:fill="EEEEEE" w:val="clear"/>
            <w:vAlign w:val="center"/>
          </w:tcPr>
          <w:p>
            <w:pPr>
              <w:pStyle w:val="TableContents"/>
              <w:bidi w:val="0"/>
              <w:spacing w:before="0" w:after="283"/>
              <w:jc w:val="left"/>
              <w:rPr>
                <w:sz w:val="18"/>
              </w:rPr>
            </w:pPr>
            <w:r>
              <w:rPr>
                <w:sz w:val="18"/>
              </w:rPr>
              <w:t>EARNINGS (LOSSES) PER SHARE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54" w:name="xdx_404_eus-gaap--IncomeLossFromContinui"/>
            <w:bookmarkEnd w:id="154"/>
          </w:p>
        </w:tc>
      </w:tr>
      <w:tr>
        <w:trPr/>
        <w:tc>
          <w:tcPr>
            <w:tcW w:w="4880" w:type="dxa"/>
            <w:tcBorders/>
            <w:shd w:fill="FFFFFF" w:val="clear"/>
            <w:vAlign w:val="center"/>
          </w:tcPr>
          <w:p>
            <w:pPr>
              <w:pStyle w:val="TableContents"/>
              <w:bidi w:val="0"/>
              <w:spacing w:before="0" w:after="283"/>
              <w:jc w:val="left"/>
              <w:rPr>
                <w:sz w:val="18"/>
              </w:rPr>
            </w:pPr>
            <w:r>
              <w:rPr>
                <w:sz w:val="18"/>
              </w:rPr>
              <w:t>Basic - continuing operations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1055" w:type="dxa"/>
            <w:tcBorders/>
            <w:shd w:fill="FFFFFF" w:val="clear"/>
            <w:vAlign w:val="center"/>
          </w:tcPr>
          <w:p>
            <w:pPr>
              <w:pStyle w:val="TableContents"/>
              <w:bidi w:val="0"/>
              <w:spacing w:before="0" w:after="283"/>
              <w:jc w:val="right"/>
              <w:rPr>
                <w:sz w:val="18"/>
              </w:rPr>
            </w:pPr>
            <w:r>
              <w:rPr>
                <w:sz w:val="18"/>
              </w:rPr>
              <w:t>(3.63</w:t>
            </w:r>
          </w:p>
        </w:tc>
        <w:tc>
          <w:tcPr>
            <w:tcW w:w="15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30" w:type="dxa"/>
            <w:tcBorders/>
            <w:shd w:fill="FFFFFF" w:val="clear"/>
            <w:vAlign w:val="center"/>
          </w:tcPr>
          <w:p>
            <w:pPr>
              <w:pStyle w:val="TableContents"/>
              <w:bidi w:val="0"/>
              <w:spacing w:before="0" w:after="283"/>
              <w:jc w:val="right"/>
              <w:rPr>
                <w:sz w:val="18"/>
              </w:rPr>
            </w:pPr>
            <w:r>
              <w:rPr>
                <w:sz w:val="18"/>
              </w:rPr>
              <w:t>(0.37</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1055" w:type="dxa"/>
            <w:tcBorders/>
            <w:shd w:fill="FFFFFF" w:val="clear"/>
            <w:vAlign w:val="center"/>
          </w:tcPr>
          <w:p>
            <w:pPr>
              <w:pStyle w:val="TableContents"/>
              <w:bidi w:val="0"/>
              <w:spacing w:before="0" w:after="283"/>
              <w:jc w:val="right"/>
              <w:rPr>
                <w:sz w:val="18"/>
              </w:rPr>
            </w:pPr>
            <w:r>
              <w:rPr>
                <w:sz w:val="18"/>
              </w:rPr>
              <w:t>(5.49</w:t>
            </w:r>
          </w:p>
        </w:tc>
        <w:tc>
          <w:tcPr>
            <w:tcW w:w="12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30" w:type="dxa"/>
            <w:tcBorders/>
            <w:shd w:fill="FFFFFF" w:val="clear"/>
            <w:vAlign w:val="center"/>
          </w:tcPr>
          <w:p>
            <w:pPr>
              <w:pStyle w:val="TableContents"/>
              <w:bidi w:val="0"/>
              <w:spacing w:before="0" w:after="283"/>
              <w:jc w:val="right"/>
              <w:rPr>
                <w:sz w:val="18"/>
              </w:rPr>
            </w:pPr>
            <w:r>
              <w:rPr>
                <w:sz w:val="18"/>
              </w:rPr>
              <w:t>(2.39</w:t>
            </w:r>
          </w:p>
        </w:tc>
        <w:tc>
          <w:tcPr>
            <w:tcW w:w="95" w:type="dxa"/>
            <w:tcBorders/>
            <w:shd w:fill="FFFFFF" w:val="clear"/>
            <w:vAlign w:val="center"/>
          </w:tcPr>
          <w:p>
            <w:pPr>
              <w:pStyle w:val="TableContents"/>
              <w:bidi w:val="0"/>
              <w:spacing w:before="0" w:after="283"/>
              <w:jc w:val="left"/>
              <w:rPr>
                <w:sz w:val="18"/>
              </w:rPr>
            </w:pPr>
            <w:r>
              <w:rPr>
                <w:sz w:val="18"/>
              </w:rPr>
              <w:t>)</w:t>
            </w:r>
            <w:bookmarkStart w:id="155" w:name="xdx_40D_eus-gaap--IncomeLossFromDisconti"/>
            <w:bookmarkEnd w:id="155"/>
          </w:p>
        </w:tc>
      </w:tr>
      <w:tr>
        <w:trPr/>
        <w:tc>
          <w:tcPr>
            <w:tcW w:w="4880" w:type="dxa"/>
            <w:tcBorders/>
            <w:shd w:fill="EEEEEE" w:val="clear"/>
            <w:vAlign w:val="center"/>
          </w:tcPr>
          <w:p>
            <w:pPr>
              <w:pStyle w:val="TableContents"/>
              <w:bidi w:val="0"/>
              <w:spacing w:before="0" w:after="283"/>
              <w:jc w:val="left"/>
              <w:rPr>
                <w:sz w:val="18"/>
              </w:rPr>
            </w:pPr>
            <w:r>
              <w:rPr>
                <w:sz w:val="18"/>
              </w:rPr>
              <w:t>Basic - discontinued operations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1.25</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0.04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1.17</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0.33</w:t>
            </w:r>
          </w:p>
        </w:tc>
        <w:tc>
          <w:tcPr>
            <w:tcW w:w="95" w:type="dxa"/>
            <w:tcBorders/>
            <w:shd w:fill="EEEEEE" w:val="clear"/>
            <w:vAlign w:val="center"/>
          </w:tcPr>
          <w:p>
            <w:pPr>
              <w:pStyle w:val="TableContents"/>
              <w:bidi w:val="0"/>
              <w:spacing w:before="0" w:after="283"/>
              <w:jc w:val="left"/>
              <w:rPr/>
            </w:pPr>
            <w:r>
              <w:rPr/>
              <w:t> </w:t>
            </w:r>
            <w:bookmarkStart w:id="156" w:name="xdx_40D_eus-gaap--EarningsPerShareBasic_"/>
            <w:bookmarkEnd w:id="156"/>
          </w:p>
        </w:tc>
      </w:tr>
      <w:tr>
        <w:trPr/>
        <w:tc>
          <w:tcPr>
            <w:tcW w:w="4880" w:type="dxa"/>
            <w:tcBorders/>
            <w:shd w:fill="FFFFFF" w:val="clear"/>
            <w:vAlign w:val="center"/>
          </w:tcPr>
          <w:p>
            <w:pPr>
              <w:pStyle w:val="TableContents"/>
              <w:bidi w:val="0"/>
              <w:spacing w:before="0" w:after="283"/>
              <w:jc w:val="left"/>
              <w:rPr>
                <w:sz w:val="18"/>
              </w:rPr>
            </w:pPr>
            <w:r>
              <w:rPr>
                <w:sz w:val="18"/>
              </w:rPr>
              <w:t>Total basic earnings (loss) per share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(2.38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(0.33</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(4.32</w:t>
            </w:r>
          </w:p>
        </w:tc>
        <w:tc>
          <w:tcPr>
            <w:tcW w:w="12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(2.06</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48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57" w:name="xdx_40F_eus-gaap--IncomeLossFromContinui"/>
            <w:bookmarkEnd w:id="157"/>
          </w:p>
        </w:tc>
      </w:tr>
      <w:tr>
        <w:trPr/>
        <w:tc>
          <w:tcPr>
            <w:tcW w:w="4880" w:type="dxa"/>
            <w:tcBorders/>
            <w:shd w:fill="FFFFFF" w:val="clear"/>
            <w:vAlign w:val="center"/>
          </w:tcPr>
          <w:p>
            <w:pPr>
              <w:pStyle w:val="TableContents"/>
              <w:bidi w:val="0"/>
              <w:spacing w:before="0" w:after="283"/>
              <w:jc w:val="left"/>
              <w:rPr>
                <w:sz w:val="18"/>
              </w:rPr>
            </w:pPr>
            <w:r>
              <w:rPr>
                <w:sz w:val="18"/>
              </w:rPr>
              <w:t>Diluted - continuing operations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1055" w:type="dxa"/>
            <w:tcBorders/>
            <w:shd w:fill="FFFFFF" w:val="clear"/>
            <w:vAlign w:val="center"/>
          </w:tcPr>
          <w:p>
            <w:pPr>
              <w:pStyle w:val="TableContents"/>
              <w:bidi w:val="0"/>
              <w:spacing w:before="0" w:after="283"/>
              <w:jc w:val="right"/>
              <w:rPr>
                <w:sz w:val="18"/>
              </w:rPr>
            </w:pPr>
            <w:r>
              <w:rPr>
                <w:sz w:val="18"/>
              </w:rPr>
              <w:t>(3.63</w:t>
            </w:r>
          </w:p>
        </w:tc>
        <w:tc>
          <w:tcPr>
            <w:tcW w:w="15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30" w:type="dxa"/>
            <w:tcBorders/>
            <w:shd w:fill="FFFFFF" w:val="clear"/>
            <w:vAlign w:val="center"/>
          </w:tcPr>
          <w:p>
            <w:pPr>
              <w:pStyle w:val="TableContents"/>
              <w:bidi w:val="0"/>
              <w:spacing w:before="0" w:after="283"/>
              <w:jc w:val="right"/>
              <w:rPr>
                <w:sz w:val="18"/>
              </w:rPr>
            </w:pPr>
            <w:r>
              <w:rPr>
                <w:sz w:val="18"/>
              </w:rPr>
              <w:t>(0.37</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1055" w:type="dxa"/>
            <w:tcBorders/>
            <w:shd w:fill="FFFFFF" w:val="clear"/>
            <w:vAlign w:val="center"/>
          </w:tcPr>
          <w:p>
            <w:pPr>
              <w:pStyle w:val="TableContents"/>
              <w:bidi w:val="0"/>
              <w:spacing w:before="0" w:after="283"/>
              <w:jc w:val="right"/>
              <w:rPr>
                <w:sz w:val="18"/>
              </w:rPr>
            </w:pPr>
            <w:r>
              <w:rPr>
                <w:sz w:val="18"/>
              </w:rPr>
              <w:t>(5.49</w:t>
            </w:r>
          </w:p>
        </w:tc>
        <w:tc>
          <w:tcPr>
            <w:tcW w:w="12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30" w:type="dxa"/>
            <w:tcBorders/>
            <w:shd w:fill="FFFFFF" w:val="clear"/>
            <w:vAlign w:val="center"/>
          </w:tcPr>
          <w:p>
            <w:pPr>
              <w:pStyle w:val="TableContents"/>
              <w:bidi w:val="0"/>
              <w:spacing w:before="0" w:after="283"/>
              <w:jc w:val="right"/>
              <w:rPr>
                <w:sz w:val="18"/>
              </w:rPr>
            </w:pPr>
            <w:r>
              <w:rPr>
                <w:sz w:val="18"/>
              </w:rPr>
              <w:t>(2.39</w:t>
            </w:r>
          </w:p>
        </w:tc>
        <w:tc>
          <w:tcPr>
            <w:tcW w:w="95" w:type="dxa"/>
            <w:tcBorders/>
            <w:shd w:fill="FFFFFF" w:val="clear"/>
            <w:vAlign w:val="center"/>
          </w:tcPr>
          <w:p>
            <w:pPr>
              <w:pStyle w:val="TableContents"/>
              <w:bidi w:val="0"/>
              <w:spacing w:before="0" w:after="283"/>
              <w:jc w:val="left"/>
              <w:rPr>
                <w:sz w:val="18"/>
              </w:rPr>
            </w:pPr>
            <w:r>
              <w:rPr>
                <w:sz w:val="18"/>
              </w:rPr>
              <w:t>)</w:t>
            </w:r>
            <w:bookmarkStart w:id="158" w:name="xdx_405_eus-gaap--IncomeLossFromDisconti"/>
            <w:bookmarkEnd w:id="158"/>
          </w:p>
        </w:tc>
      </w:tr>
      <w:tr>
        <w:trPr/>
        <w:tc>
          <w:tcPr>
            <w:tcW w:w="4880" w:type="dxa"/>
            <w:tcBorders/>
            <w:shd w:fill="EEEEEE" w:val="clear"/>
            <w:vAlign w:val="center"/>
          </w:tcPr>
          <w:p>
            <w:pPr>
              <w:pStyle w:val="TableContents"/>
              <w:bidi w:val="0"/>
              <w:spacing w:before="0" w:after="283"/>
              <w:jc w:val="left"/>
              <w:rPr>
                <w:sz w:val="18"/>
              </w:rPr>
            </w:pPr>
            <w:r>
              <w:rPr>
                <w:sz w:val="18"/>
              </w:rPr>
              <w:t>Diluted - discontinued operations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1.25</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0.04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1.17</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0.33</w:t>
            </w:r>
          </w:p>
        </w:tc>
        <w:tc>
          <w:tcPr>
            <w:tcW w:w="95" w:type="dxa"/>
            <w:tcBorders/>
            <w:shd w:fill="EEEEEE" w:val="clear"/>
            <w:vAlign w:val="center"/>
          </w:tcPr>
          <w:p>
            <w:pPr>
              <w:pStyle w:val="TableContents"/>
              <w:bidi w:val="0"/>
              <w:spacing w:before="0" w:after="283"/>
              <w:jc w:val="left"/>
              <w:rPr/>
            </w:pPr>
            <w:r>
              <w:rPr/>
              <w:t> </w:t>
            </w:r>
            <w:bookmarkStart w:id="159" w:name="xdx_401_eus-gaap--EarningsPerShareDilute"/>
            <w:bookmarkEnd w:id="159"/>
          </w:p>
        </w:tc>
      </w:tr>
      <w:tr>
        <w:trPr/>
        <w:tc>
          <w:tcPr>
            <w:tcW w:w="4880" w:type="dxa"/>
            <w:tcBorders/>
            <w:shd w:fill="FFFFFF" w:val="clear"/>
            <w:vAlign w:val="center"/>
          </w:tcPr>
          <w:p>
            <w:pPr>
              <w:pStyle w:val="TableContents"/>
              <w:bidi w:val="0"/>
              <w:spacing w:before="0" w:after="283"/>
              <w:jc w:val="left"/>
              <w:rPr>
                <w:sz w:val="18"/>
              </w:rPr>
            </w:pPr>
            <w:r>
              <w:rPr>
                <w:sz w:val="18"/>
              </w:rPr>
              <w:t>Total diluted earnings (loss) per share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(2.38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(0.33</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(4.32</w:t>
            </w:r>
          </w:p>
        </w:tc>
        <w:tc>
          <w:tcPr>
            <w:tcW w:w="12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(2.06</w:t>
            </w:r>
          </w:p>
        </w:tc>
        <w:tc>
          <w:tcPr>
            <w:tcW w:w="95" w:type="dxa"/>
            <w:tcBorders/>
            <w:shd w:fill="FFFFFF" w:val="clear"/>
            <w:vAlign w:val="center"/>
          </w:tcPr>
          <w:p>
            <w:pPr>
              <w:pStyle w:val="TableContents"/>
              <w:bidi w:val="0"/>
              <w:spacing w:before="0" w:after="283"/>
              <w:jc w:val="left"/>
              <w:rPr>
                <w:sz w:val="18"/>
              </w:rPr>
            </w:pPr>
            <w:r>
              <w:rPr>
                <w:sz w:val="18"/>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sz w:val="18"/>
              </w:rPr>
            </w:pPr>
            <w:r>
              <w:rPr>
                <w:sz w:val="18"/>
              </w:rPr>
              <w:t>**</w:t>
            </w:r>
          </w:p>
        </w:tc>
        <w:tc>
          <w:tcPr>
            <w:tcW w:w="10042" w:type="dxa"/>
            <w:tcBorders/>
            <w:vAlign w:val="center"/>
          </w:tcPr>
          <w:p>
            <w:pPr>
              <w:pStyle w:val="TableContents"/>
              <w:bidi w:val="0"/>
              <w:spacing w:before="0" w:after="283"/>
              <w:jc w:val="both"/>
              <w:rPr>
                <w:i/>
                <w:sz w:val="18"/>
              </w:rPr>
            </w:pPr>
            <w:r>
              <w:rPr>
                <w:i/>
                <w:sz w:val="18"/>
              </w:rPr>
              <w:t>Unless otherwise indicated, all shares of common stock and per share numbers in the unaudited condensed consolidated financial statements and notes below have been adjusted retroactively to reflect the 1-for-30 reverse stock split effected on October 27, 2025, for all periods presented (see Note 16 for details).</w:t>
            </w:r>
          </w:p>
        </w:tc>
      </w:tr>
    </w:tbl>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160" w:name="q3_004"/>
      <w:bookmarkEnd w:id="160"/>
      <w:r>
        <w:rPr>
          <w:rFonts w:ascii="Times New Roman;Times;Serif" w:hAnsi="Times New Roman;Times;Serif"/>
          <w:b w:val="false"/>
          <w:i w:val="false"/>
          <w:caps w:val="false"/>
          <w:smallCaps w:val="false"/>
          <w:sz w:val="20"/>
        </w:rPr>
        <w:t>Consolidated Statements of Changes in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March 31, 2026 and 2025</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161" w:name="xdx_302_114_zLtBzkm0GAL1"/>
      <w:bookmarkStart w:id="162" w:name="xdx_302_114_zLtBzkm0GAL1"/>
      <w:bookmarkEnd w:id="162"/>
    </w:p>
    <w:tbl>
      <w:tblPr>
        <w:tblW w:w="1117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58"/>
        <w:gridCol w:w="633"/>
        <w:gridCol w:w="69"/>
        <w:gridCol w:w="60"/>
        <w:gridCol w:w="140"/>
        <w:gridCol w:w="1100"/>
        <w:gridCol w:w="95"/>
        <w:gridCol w:w="60"/>
        <w:gridCol w:w="140"/>
        <w:gridCol w:w="1175"/>
        <w:gridCol w:w="155"/>
        <w:gridCol w:w="60"/>
        <w:gridCol w:w="229"/>
        <w:gridCol w:w="1239"/>
        <w:gridCol w:w="157"/>
        <w:gridCol w:w="60"/>
        <w:gridCol w:w="203"/>
        <w:gridCol w:w="1269"/>
        <w:gridCol w:w="138"/>
        <w:gridCol w:w="60"/>
        <w:gridCol w:w="140"/>
        <w:gridCol w:w="1100"/>
        <w:gridCol w:w="17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bookmarkStart w:id="163" w:name="xdx_4B7_us-gaap--StatementEquityComponen"/>
            <w:bookmarkEnd w:id="163"/>
          </w:p>
        </w:tc>
        <w:tc>
          <w:tcPr>
            <w:tcW w:w="86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64" w:name="xdx_4B7_us-gaap--StatementEquityComponen"/>
            <w:bookmarkEnd w:id="164"/>
          </w:p>
        </w:tc>
        <w:tc>
          <w:tcPr>
            <w:tcW w:w="133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65" w:name="xdx_4BA_us-gaap--StatementEquityComponen"/>
            <w:bookmarkEnd w:id="165"/>
          </w:p>
        </w:tc>
        <w:tc>
          <w:tcPr>
            <w:tcW w:w="147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66" w:name="xdx_4B7_us-gaap--StatementEquityComponen"/>
            <w:bookmarkEnd w:id="166"/>
          </w:p>
        </w:tc>
        <w:tc>
          <w:tcPr>
            <w:tcW w:w="162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67" w:name="xdx_4B2_us-gaap--StatementEquityComponen"/>
            <w:bookmarkEnd w:id="167"/>
          </w:p>
        </w:tc>
        <w:tc>
          <w:tcPr>
            <w:tcW w:w="161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68" w:name="xdx_4B5_zT9X0iZV0UGc"/>
            <w:bookmarkEnd w:id="168"/>
          </w:p>
        </w:tc>
        <w:tc>
          <w:tcPr>
            <w:tcW w:w="1410" w:type="dxa"/>
            <w:gridSpan w:val="3"/>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02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1335" w:type="dxa"/>
            <w:gridSpan w:val="3"/>
            <w:tcBorders/>
            <w:vAlign w:val="center"/>
          </w:tcPr>
          <w:p>
            <w:pPr>
              <w:pStyle w:val="TableContents"/>
              <w:bidi w:val="0"/>
              <w:spacing w:before="0" w:after="283"/>
              <w:jc w:val="center"/>
              <w:rPr>
                <w:b/>
              </w:rPr>
            </w:pPr>
            <w:r>
              <w:rPr>
                <w:b/>
              </w:rPr>
              <w:t>Additional Paid in</w:t>
            </w:r>
          </w:p>
        </w:tc>
        <w:tc>
          <w:tcPr>
            <w:tcW w:w="60" w:type="dxa"/>
            <w:tcBorders/>
            <w:vAlign w:val="center"/>
          </w:tcPr>
          <w:p>
            <w:pPr>
              <w:pStyle w:val="TableContents"/>
              <w:bidi w:val="0"/>
              <w:spacing w:before="0" w:after="283"/>
              <w:jc w:val="left"/>
              <w:rPr/>
            </w:pPr>
            <w:r>
              <w:rPr/>
              <w:t> </w:t>
            </w:r>
          </w:p>
        </w:tc>
        <w:tc>
          <w:tcPr>
            <w:tcW w:w="1470" w:type="dxa"/>
            <w:gridSpan w:val="3"/>
            <w:tcBorders/>
            <w:vAlign w:val="center"/>
          </w:tcPr>
          <w:p>
            <w:pPr>
              <w:pStyle w:val="TableContents"/>
              <w:bidi w:val="0"/>
              <w:spacing w:before="0" w:after="283"/>
              <w:jc w:val="center"/>
              <w:rPr>
                <w:b/>
              </w:rPr>
            </w:pPr>
            <w:r>
              <w:rPr>
                <w:b/>
              </w:rPr>
              <w:t>Retained Earnings (Accumulated</w:t>
            </w:r>
          </w:p>
        </w:tc>
        <w:tc>
          <w:tcPr>
            <w:tcW w:w="60" w:type="dxa"/>
            <w:tcBorders/>
            <w:vAlign w:val="center"/>
          </w:tcPr>
          <w:p>
            <w:pPr>
              <w:pStyle w:val="TableContents"/>
              <w:bidi w:val="0"/>
              <w:spacing w:before="0" w:after="283"/>
              <w:jc w:val="left"/>
              <w:rPr/>
            </w:pPr>
            <w:r>
              <w:rPr/>
              <w:t> </w:t>
            </w:r>
          </w:p>
        </w:tc>
        <w:tc>
          <w:tcPr>
            <w:tcW w:w="1625" w:type="dxa"/>
            <w:gridSpan w:val="3"/>
            <w:tcBorders/>
            <w:vAlign w:val="center"/>
          </w:tcPr>
          <w:p>
            <w:pPr>
              <w:pStyle w:val="TableContents"/>
              <w:bidi w:val="0"/>
              <w:spacing w:before="0" w:after="283"/>
              <w:jc w:val="center"/>
              <w:rPr>
                <w:b/>
              </w:rPr>
            </w:pPr>
            <w:r>
              <w:rPr>
                <w:b/>
              </w:rPr>
              <w:t>Non-controlling</w:t>
            </w:r>
          </w:p>
        </w:tc>
        <w:tc>
          <w:tcPr>
            <w:tcW w:w="60" w:type="dxa"/>
            <w:tcBorders/>
            <w:vAlign w:val="center"/>
          </w:tcPr>
          <w:p>
            <w:pPr>
              <w:pStyle w:val="TableContents"/>
              <w:bidi w:val="0"/>
              <w:spacing w:before="0" w:after="283"/>
              <w:jc w:val="left"/>
              <w:rPr/>
            </w:pPr>
            <w:r>
              <w:rPr/>
              <w:t> </w:t>
            </w:r>
          </w:p>
        </w:tc>
        <w:tc>
          <w:tcPr>
            <w:tcW w:w="1610" w:type="dxa"/>
            <w:gridSpan w:val="3"/>
            <w:tcBorders/>
            <w:vAlign w:val="center"/>
          </w:tcPr>
          <w:p>
            <w:pPr>
              <w:pStyle w:val="TableContents"/>
              <w:bidi w:val="0"/>
              <w:spacing w:before="0" w:after="283"/>
              <w:jc w:val="center"/>
              <w:rPr>
                <w:b/>
              </w:rPr>
            </w:pPr>
            <w:r>
              <w:rPr>
                <w:b/>
              </w:rPr>
              <w:t>Accumulated other Comprehensive income</w:t>
            </w:r>
          </w:p>
        </w:tc>
        <w:tc>
          <w:tcPr>
            <w:tcW w:w="60" w:type="dxa"/>
            <w:tcBorders/>
            <w:vAlign w:val="center"/>
          </w:tcPr>
          <w:p>
            <w:pPr>
              <w:pStyle w:val="TableContents"/>
              <w:bidi w:val="0"/>
              <w:spacing w:before="0" w:after="283"/>
              <w:jc w:val="left"/>
              <w:rPr/>
            </w:pPr>
            <w:r>
              <w:rPr/>
              <w:t> </w:t>
            </w:r>
          </w:p>
        </w:tc>
        <w:tc>
          <w:tcPr>
            <w:tcW w:w="1410" w:type="dxa"/>
            <w:gridSpan w:val="3"/>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8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3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14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60" w:type="dxa"/>
            <w:tcBorders/>
            <w:vAlign w:val="center"/>
          </w:tcPr>
          <w:p>
            <w:pPr>
              <w:pStyle w:val="TableContents"/>
              <w:bidi w:val="0"/>
              <w:spacing w:before="0" w:after="283"/>
              <w:jc w:val="left"/>
              <w:rPr/>
            </w:pPr>
            <w:r>
              <w:rPr/>
              <w:t> </w:t>
            </w:r>
          </w:p>
        </w:tc>
        <w:tc>
          <w:tcPr>
            <w:tcW w:w="16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16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14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w:t>
            </w:r>
            <w:bookmarkStart w:id="169" w:name="xdx_43F_c20250701__20250930_eus-gaap--St"/>
            <w:bookmarkEnd w:id="169"/>
          </w:p>
        </w:tc>
      </w:tr>
      <w:tr>
        <w:trPr/>
        <w:tc>
          <w:tcPr>
            <w:tcW w:w="1340" w:type="dxa"/>
            <w:tcBorders/>
            <w:shd w:fill="EEEEEE" w:val="clear"/>
            <w:vAlign w:val="center"/>
          </w:tcPr>
          <w:p>
            <w:pPr>
              <w:pStyle w:val="TableContents"/>
              <w:bidi w:val="0"/>
              <w:spacing w:before="0" w:after="283"/>
              <w:jc w:val="left"/>
              <w:rPr/>
            </w:pPr>
            <w:r>
              <w:rPr/>
              <w:t>Balance, June 30, 2025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70" w:name="xdx_98D_eus-gaap--SharesOutstanding_iS_c"/>
            <w:bookmarkEnd w:id="170"/>
          </w:p>
        </w:tc>
        <w:tc>
          <w:tcPr>
            <w:tcW w:w="980" w:type="dxa"/>
            <w:tcBorders/>
            <w:shd w:fill="EEEEEE" w:val="clear"/>
            <w:vAlign w:val="center"/>
          </w:tcPr>
          <w:p>
            <w:pPr>
              <w:pStyle w:val="TableContents"/>
              <w:bidi w:val="0"/>
              <w:spacing w:before="0" w:after="283"/>
              <w:jc w:val="right"/>
              <w:rPr/>
            </w:pPr>
            <w:r>
              <w:rPr/>
              <w:t>1,045,330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w:t>
            </w:r>
            <w:bookmarkStart w:id="171" w:name="xdx_98B_eus-gaap--StockholdersEquityIncl"/>
            <w:bookmarkEnd w:id="171"/>
          </w:p>
        </w:tc>
        <w:tc>
          <w:tcPr>
            <w:tcW w:w="633" w:type="dxa"/>
            <w:tcBorders/>
            <w:shd w:fill="EEEEEE" w:val="clear"/>
            <w:vAlign w:val="center"/>
          </w:tcPr>
          <w:p>
            <w:pPr>
              <w:pStyle w:val="TableContents"/>
              <w:bidi w:val="0"/>
              <w:spacing w:before="0" w:after="283"/>
              <w:jc w:val="right"/>
              <w:rPr/>
            </w:pPr>
            <w:r>
              <w:rPr/>
              <w:t>1,045</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33,481,201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75" w:type="dxa"/>
            <w:tcBorders/>
            <w:shd w:fill="EEEEEE" w:val="clear"/>
            <w:vAlign w:val="center"/>
          </w:tcPr>
          <w:p>
            <w:pPr>
              <w:pStyle w:val="TableContents"/>
              <w:bidi w:val="0"/>
              <w:spacing w:before="0" w:after="283"/>
              <w:jc w:val="right"/>
              <w:rPr/>
            </w:pPr>
            <w:r>
              <w:rPr/>
              <w:t>(15,198,889</w:t>
            </w:r>
          </w:p>
        </w:tc>
        <w:tc>
          <w:tcPr>
            <w:tcW w:w="15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239" w:type="dxa"/>
            <w:tcBorders/>
            <w:shd w:fill="EEEEEE" w:val="clear"/>
            <w:vAlign w:val="center"/>
          </w:tcPr>
          <w:p>
            <w:pPr>
              <w:pStyle w:val="TableContents"/>
              <w:bidi w:val="0"/>
              <w:spacing w:before="0" w:after="283"/>
              <w:jc w:val="right"/>
              <w:rPr/>
            </w:pPr>
            <w:r>
              <w:rPr/>
              <w:t>(47,462</w:t>
            </w:r>
          </w:p>
        </w:tc>
        <w:tc>
          <w:tcPr>
            <w:tcW w:w="157"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p>
        </w:tc>
        <w:tc>
          <w:tcPr>
            <w:tcW w:w="1269" w:type="dxa"/>
            <w:tcBorders/>
            <w:shd w:fill="EEEEEE" w:val="clear"/>
            <w:vAlign w:val="center"/>
          </w:tcPr>
          <w:p>
            <w:pPr>
              <w:pStyle w:val="TableContents"/>
              <w:bidi w:val="0"/>
              <w:spacing w:before="0" w:after="283"/>
              <w:jc w:val="right"/>
              <w:rPr/>
            </w:pPr>
            <w:r>
              <w:rPr/>
              <w:t>40,107</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18,276,002</w:t>
            </w:r>
          </w:p>
        </w:tc>
        <w:tc>
          <w:tcPr>
            <w:tcW w:w="170" w:type="dxa"/>
            <w:tcBorders/>
            <w:shd w:fill="EEEEEE" w:val="clear"/>
            <w:vAlign w:val="center"/>
          </w:tcPr>
          <w:p>
            <w:pPr>
              <w:pStyle w:val="TableContents"/>
              <w:bidi w:val="0"/>
              <w:spacing w:before="0" w:after="283"/>
              <w:jc w:val="left"/>
              <w:rPr/>
            </w:pPr>
            <w:r>
              <w:rPr/>
              <w:t> </w:t>
            </w:r>
            <w:bookmarkStart w:id="172" w:name="xdx_407_eus-gaap--IncomeLossFromContinui"/>
            <w:bookmarkEnd w:id="172"/>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(533,648</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(533,648</w:t>
            </w:r>
          </w:p>
        </w:tc>
        <w:tc>
          <w:tcPr>
            <w:tcW w:w="170" w:type="dxa"/>
            <w:tcBorders/>
            <w:shd w:fill="FFFFFF" w:val="clear"/>
            <w:vAlign w:val="center"/>
          </w:tcPr>
          <w:p>
            <w:pPr>
              <w:pStyle w:val="TableContents"/>
              <w:bidi w:val="0"/>
              <w:spacing w:before="0" w:after="283"/>
              <w:jc w:val="left"/>
              <w:rPr/>
            </w:pPr>
            <w:r>
              <w:rPr/>
              <w:t>)</w:t>
            </w:r>
            <w:bookmarkStart w:id="173" w:name="xdx_406_eus-gaap--AdjustmentsToAdditiona"/>
            <w:bookmarkEnd w:id="173"/>
          </w:p>
        </w:tc>
      </w:tr>
      <w:tr>
        <w:trPr/>
        <w:tc>
          <w:tcPr>
            <w:tcW w:w="1340"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633" w:type="dxa"/>
            <w:tcBorders/>
            <w:shd w:fill="EEEEEE" w:val="clear"/>
            <w:vAlign w:val="center"/>
          </w:tcPr>
          <w:p>
            <w:pPr>
              <w:pStyle w:val="TableContents"/>
              <w:bidi w:val="0"/>
              <w:spacing w:before="0" w:after="283"/>
              <w:jc w:val="right"/>
              <w:rPr/>
            </w:pPr>
            <w:r>
              <w:rPr/>
              <w:t>–</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150,203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5" w:type="dxa"/>
            <w:tcBorders/>
            <w:shd w:fill="EEEEEE" w:val="cle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 </w:t>
            </w:r>
          </w:p>
        </w:tc>
        <w:tc>
          <w:tcPr>
            <w:tcW w:w="1239" w:type="dxa"/>
            <w:tcBorders/>
            <w:shd w:fill="EEEEEE" w:val="clear"/>
            <w:vAlign w:val="center"/>
          </w:tcPr>
          <w:p>
            <w:pPr>
              <w:pStyle w:val="TableContents"/>
              <w:bidi w:val="0"/>
              <w:spacing w:before="0" w:after="283"/>
              <w:jc w:val="right"/>
              <w:rPr/>
            </w:pPr>
            <w:r>
              <w:rPr/>
              <w:t>–</w:t>
            </w:r>
          </w:p>
        </w:tc>
        <w:tc>
          <w:tcPr>
            <w:tcW w:w="15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 </w:t>
            </w:r>
          </w:p>
        </w:tc>
        <w:tc>
          <w:tcPr>
            <w:tcW w:w="1269" w:type="dxa"/>
            <w:tcBorders/>
            <w:shd w:fill="EEEEEE" w:val="clear"/>
            <w:vAlign w:val="center"/>
          </w:tcPr>
          <w:p>
            <w:pPr>
              <w:pStyle w:val="TableContents"/>
              <w:bidi w:val="0"/>
              <w:spacing w:before="0" w:after="283"/>
              <w:jc w:val="right"/>
              <w:rPr/>
            </w:pPr>
            <w:r>
              <w:rPr/>
              <w:t>–</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150,203</w:t>
            </w:r>
          </w:p>
        </w:tc>
        <w:tc>
          <w:tcPr>
            <w:tcW w:w="170" w:type="dxa"/>
            <w:tcBorders/>
            <w:shd w:fill="EEEEEE" w:val="clear"/>
            <w:vAlign w:val="center"/>
          </w:tcPr>
          <w:p>
            <w:pPr>
              <w:pStyle w:val="TableContents"/>
              <w:bidi w:val="0"/>
              <w:spacing w:before="0" w:after="283"/>
              <w:jc w:val="left"/>
              <w:rPr/>
            </w:pPr>
            <w:r>
              <w:rPr/>
              <w:t> </w:t>
            </w:r>
            <w:bookmarkStart w:id="174" w:name="xdx_40B_eus-gaap--StockIssuedDuringPerio"/>
            <w:bookmarkEnd w:id="174"/>
          </w:p>
        </w:tc>
      </w:tr>
      <w:tr>
        <w:trPr/>
        <w:tc>
          <w:tcPr>
            <w:tcW w:w="1340" w:type="dxa"/>
            <w:tcBorders/>
            <w:shd w:fill="FFFFFF" w:val="clear"/>
            <w:vAlign w:val="center"/>
          </w:tcPr>
          <w:p>
            <w:pPr>
              <w:pStyle w:val="TableContents"/>
              <w:bidi w:val="0"/>
              <w:spacing w:before="0" w:after="283"/>
              <w:jc w:val="left"/>
              <w:rPr/>
            </w:pPr>
            <w:r>
              <w:rPr/>
              <w:t>Restricted shares issued for vested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5" w:name="xdx_98B_eus-gaap--StockIssuedDuringPerio"/>
            <w:bookmarkEnd w:id="175"/>
          </w:p>
        </w:tc>
        <w:tc>
          <w:tcPr>
            <w:tcW w:w="980" w:type="dxa"/>
            <w:tcBorders/>
            <w:shd w:fill="FFFFFF" w:val="clear"/>
            <w:vAlign w:val="center"/>
          </w:tcPr>
          <w:p>
            <w:pPr>
              <w:pStyle w:val="TableContents"/>
              <w:bidi w:val="0"/>
              <w:spacing w:before="0" w:after="283"/>
              <w:jc w:val="right"/>
              <w:rPr/>
            </w:pPr>
            <w:r>
              <w:rPr/>
              <w:t>4,460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5</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bookmarkStart w:id="176" w:name="xdx_40A_eus-gaap--OtherComprehensiveInco"/>
            <w:bookmarkEnd w:id="176"/>
          </w:p>
        </w:tc>
      </w:tr>
      <w:tr>
        <w:trPr/>
        <w:tc>
          <w:tcPr>
            <w:tcW w:w="1340" w:type="dxa"/>
            <w:tcBorders/>
            <w:shd w:fill="EEEEEE" w:val="clear"/>
            <w:vAlign w:val="center"/>
          </w:tcPr>
          <w:p>
            <w:pPr>
              <w:pStyle w:val="TableContents"/>
              <w:bidi w:val="0"/>
              <w:spacing w:before="0" w:after="283"/>
              <w:jc w:val="left"/>
              <w:rPr/>
            </w:pPr>
            <w:r>
              <w:rPr/>
              <w:t>Foreign currency translation adjustments</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5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EEEEEE" w:val="clear"/>
            <w:tcMar>
              <w:bottom w:w="28" w:type="dxa"/>
            </w:tcMar>
            <w:vAlign w:val="center"/>
          </w:tcPr>
          <w:p>
            <w:pPr>
              <w:pStyle w:val="TableContents"/>
              <w:bidi w:val="0"/>
              <w:spacing w:before="0" w:after="283"/>
              <w:jc w:val="right"/>
              <w:rPr/>
            </w:pPr>
            <w:r>
              <w:rPr/>
              <w:t>24,943</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24,943</w:t>
            </w:r>
          </w:p>
        </w:tc>
        <w:tc>
          <w:tcPr>
            <w:tcW w:w="170" w:type="dxa"/>
            <w:tcBorders/>
            <w:shd w:fill="EEEEEE" w:val="clear"/>
            <w:vAlign w:val="center"/>
          </w:tcPr>
          <w:p>
            <w:pPr>
              <w:pStyle w:val="TableContents"/>
              <w:bidi w:val="0"/>
              <w:spacing w:before="0" w:after="283"/>
              <w:jc w:val="left"/>
              <w:rPr/>
            </w:pPr>
            <w:r>
              <w:rPr/>
              <w:t> </w:t>
            </w:r>
            <w:bookmarkStart w:id="177" w:name="xdx_430_c20251001__20251231_eus-gaap--St"/>
            <w:bookmarkEnd w:id="177"/>
          </w:p>
        </w:tc>
      </w:tr>
      <w:tr>
        <w:trPr/>
        <w:tc>
          <w:tcPr>
            <w:tcW w:w="1340" w:type="dxa"/>
            <w:tcBorders/>
            <w:shd w:fill="FFFFFF" w:val="clear"/>
            <w:vAlign w:val="center"/>
          </w:tcPr>
          <w:p>
            <w:pPr>
              <w:pStyle w:val="TableContents"/>
              <w:bidi w:val="0"/>
              <w:spacing w:before="0" w:after="283"/>
              <w:jc w:val="left"/>
              <w:rPr/>
            </w:pPr>
            <w:r>
              <w:rPr/>
              <w:t>Balance, September 30,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 w:name="xdx_98E_eus-gaap--SharesOutstanding_iS_c"/>
            <w:bookmarkEnd w:id="178"/>
          </w:p>
        </w:tc>
        <w:tc>
          <w:tcPr>
            <w:tcW w:w="980" w:type="dxa"/>
            <w:tcBorders/>
            <w:shd w:fill="FFFFFF" w:val="clear"/>
            <w:vAlign w:val="center"/>
          </w:tcPr>
          <w:p>
            <w:pPr>
              <w:pStyle w:val="TableContents"/>
              <w:bidi w:val="0"/>
              <w:spacing w:before="0" w:after="283"/>
              <w:jc w:val="right"/>
              <w:rPr/>
            </w:pPr>
            <w:r>
              <w:rPr/>
              <w:t>1,049,790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bookmarkStart w:id="179" w:name="xdx_98B_eus-gaap--StockholdersEquityIncl"/>
            <w:bookmarkEnd w:id="179"/>
          </w:p>
        </w:tc>
        <w:tc>
          <w:tcPr>
            <w:tcW w:w="633" w:type="dxa"/>
            <w:tcBorders/>
            <w:shd w:fill="FFFFFF" w:val="clear"/>
            <w:vAlign w:val="center"/>
          </w:tcPr>
          <w:p>
            <w:pPr>
              <w:pStyle w:val="TableContents"/>
              <w:bidi w:val="0"/>
              <w:spacing w:before="0" w:after="283"/>
              <w:jc w:val="right"/>
              <w:rPr/>
            </w:pPr>
            <w:r>
              <w:rPr/>
              <w:t>1,050</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33,631,399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(15,732,537</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(47,462</w:t>
            </w:r>
          </w:p>
        </w:tc>
        <w:tc>
          <w:tcPr>
            <w:tcW w:w="15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65,050</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17,917,500</w:t>
            </w:r>
          </w:p>
        </w:tc>
        <w:tc>
          <w:tcPr>
            <w:tcW w:w="170" w:type="dxa"/>
            <w:tcBorders/>
            <w:shd w:fill="FFFFFF" w:val="clear"/>
            <w:vAlign w:val="center"/>
          </w:tcPr>
          <w:p>
            <w:pPr>
              <w:pStyle w:val="TableContents"/>
              <w:bidi w:val="0"/>
              <w:spacing w:before="0" w:after="283"/>
              <w:jc w:val="left"/>
              <w:rPr/>
            </w:pPr>
            <w:r>
              <w:rPr/>
              <w:t> </w:t>
            </w:r>
            <w:bookmarkStart w:id="180" w:name="xdx_407_eus-gaap--IncomeLossFromContinui"/>
            <w:bookmarkEnd w:id="180"/>
          </w:p>
        </w:tc>
      </w:tr>
      <w:tr>
        <w:trPr/>
        <w:tc>
          <w:tcPr>
            <w:tcW w:w="1340" w:type="dxa"/>
            <w:tcBorders/>
            <w:shd w:fill="EEEEEE" w:val="clear"/>
            <w:vAlign w:val="center"/>
          </w:tcPr>
          <w:p>
            <w:pPr>
              <w:pStyle w:val="TableContents"/>
              <w:bidi w:val="0"/>
              <w:spacing w:before="0" w:after="283"/>
              <w:jc w:val="left"/>
              <w:rPr/>
            </w:pPr>
            <w:r>
              <w:rPr/>
              <w:t>Net loss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633" w:type="dxa"/>
            <w:tcBorders/>
            <w:shd w:fill="EEEEEE" w:val="clear"/>
            <w:vAlign w:val="center"/>
          </w:tcPr>
          <w:p>
            <w:pPr>
              <w:pStyle w:val="TableContents"/>
              <w:bidi w:val="0"/>
              <w:spacing w:before="0" w:after="283"/>
              <w:jc w:val="right"/>
              <w:rPr/>
            </w:pPr>
            <w:r>
              <w:rPr/>
              <w:t>–</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5" w:type="dxa"/>
            <w:tcBorders/>
            <w:shd w:fill="EEEEEE" w:val="clear"/>
            <w:vAlign w:val="center"/>
          </w:tcPr>
          <w:p>
            <w:pPr>
              <w:pStyle w:val="TableContents"/>
              <w:bidi w:val="0"/>
              <w:spacing w:before="0" w:after="283"/>
              <w:jc w:val="right"/>
              <w:rPr/>
            </w:pPr>
            <w:r>
              <w:rPr/>
              <w:t>(1,193,281</w:t>
            </w:r>
          </w:p>
        </w:tc>
        <w:tc>
          <w:tcPr>
            <w:tcW w:w="15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 </w:t>
            </w:r>
          </w:p>
        </w:tc>
        <w:tc>
          <w:tcPr>
            <w:tcW w:w="1239" w:type="dxa"/>
            <w:tcBorders/>
            <w:shd w:fill="EEEEEE" w:val="clear"/>
            <w:vAlign w:val="center"/>
          </w:tcPr>
          <w:p>
            <w:pPr>
              <w:pStyle w:val="TableContents"/>
              <w:bidi w:val="0"/>
              <w:spacing w:before="0" w:after="283"/>
              <w:jc w:val="right"/>
              <w:rPr/>
            </w:pPr>
            <w:r>
              <w:rPr/>
              <w:t>–</w:t>
            </w:r>
          </w:p>
        </w:tc>
        <w:tc>
          <w:tcPr>
            <w:tcW w:w="15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 </w:t>
            </w:r>
          </w:p>
        </w:tc>
        <w:tc>
          <w:tcPr>
            <w:tcW w:w="1269" w:type="dxa"/>
            <w:tcBorders/>
            <w:shd w:fill="EEEEEE" w:val="clear"/>
            <w:vAlign w:val="center"/>
          </w:tcPr>
          <w:p>
            <w:pPr>
              <w:pStyle w:val="TableContents"/>
              <w:bidi w:val="0"/>
              <w:spacing w:before="0" w:after="283"/>
              <w:jc w:val="right"/>
              <w:rPr/>
            </w:pPr>
            <w:r>
              <w:rPr/>
              <w:t>–</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(1,193,281</w:t>
            </w:r>
          </w:p>
        </w:tc>
        <w:tc>
          <w:tcPr>
            <w:tcW w:w="170" w:type="dxa"/>
            <w:tcBorders/>
            <w:shd w:fill="EEEEEE" w:val="clear"/>
            <w:vAlign w:val="center"/>
          </w:tcPr>
          <w:p>
            <w:pPr>
              <w:pStyle w:val="TableContents"/>
              <w:bidi w:val="0"/>
              <w:spacing w:before="0" w:after="283"/>
              <w:jc w:val="left"/>
              <w:rPr/>
            </w:pPr>
            <w:r>
              <w:rPr/>
              <w:t>)</w:t>
            </w:r>
            <w:bookmarkStart w:id="181" w:name="xdx_406_eus-gaap--AdjustmentsToAdditiona"/>
            <w:bookmarkEnd w:id="181"/>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950,202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950,202</w:t>
            </w:r>
          </w:p>
        </w:tc>
        <w:tc>
          <w:tcPr>
            <w:tcW w:w="170" w:type="dxa"/>
            <w:tcBorders/>
            <w:shd w:fill="FFFFFF" w:val="clear"/>
            <w:vAlign w:val="center"/>
          </w:tcPr>
          <w:p>
            <w:pPr>
              <w:pStyle w:val="TableContents"/>
              <w:bidi w:val="0"/>
              <w:spacing w:before="0" w:after="283"/>
              <w:jc w:val="left"/>
              <w:rPr/>
            </w:pPr>
            <w:r>
              <w:rPr/>
              <w:t> </w:t>
            </w:r>
            <w:bookmarkStart w:id="182" w:name="xdx_404_eus-gaap--StockIssuedDuringPerio"/>
            <w:bookmarkEnd w:id="182"/>
          </w:p>
        </w:tc>
      </w:tr>
      <w:tr>
        <w:trPr/>
        <w:tc>
          <w:tcPr>
            <w:tcW w:w="1340" w:type="dxa"/>
            <w:tcBorders/>
            <w:shd w:fill="EEEEEE" w:val="clear"/>
            <w:vAlign w:val="center"/>
          </w:tcPr>
          <w:p>
            <w:pPr>
              <w:pStyle w:val="TableContents"/>
              <w:bidi w:val="0"/>
              <w:spacing w:before="0" w:after="283"/>
              <w:jc w:val="left"/>
              <w:rPr/>
            </w:pPr>
            <w:r>
              <w:rPr/>
              <w:t>Shares issued for consulting services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83" w:name="xdx_980_eus-gaap--StockIssuedDuringPerio"/>
            <w:bookmarkEnd w:id="183"/>
          </w:p>
        </w:tc>
        <w:tc>
          <w:tcPr>
            <w:tcW w:w="980" w:type="dxa"/>
            <w:tcBorders/>
            <w:shd w:fill="EEEEEE" w:val="clear"/>
            <w:vAlign w:val="center"/>
          </w:tcPr>
          <w:p>
            <w:pPr>
              <w:pStyle w:val="TableContents"/>
              <w:bidi w:val="0"/>
              <w:spacing w:before="0" w:after="283"/>
              <w:jc w:val="right"/>
              <w:rPr/>
            </w:pPr>
            <w:r>
              <w:rPr/>
              <w:t>20,680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633" w:type="dxa"/>
            <w:tcBorders/>
            <w:shd w:fill="EEEEEE" w:val="clear"/>
            <w:vAlign w:val="center"/>
          </w:tcPr>
          <w:p>
            <w:pPr>
              <w:pStyle w:val="TableContents"/>
              <w:bidi w:val="0"/>
              <w:spacing w:before="0" w:after="283"/>
              <w:jc w:val="right"/>
              <w:rPr/>
            </w:pPr>
            <w:r>
              <w:rPr/>
              <w:t>21</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199,979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5" w:type="dxa"/>
            <w:tcBorders/>
            <w:shd w:fill="EEEEEE" w:val="cle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 </w:t>
            </w:r>
          </w:p>
        </w:tc>
        <w:tc>
          <w:tcPr>
            <w:tcW w:w="1239" w:type="dxa"/>
            <w:tcBorders/>
            <w:shd w:fill="EEEEEE" w:val="clear"/>
            <w:vAlign w:val="center"/>
          </w:tcPr>
          <w:p>
            <w:pPr>
              <w:pStyle w:val="TableContents"/>
              <w:bidi w:val="0"/>
              <w:spacing w:before="0" w:after="283"/>
              <w:jc w:val="right"/>
              <w:rPr/>
            </w:pPr>
            <w:r>
              <w:rPr/>
              <w:t>–</w:t>
            </w:r>
          </w:p>
        </w:tc>
        <w:tc>
          <w:tcPr>
            <w:tcW w:w="15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 </w:t>
            </w:r>
          </w:p>
        </w:tc>
        <w:tc>
          <w:tcPr>
            <w:tcW w:w="1269" w:type="dxa"/>
            <w:tcBorders/>
            <w:shd w:fill="EEEEEE" w:val="clear"/>
            <w:vAlign w:val="center"/>
          </w:tcPr>
          <w:p>
            <w:pPr>
              <w:pStyle w:val="TableContents"/>
              <w:bidi w:val="0"/>
              <w:spacing w:before="0" w:after="283"/>
              <w:jc w:val="right"/>
              <w:rPr/>
            </w:pPr>
            <w:r>
              <w:rPr/>
              <w:t>–</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200,000</w:t>
            </w:r>
          </w:p>
        </w:tc>
        <w:tc>
          <w:tcPr>
            <w:tcW w:w="170" w:type="dxa"/>
            <w:tcBorders/>
            <w:shd w:fill="EEEEEE" w:val="clear"/>
            <w:vAlign w:val="center"/>
          </w:tcPr>
          <w:p>
            <w:pPr>
              <w:pStyle w:val="TableContents"/>
              <w:bidi w:val="0"/>
              <w:spacing w:before="0" w:after="283"/>
              <w:jc w:val="left"/>
              <w:rPr/>
            </w:pPr>
            <w:r>
              <w:rPr/>
              <w:t> </w:t>
            </w:r>
            <w:bookmarkStart w:id="184" w:name="xdx_401_eus-gaap--StockIssuedDuringPerio"/>
            <w:bookmarkEnd w:id="184"/>
          </w:p>
        </w:tc>
      </w:tr>
      <w:tr>
        <w:trPr/>
        <w:tc>
          <w:tcPr>
            <w:tcW w:w="1340" w:type="dxa"/>
            <w:tcBorders/>
            <w:shd w:fill="FFFFFF" w:val="clear"/>
            <w:vAlign w:val="center"/>
          </w:tcPr>
          <w:p>
            <w:pPr>
              <w:pStyle w:val="TableContents"/>
              <w:bidi w:val="0"/>
              <w:spacing w:before="0" w:after="283"/>
              <w:jc w:val="left"/>
              <w:rPr/>
            </w:pPr>
            <w:r>
              <w:rPr/>
              <w:t>Common stock issued for conversions of note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5" w:name="xdx_983_eus-gaap--StockIssuedDuringPerio"/>
            <w:bookmarkEnd w:id="185"/>
          </w:p>
        </w:tc>
        <w:tc>
          <w:tcPr>
            <w:tcW w:w="980" w:type="dxa"/>
            <w:tcBorders/>
            <w:shd w:fill="FFFFFF" w:val="clear"/>
            <w:vAlign w:val="center"/>
          </w:tcPr>
          <w:p>
            <w:pPr>
              <w:pStyle w:val="TableContents"/>
              <w:bidi w:val="0"/>
              <w:spacing w:before="0" w:after="283"/>
              <w:jc w:val="right"/>
              <w:rPr/>
            </w:pPr>
            <w:r>
              <w:rPr/>
              <w:t>10,948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11</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110,300</w:t>
            </w:r>
          </w:p>
        </w:tc>
        <w:tc>
          <w:tcPr>
            <w:tcW w:w="170" w:type="dxa"/>
            <w:tcBorders/>
            <w:shd w:fill="FFFFFF" w:val="clear"/>
            <w:vAlign w:val="center"/>
          </w:tcPr>
          <w:p>
            <w:pPr>
              <w:pStyle w:val="TableContents"/>
              <w:bidi w:val="0"/>
              <w:spacing w:before="0" w:after="283"/>
              <w:jc w:val="left"/>
              <w:rPr/>
            </w:pPr>
            <w:r>
              <w:rPr/>
              <w:t> </w:t>
            </w:r>
            <w:bookmarkStart w:id="186" w:name="xdx_40A_ecustom--StockIssuedDuringPeriod"/>
            <w:bookmarkEnd w:id="186"/>
          </w:p>
        </w:tc>
      </w:tr>
      <w:tr>
        <w:trPr/>
        <w:tc>
          <w:tcPr>
            <w:tcW w:w="1340" w:type="dxa"/>
            <w:tcBorders/>
            <w:shd w:fill="EEEEEE" w:val="clear"/>
            <w:vAlign w:val="center"/>
          </w:tcPr>
          <w:p>
            <w:pPr>
              <w:pStyle w:val="TableContents"/>
              <w:bidi w:val="0"/>
              <w:spacing w:before="0" w:after="283"/>
              <w:jc w:val="left"/>
              <w:rPr/>
            </w:pPr>
            <w:r>
              <w:rPr/>
              <w:t>Reverse-Split round up shares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87" w:name="xdx_984_eus-gaap--StockIssuedDuringPerio"/>
            <w:bookmarkEnd w:id="187"/>
          </w:p>
        </w:tc>
        <w:tc>
          <w:tcPr>
            <w:tcW w:w="980" w:type="dxa"/>
            <w:tcBorders/>
            <w:shd w:fill="EEEEEE" w:val="clear"/>
            <w:vAlign w:val="center"/>
          </w:tcPr>
          <w:p>
            <w:pPr>
              <w:pStyle w:val="TableContents"/>
              <w:bidi w:val="0"/>
              <w:spacing w:before="0" w:after="283"/>
              <w:jc w:val="right"/>
              <w:rPr/>
            </w:pPr>
            <w:r>
              <w:rPr/>
              <w:t>42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633" w:type="dxa"/>
            <w:tcBorders/>
            <w:shd w:fill="EEEEEE" w:val="clear"/>
            <w:vAlign w:val="center"/>
          </w:tcPr>
          <w:p>
            <w:pPr>
              <w:pStyle w:val="TableContents"/>
              <w:bidi w:val="0"/>
              <w:spacing w:before="0" w:after="283"/>
              <w:jc w:val="right"/>
              <w:rPr/>
            </w:pPr>
            <w:r>
              <w:rPr/>
              <w:t>–</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5" w:type="dxa"/>
            <w:tcBorders/>
            <w:shd w:fill="EEEEEE" w:val="cle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 </w:t>
            </w:r>
          </w:p>
        </w:tc>
        <w:tc>
          <w:tcPr>
            <w:tcW w:w="1239" w:type="dxa"/>
            <w:tcBorders/>
            <w:shd w:fill="EEEEEE" w:val="clear"/>
            <w:vAlign w:val="center"/>
          </w:tcPr>
          <w:p>
            <w:pPr>
              <w:pStyle w:val="TableContents"/>
              <w:bidi w:val="0"/>
              <w:spacing w:before="0" w:after="283"/>
              <w:jc w:val="right"/>
              <w:rPr/>
            </w:pPr>
            <w:r>
              <w:rPr/>
              <w:t>–</w:t>
            </w:r>
          </w:p>
        </w:tc>
        <w:tc>
          <w:tcPr>
            <w:tcW w:w="15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 </w:t>
            </w:r>
          </w:p>
        </w:tc>
        <w:tc>
          <w:tcPr>
            <w:tcW w:w="1269" w:type="dxa"/>
            <w:tcBorders/>
            <w:shd w:fill="EEEEEE" w:val="clear"/>
            <w:vAlign w:val="center"/>
          </w:tcPr>
          <w:p>
            <w:pPr>
              <w:pStyle w:val="TableContents"/>
              <w:bidi w:val="0"/>
              <w:spacing w:before="0" w:after="283"/>
              <w:jc w:val="right"/>
              <w:rPr/>
            </w:pPr>
            <w:r>
              <w:rPr/>
              <w:t>–</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170" w:type="dxa"/>
            <w:tcBorders/>
            <w:shd w:fill="EEEEEE" w:val="clear"/>
            <w:vAlign w:val="center"/>
          </w:tcPr>
          <w:p>
            <w:pPr>
              <w:pStyle w:val="TableContents"/>
              <w:bidi w:val="0"/>
              <w:spacing w:before="0" w:after="283"/>
              <w:jc w:val="left"/>
              <w:rPr/>
            </w:pPr>
            <w:r>
              <w:rPr/>
              <w:t> </w:t>
            </w:r>
            <w:bookmarkStart w:id="188" w:name="xdx_40A_eus-gaap--OtherComprehensiveInco"/>
            <w:bookmarkEnd w:id="188"/>
          </w:p>
        </w:tc>
      </w:tr>
      <w:tr>
        <w:trPr/>
        <w:tc>
          <w:tcPr>
            <w:tcW w:w="134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(379</w:t>
            </w:r>
          </w:p>
        </w:tc>
        <w:tc>
          <w:tcPr>
            <w:tcW w:w="13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(379</w:t>
            </w:r>
          </w:p>
        </w:tc>
        <w:tc>
          <w:tcPr>
            <w:tcW w:w="170" w:type="dxa"/>
            <w:tcBorders/>
            <w:shd w:fill="FFFFFF" w:val="clear"/>
            <w:vAlign w:val="center"/>
          </w:tcPr>
          <w:p>
            <w:pPr>
              <w:pStyle w:val="TableContents"/>
              <w:bidi w:val="0"/>
              <w:spacing w:before="0" w:after="283"/>
              <w:jc w:val="left"/>
              <w:rPr/>
            </w:pPr>
            <w:r>
              <w:rPr/>
              <w:t>)</w:t>
            </w:r>
            <w:bookmarkStart w:id="189" w:name="xdx_432_c20260101__20260331_eus-gaap--St"/>
            <w:bookmarkEnd w:id="189"/>
          </w:p>
        </w:tc>
      </w:tr>
      <w:tr>
        <w:trPr/>
        <w:tc>
          <w:tcPr>
            <w:tcW w:w="1340" w:type="dxa"/>
            <w:tcBorders/>
            <w:shd w:fill="EEEEEE" w:val="clear"/>
            <w:vAlign w:val="center"/>
          </w:tcPr>
          <w:p>
            <w:pPr>
              <w:pStyle w:val="TableContents"/>
              <w:bidi w:val="0"/>
              <w:spacing w:before="0" w:after="283"/>
              <w:jc w:val="left"/>
              <w:rPr/>
            </w:pPr>
            <w:r>
              <w:rPr/>
              <w:t>Balance, December 31, 2025, unaudited</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90" w:name="xdx_989_eus-gaap--SharesOutstanding_iS_c"/>
            <w:bookmarkEnd w:id="190"/>
          </w:p>
        </w:tc>
        <w:tc>
          <w:tcPr>
            <w:tcW w:w="980" w:type="dxa"/>
            <w:tcBorders/>
            <w:shd w:fill="EEEEEE" w:val="clear"/>
            <w:vAlign w:val="center"/>
          </w:tcPr>
          <w:p>
            <w:pPr>
              <w:pStyle w:val="TableContents"/>
              <w:bidi w:val="0"/>
              <w:spacing w:before="0" w:after="283"/>
              <w:jc w:val="right"/>
              <w:rPr/>
            </w:pPr>
            <w:r>
              <w:rPr/>
              <w:t>1,081,460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w:t>
            </w:r>
            <w:bookmarkStart w:id="191" w:name="xdx_98A_eus-gaap--StockholdersEquityIncl"/>
            <w:bookmarkEnd w:id="191"/>
          </w:p>
        </w:tc>
        <w:tc>
          <w:tcPr>
            <w:tcW w:w="633" w:type="dxa"/>
            <w:tcBorders/>
            <w:shd w:fill="EEEEEE" w:val="clear"/>
            <w:vAlign w:val="center"/>
          </w:tcPr>
          <w:p>
            <w:pPr>
              <w:pStyle w:val="TableContents"/>
              <w:bidi w:val="0"/>
              <w:spacing w:before="0" w:after="283"/>
              <w:jc w:val="right"/>
              <w:rPr/>
            </w:pPr>
            <w:r>
              <w:rPr/>
              <w:t>1,082</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34,891,869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75" w:type="dxa"/>
            <w:tcBorders/>
            <w:shd w:fill="EEEEEE" w:val="clear"/>
            <w:vAlign w:val="center"/>
          </w:tcPr>
          <w:p>
            <w:pPr>
              <w:pStyle w:val="TableContents"/>
              <w:bidi w:val="0"/>
              <w:spacing w:before="0" w:after="283"/>
              <w:jc w:val="right"/>
              <w:rPr/>
            </w:pPr>
            <w:r>
              <w:rPr/>
              <w:t>(16,925,818</w:t>
            </w:r>
          </w:p>
        </w:tc>
        <w:tc>
          <w:tcPr>
            <w:tcW w:w="15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239" w:type="dxa"/>
            <w:tcBorders/>
            <w:shd w:fill="EEEEEE" w:val="clear"/>
            <w:vAlign w:val="center"/>
          </w:tcPr>
          <w:p>
            <w:pPr>
              <w:pStyle w:val="TableContents"/>
              <w:bidi w:val="0"/>
              <w:spacing w:before="0" w:after="283"/>
              <w:jc w:val="right"/>
              <w:rPr/>
            </w:pPr>
            <w:r>
              <w:rPr/>
              <w:t>(47,462</w:t>
            </w:r>
          </w:p>
        </w:tc>
        <w:tc>
          <w:tcPr>
            <w:tcW w:w="157"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p>
        </w:tc>
        <w:tc>
          <w:tcPr>
            <w:tcW w:w="1269" w:type="dxa"/>
            <w:tcBorders/>
            <w:shd w:fill="EEEEEE" w:val="clear"/>
            <w:vAlign w:val="center"/>
          </w:tcPr>
          <w:p>
            <w:pPr>
              <w:pStyle w:val="TableContents"/>
              <w:bidi w:val="0"/>
              <w:spacing w:before="0" w:after="283"/>
              <w:jc w:val="right"/>
              <w:rPr/>
            </w:pPr>
            <w:r>
              <w:rPr/>
              <w:t>64,671</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17,984,342</w:t>
            </w:r>
          </w:p>
        </w:tc>
        <w:tc>
          <w:tcPr>
            <w:tcW w:w="170" w:type="dxa"/>
            <w:tcBorders/>
            <w:shd w:fill="EEEEEE" w:val="clear"/>
            <w:vAlign w:val="center"/>
          </w:tcPr>
          <w:p>
            <w:pPr>
              <w:pStyle w:val="TableContents"/>
              <w:bidi w:val="0"/>
              <w:spacing w:before="0" w:after="283"/>
              <w:jc w:val="left"/>
              <w:rPr/>
            </w:pPr>
            <w:r>
              <w:rPr/>
              <w:t> </w:t>
            </w:r>
            <w:bookmarkStart w:id="192" w:name="xdx_407_eus-gaap--IncomeLossFromContinui"/>
            <w:bookmarkEnd w:id="192"/>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(3,454,878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(3,454,878</w:t>
            </w:r>
          </w:p>
        </w:tc>
        <w:tc>
          <w:tcPr>
            <w:tcW w:w="170" w:type="dxa"/>
            <w:tcBorders/>
            <w:shd w:fill="FFFFFF" w:val="clear"/>
            <w:vAlign w:val="center"/>
          </w:tcPr>
          <w:p>
            <w:pPr>
              <w:pStyle w:val="TableContents"/>
              <w:bidi w:val="0"/>
              <w:spacing w:before="0" w:after="283"/>
              <w:jc w:val="left"/>
              <w:rPr/>
            </w:pPr>
            <w:r>
              <w:rPr/>
              <w:t>) </w:t>
            </w:r>
            <w:bookmarkStart w:id="193" w:name="xdx_406_eus-gaap--AdjustmentsToAdditiona"/>
            <w:bookmarkEnd w:id="193"/>
          </w:p>
        </w:tc>
      </w:tr>
      <w:tr>
        <w:trPr/>
        <w:tc>
          <w:tcPr>
            <w:tcW w:w="1340"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633" w:type="dxa"/>
            <w:tcBorders/>
            <w:shd w:fill="EEEEEE" w:val="clear"/>
            <w:vAlign w:val="center"/>
          </w:tcPr>
          <w:p>
            <w:pPr>
              <w:pStyle w:val="TableContents"/>
              <w:bidi w:val="0"/>
              <w:spacing w:before="0" w:after="283"/>
              <w:jc w:val="right"/>
              <w:rPr/>
            </w:pPr>
            <w:r>
              <w:rPr/>
              <w:t>–</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150,203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5" w:type="dxa"/>
            <w:tcBorders/>
            <w:shd w:fill="EEEEEE" w:val="cle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 </w:t>
            </w:r>
          </w:p>
        </w:tc>
        <w:tc>
          <w:tcPr>
            <w:tcW w:w="1239" w:type="dxa"/>
            <w:tcBorders/>
            <w:shd w:fill="EEEEEE" w:val="clear"/>
            <w:vAlign w:val="center"/>
          </w:tcPr>
          <w:p>
            <w:pPr>
              <w:pStyle w:val="TableContents"/>
              <w:bidi w:val="0"/>
              <w:spacing w:before="0" w:after="283"/>
              <w:jc w:val="right"/>
              <w:rPr/>
            </w:pPr>
            <w:r>
              <w:rPr/>
              <w:t>–</w:t>
            </w:r>
          </w:p>
        </w:tc>
        <w:tc>
          <w:tcPr>
            <w:tcW w:w="15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 </w:t>
            </w:r>
          </w:p>
        </w:tc>
        <w:tc>
          <w:tcPr>
            <w:tcW w:w="1269" w:type="dxa"/>
            <w:tcBorders/>
            <w:shd w:fill="EEEEEE" w:val="clear"/>
            <w:vAlign w:val="center"/>
          </w:tcPr>
          <w:p>
            <w:pPr>
              <w:pStyle w:val="TableContents"/>
              <w:bidi w:val="0"/>
              <w:spacing w:before="0" w:after="283"/>
              <w:jc w:val="right"/>
              <w:rPr/>
            </w:pPr>
            <w:r>
              <w:rPr/>
              <w:t>–</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150,203</w:t>
            </w:r>
          </w:p>
        </w:tc>
        <w:tc>
          <w:tcPr>
            <w:tcW w:w="170" w:type="dxa"/>
            <w:tcBorders/>
            <w:shd w:fill="EEEEEE" w:val="clear"/>
            <w:vAlign w:val="center"/>
          </w:tcPr>
          <w:p>
            <w:pPr>
              <w:pStyle w:val="TableContents"/>
              <w:bidi w:val="0"/>
              <w:spacing w:before="0" w:after="283"/>
              <w:jc w:val="left"/>
              <w:rPr/>
            </w:pPr>
            <w:r>
              <w:rPr/>
              <w:t> </w:t>
            </w:r>
            <w:bookmarkStart w:id="194" w:name="xdx_40E_eus-gaap--StockIssuedDuringPerio"/>
            <w:bookmarkEnd w:id="194"/>
          </w:p>
        </w:tc>
      </w:tr>
      <w:tr>
        <w:trPr/>
        <w:tc>
          <w:tcPr>
            <w:tcW w:w="1340" w:type="dxa"/>
            <w:tcBorders/>
            <w:shd w:fill="FFFFFF" w:val="clear"/>
            <w:vAlign w:val="center"/>
          </w:tcPr>
          <w:p>
            <w:pPr>
              <w:pStyle w:val="TableContents"/>
              <w:bidi w:val="0"/>
              <w:spacing w:before="0" w:after="283"/>
              <w:jc w:val="left"/>
              <w:rPr/>
            </w:pPr>
            <w:r>
              <w:rPr/>
              <w:t>Common stock issued for conversions of note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5" w:name="xdx_988_eus-gaap--StockIssuedDuringPerio"/>
            <w:bookmarkEnd w:id="195"/>
          </w:p>
        </w:tc>
        <w:tc>
          <w:tcPr>
            <w:tcW w:w="980" w:type="dxa"/>
            <w:tcBorders/>
            <w:shd w:fill="FFFFFF" w:val="clear"/>
            <w:vAlign w:val="center"/>
          </w:tcPr>
          <w:p>
            <w:pPr>
              <w:pStyle w:val="TableContents"/>
              <w:bidi w:val="0"/>
              <w:spacing w:before="0" w:after="283"/>
              <w:jc w:val="right"/>
              <w:rPr/>
            </w:pPr>
            <w:r>
              <w:rPr/>
              <w:t>692,539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692</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2,486,008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2,486,700</w:t>
            </w:r>
          </w:p>
        </w:tc>
        <w:tc>
          <w:tcPr>
            <w:tcW w:w="170" w:type="dxa"/>
            <w:tcBorders/>
            <w:shd w:fill="FFFFFF" w:val="clear"/>
            <w:vAlign w:val="center"/>
          </w:tcPr>
          <w:p>
            <w:pPr>
              <w:pStyle w:val="TableContents"/>
              <w:bidi w:val="0"/>
              <w:spacing w:before="0" w:after="283"/>
              <w:jc w:val="left"/>
              <w:rPr/>
            </w:pPr>
            <w:r>
              <w:rPr/>
              <w:t> </w:t>
            </w:r>
            <w:bookmarkStart w:id="196" w:name="xdx_40A_eus-gaap--OtherComprehensiveInco"/>
            <w:bookmarkEnd w:id="196"/>
          </w:p>
        </w:tc>
      </w:tr>
      <w:tr>
        <w:trPr/>
        <w:tc>
          <w:tcPr>
            <w:tcW w:w="134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(15,743</w:t>
            </w:r>
          </w:p>
        </w:tc>
        <w:tc>
          <w:tcPr>
            <w:tcW w:w="13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(15,743</w:t>
            </w:r>
          </w:p>
        </w:tc>
        <w:tc>
          <w:tcPr>
            <w:tcW w:w="170" w:type="dxa"/>
            <w:tcBorders/>
            <w:shd w:fill="FFFFFF" w:val="clear"/>
            <w:vAlign w:val="center"/>
          </w:tcPr>
          <w:p>
            <w:pPr>
              <w:pStyle w:val="TableContents"/>
              <w:bidi w:val="0"/>
              <w:spacing w:before="0" w:after="283"/>
              <w:jc w:val="left"/>
              <w:rPr/>
            </w:pPr>
            <w:r>
              <w:rPr/>
              <w:t>)</w:t>
            </w:r>
            <w:bookmarkStart w:id="197" w:name="xdx_43E_c20260101__20260331_eus-gaap--St"/>
            <w:bookmarkEnd w:id="197"/>
          </w:p>
        </w:tc>
      </w:tr>
      <w:tr>
        <w:trPr/>
        <w:tc>
          <w:tcPr>
            <w:tcW w:w="1340" w:type="dxa"/>
            <w:tcBorders/>
            <w:shd w:fill="EEEEEE" w:val="clear"/>
            <w:vAlign w:val="center"/>
          </w:tcPr>
          <w:p>
            <w:pPr>
              <w:pStyle w:val="TableContents"/>
              <w:bidi w:val="0"/>
              <w:spacing w:before="0" w:after="283"/>
              <w:jc w:val="left"/>
              <w:rPr/>
            </w:pPr>
            <w:r>
              <w:rPr/>
              <w:t>Balance, March 31, 2026, unaudited</w:t>
            </w:r>
          </w:p>
        </w:tc>
        <w:tc>
          <w:tcPr>
            <w:tcW w:w="60" w:type="dxa"/>
            <w:tcBorders/>
            <w:shd w:fill="EEEEEE" w:val="clear"/>
            <w:vAlign w:val="center"/>
          </w:tcPr>
          <w:p>
            <w:pPr>
              <w:pStyle w:val="TableContents"/>
              <w:bidi w:val="0"/>
              <w:spacing w:before="0" w:after="283"/>
              <w:jc w:val="left"/>
              <w:rPr/>
            </w:pPr>
            <w:r>
              <w:rPr/>
              <w:t> </w:t>
            </w:r>
          </w:p>
        </w:tc>
        <w:tc>
          <w:tcPr>
            <w:tcW w:w="6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198" w:name="xdx_98C_eus-gaap--SharesOutstanding_iE_c"/>
            <w:bookmarkEnd w:id="198"/>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1,773,999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199" w:name="xdx_986_eus-gaap--StockholdersEquityIncl"/>
            <w:bookmarkEnd w:id="199"/>
          </w:p>
        </w:tc>
        <w:tc>
          <w:tcPr>
            <w:tcW w:w="633" w:type="dxa"/>
            <w:tcBorders>
              <w:bottom w:val="double" w:sz="6" w:space="0" w:color="000000"/>
            </w:tcBorders>
            <w:shd w:fill="EEEEEE" w:val="clear"/>
            <w:tcMar>
              <w:bottom w:w="28" w:type="dxa"/>
            </w:tcMar>
            <w:vAlign w:val="center"/>
          </w:tcPr>
          <w:p>
            <w:pPr>
              <w:pStyle w:val="TableContents"/>
              <w:bidi w:val="0"/>
              <w:spacing w:before="0" w:after="283"/>
              <w:jc w:val="right"/>
              <w:rPr/>
            </w:pPr>
            <w:r>
              <w:rPr/>
              <w:t>1,774</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37,528,080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EEEEEE" w:val="clear"/>
            <w:tcMar>
              <w:bottom w:w="28" w:type="dxa"/>
            </w:tcMar>
            <w:vAlign w:val="center"/>
          </w:tcPr>
          <w:p>
            <w:pPr>
              <w:pStyle w:val="TableContents"/>
              <w:bidi w:val="0"/>
              <w:spacing w:before="0" w:after="283"/>
              <w:jc w:val="right"/>
              <w:rPr/>
            </w:pPr>
            <w:r>
              <w:rPr/>
              <w:t>(20,380,696</w:t>
            </w:r>
          </w:p>
        </w:tc>
        <w:tc>
          <w:tcPr>
            <w:tcW w:w="15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EEEEEE" w:val="clear"/>
            <w:tcMar>
              <w:bottom w:w="28" w:type="dxa"/>
            </w:tcMar>
            <w:vAlign w:val="center"/>
          </w:tcPr>
          <w:p>
            <w:pPr>
              <w:pStyle w:val="TableContents"/>
              <w:bidi w:val="0"/>
              <w:spacing w:before="0" w:after="283"/>
              <w:jc w:val="right"/>
              <w:rPr/>
            </w:pPr>
            <w:r>
              <w:rPr/>
              <w:t>(47,462</w:t>
            </w:r>
          </w:p>
        </w:tc>
        <w:tc>
          <w:tcPr>
            <w:tcW w:w="157"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69" w:type="dxa"/>
            <w:tcBorders>
              <w:bottom w:val="double" w:sz="6" w:space="0" w:color="000000"/>
            </w:tcBorders>
            <w:shd w:fill="EEEEEE" w:val="clear"/>
            <w:tcMar>
              <w:bottom w:w="28" w:type="dxa"/>
            </w:tcMar>
            <w:vAlign w:val="center"/>
          </w:tcPr>
          <w:p>
            <w:pPr>
              <w:pStyle w:val="TableContents"/>
              <w:bidi w:val="0"/>
              <w:spacing w:before="0" w:after="283"/>
              <w:jc w:val="right"/>
              <w:rPr/>
            </w:pPr>
            <w:r>
              <w:rPr/>
              <w:t>48,928</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17,150,624</w:t>
            </w:r>
          </w:p>
        </w:tc>
        <w:tc>
          <w:tcPr>
            <w:tcW w:w="170" w:type="dxa"/>
            <w:tcBorders/>
            <w:shd w:fill="EEEEEE"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bookmarkStart w:id="200" w:name="xdx_437_c20240701__20240930_eus-gaap--St"/>
            <w:bookmarkEnd w:id="200"/>
          </w:p>
        </w:tc>
      </w:tr>
      <w:tr>
        <w:trPr/>
        <w:tc>
          <w:tcPr>
            <w:tcW w:w="1340" w:type="dxa"/>
            <w:tcBorders/>
            <w:shd w:fill="EEEEEE" w:val="clear"/>
            <w:vAlign w:val="center"/>
          </w:tcPr>
          <w:p>
            <w:pPr>
              <w:pStyle w:val="TableContents"/>
              <w:bidi w:val="0"/>
              <w:spacing w:before="0" w:after="283"/>
              <w:jc w:val="left"/>
              <w:rPr/>
            </w:pPr>
            <w:r>
              <w:rPr/>
              <w:t>Balance, June 30, 2024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201" w:name="xdx_98E_eus-gaap--SharesOutstanding_iS_c"/>
            <w:bookmarkEnd w:id="201"/>
          </w:p>
        </w:tc>
        <w:tc>
          <w:tcPr>
            <w:tcW w:w="980" w:type="dxa"/>
            <w:tcBorders/>
            <w:shd w:fill="EEEEEE" w:val="clear"/>
            <w:vAlign w:val="center"/>
          </w:tcPr>
          <w:p>
            <w:pPr>
              <w:pStyle w:val="TableContents"/>
              <w:bidi w:val="0"/>
              <w:spacing w:before="0" w:after="283"/>
              <w:jc w:val="right"/>
              <w:rPr/>
            </w:pPr>
            <w:r>
              <w:rPr/>
              <w:t>1,045,330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w:t>
            </w:r>
            <w:bookmarkStart w:id="202" w:name="xdx_98B_eus-gaap--StockholdersEquityIncl"/>
            <w:bookmarkEnd w:id="202"/>
          </w:p>
        </w:tc>
        <w:tc>
          <w:tcPr>
            <w:tcW w:w="633" w:type="dxa"/>
            <w:tcBorders/>
            <w:shd w:fill="EEEEEE" w:val="clear"/>
            <w:vAlign w:val="center"/>
          </w:tcPr>
          <w:p>
            <w:pPr>
              <w:pStyle w:val="TableContents"/>
              <w:bidi w:val="0"/>
              <w:spacing w:before="0" w:after="283"/>
              <w:jc w:val="right"/>
              <w:rPr/>
            </w:pPr>
            <w:r>
              <w:rPr/>
              <w:t>1,045</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33,494,199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75" w:type="dxa"/>
            <w:tcBorders/>
            <w:shd w:fill="EEEEEE" w:val="clear"/>
            <w:vAlign w:val="center"/>
          </w:tcPr>
          <w:p>
            <w:pPr>
              <w:pStyle w:val="TableContents"/>
              <w:bidi w:val="0"/>
              <w:spacing w:before="0" w:after="283"/>
              <w:jc w:val="right"/>
              <w:rPr/>
            </w:pPr>
            <w:r>
              <w:rPr/>
              <w:t>(10,230,601</w:t>
            </w:r>
          </w:p>
        </w:tc>
        <w:tc>
          <w:tcPr>
            <w:tcW w:w="15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239" w:type="dxa"/>
            <w:tcBorders/>
            <w:shd w:fill="EEEEEE" w:val="clear"/>
            <w:vAlign w:val="center"/>
          </w:tcPr>
          <w:p>
            <w:pPr>
              <w:pStyle w:val="TableContents"/>
              <w:bidi w:val="0"/>
              <w:spacing w:before="0" w:after="283"/>
              <w:jc w:val="right"/>
              <w:rPr/>
            </w:pPr>
            <w:r>
              <w:rPr/>
              <w:t>(38,204</w:t>
            </w:r>
          </w:p>
        </w:tc>
        <w:tc>
          <w:tcPr>
            <w:tcW w:w="157"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p>
        </w:tc>
        <w:tc>
          <w:tcPr>
            <w:tcW w:w="1269" w:type="dxa"/>
            <w:tcBorders/>
            <w:shd w:fill="EEEEEE" w:val="clear"/>
            <w:vAlign w:val="center"/>
          </w:tcPr>
          <w:p>
            <w:pPr>
              <w:pStyle w:val="TableContents"/>
              <w:bidi w:val="0"/>
              <w:spacing w:before="0" w:after="283"/>
              <w:jc w:val="right"/>
              <w:rPr/>
            </w:pPr>
            <w:r>
              <w:rPr/>
              <w:t>(210,406</w:t>
            </w:r>
          </w:p>
        </w:tc>
        <w:tc>
          <w:tcPr>
            <w:tcW w:w="138"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23,016,033</w:t>
            </w:r>
          </w:p>
        </w:tc>
        <w:tc>
          <w:tcPr>
            <w:tcW w:w="170" w:type="dxa"/>
            <w:tcBorders/>
            <w:shd w:fill="EEEEEE" w:val="clear"/>
            <w:vAlign w:val="center"/>
          </w:tcPr>
          <w:p>
            <w:pPr>
              <w:pStyle w:val="TableContents"/>
              <w:bidi w:val="0"/>
              <w:spacing w:before="0" w:after="283"/>
              <w:jc w:val="left"/>
              <w:rPr/>
            </w:pPr>
            <w:r>
              <w:rPr/>
              <w:t> </w:t>
            </w:r>
            <w:bookmarkStart w:id="203" w:name="xdx_407_eus-gaap--IncomeLossFromContinui"/>
            <w:bookmarkEnd w:id="203"/>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(2,029,281</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(2,836</w:t>
            </w:r>
          </w:p>
        </w:tc>
        <w:tc>
          <w:tcPr>
            <w:tcW w:w="15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(2,032,117</w:t>
            </w:r>
          </w:p>
        </w:tc>
        <w:tc>
          <w:tcPr>
            <w:tcW w:w="170" w:type="dxa"/>
            <w:tcBorders/>
            <w:shd w:fill="FFFFFF" w:val="clear"/>
            <w:vAlign w:val="center"/>
          </w:tcPr>
          <w:p>
            <w:pPr>
              <w:pStyle w:val="TableContents"/>
              <w:bidi w:val="0"/>
              <w:spacing w:before="0" w:after="283"/>
              <w:jc w:val="left"/>
              <w:rPr/>
            </w:pPr>
            <w:r>
              <w:rPr/>
              <w:t>)</w:t>
            </w:r>
            <w:bookmarkStart w:id="204" w:name="xdx_406_eus-gaap--AdjustmentsToAdditiona"/>
            <w:bookmarkEnd w:id="204"/>
          </w:p>
        </w:tc>
      </w:tr>
      <w:tr>
        <w:trPr/>
        <w:tc>
          <w:tcPr>
            <w:tcW w:w="1340"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633" w:type="dxa"/>
            <w:tcBorders/>
            <w:shd w:fill="EEEEEE" w:val="clear"/>
            <w:vAlign w:val="center"/>
          </w:tcPr>
          <w:p>
            <w:pPr>
              <w:pStyle w:val="TableContents"/>
              <w:bidi w:val="0"/>
              <w:spacing w:before="0" w:after="283"/>
              <w:jc w:val="right"/>
              <w:rPr/>
            </w:pPr>
            <w:r>
              <w:rPr/>
              <w:t>–</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205,960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5" w:type="dxa"/>
            <w:tcBorders/>
            <w:shd w:fill="EEEEEE" w:val="cle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 </w:t>
            </w:r>
          </w:p>
        </w:tc>
        <w:tc>
          <w:tcPr>
            <w:tcW w:w="1239" w:type="dxa"/>
            <w:tcBorders/>
            <w:shd w:fill="EEEEEE" w:val="clear"/>
            <w:vAlign w:val="center"/>
          </w:tcPr>
          <w:p>
            <w:pPr>
              <w:pStyle w:val="TableContents"/>
              <w:bidi w:val="0"/>
              <w:spacing w:before="0" w:after="283"/>
              <w:jc w:val="right"/>
              <w:rPr/>
            </w:pPr>
            <w:r>
              <w:rPr/>
              <w:t>–</w:t>
            </w:r>
          </w:p>
        </w:tc>
        <w:tc>
          <w:tcPr>
            <w:tcW w:w="15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 </w:t>
            </w:r>
          </w:p>
        </w:tc>
        <w:tc>
          <w:tcPr>
            <w:tcW w:w="1269" w:type="dxa"/>
            <w:tcBorders/>
            <w:shd w:fill="EEEEEE" w:val="clear"/>
            <w:vAlign w:val="center"/>
          </w:tcPr>
          <w:p>
            <w:pPr>
              <w:pStyle w:val="TableContents"/>
              <w:bidi w:val="0"/>
              <w:spacing w:before="0" w:after="283"/>
              <w:jc w:val="right"/>
              <w:rPr/>
            </w:pPr>
            <w:r>
              <w:rPr/>
              <w:t>–</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205,960</w:t>
            </w:r>
          </w:p>
        </w:tc>
        <w:tc>
          <w:tcPr>
            <w:tcW w:w="170" w:type="dxa"/>
            <w:tcBorders/>
            <w:shd w:fill="EEEEEE" w:val="clear"/>
            <w:vAlign w:val="center"/>
          </w:tcPr>
          <w:p>
            <w:pPr>
              <w:pStyle w:val="TableContents"/>
              <w:bidi w:val="0"/>
              <w:spacing w:before="0" w:after="283"/>
              <w:jc w:val="left"/>
              <w:rPr/>
            </w:pPr>
            <w:r>
              <w:rPr/>
              <w:t> </w:t>
            </w:r>
            <w:bookmarkStart w:id="205" w:name="xdx_40A_eus-gaap--OtherComprehensiveInco"/>
            <w:bookmarkEnd w:id="205"/>
          </w:p>
        </w:tc>
      </w:tr>
      <w:tr>
        <w:trPr/>
        <w:tc>
          <w:tcPr>
            <w:tcW w:w="134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(55,054</w:t>
            </w:r>
          </w:p>
        </w:tc>
        <w:tc>
          <w:tcPr>
            <w:tcW w:w="13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(55,054</w:t>
            </w:r>
          </w:p>
        </w:tc>
        <w:tc>
          <w:tcPr>
            <w:tcW w:w="170" w:type="dxa"/>
            <w:tcBorders/>
            <w:shd w:fill="FFFFFF" w:val="clear"/>
            <w:vAlign w:val="center"/>
          </w:tcPr>
          <w:p>
            <w:pPr>
              <w:pStyle w:val="TableContents"/>
              <w:bidi w:val="0"/>
              <w:spacing w:before="0" w:after="283"/>
              <w:jc w:val="left"/>
              <w:rPr/>
            </w:pPr>
            <w:r>
              <w:rPr/>
              <w:t>)</w:t>
            </w:r>
            <w:bookmarkStart w:id="206" w:name="xdx_431_c20241001__20241231_eus-gaap--St"/>
            <w:bookmarkEnd w:id="206"/>
          </w:p>
        </w:tc>
      </w:tr>
      <w:tr>
        <w:trPr/>
        <w:tc>
          <w:tcPr>
            <w:tcW w:w="1340" w:type="dxa"/>
            <w:tcBorders/>
            <w:shd w:fill="EEEEEE" w:val="clear"/>
            <w:vAlign w:val="center"/>
          </w:tcPr>
          <w:p>
            <w:pPr>
              <w:pStyle w:val="TableContents"/>
              <w:bidi w:val="0"/>
              <w:spacing w:before="0" w:after="283"/>
              <w:jc w:val="left"/>
              <w:rPr/>
            </w:pPr>
            <w:r>
              <w:rPr/>
              <w:t>Balance, September 30, 2024, unaudited</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207" w:name="xdx_980_eus-gaap--SharesOutstanding_iS_c"/>
            <w:bookmarkEnd w:id="207"/>
          </w:p>
        </w:tc>
        <w:tc>
          <w:tcPr>
            <w:tcW w:w="980" w:type="dxa"/>
            <w:tcBorders/>
            <w:shd w:fill="EEEEEE" w:val="clear"/>
            <w:vAlign w:val="center"/>
          </w:tcPr>
          <w:p>
            <w:pPr>
              <w:pStyle w:val="TableContents"/>
              <w:bidi w:val="0"/>
              <w:spacing w:before="0" w:after="283"/>
              <w:jc w:val="right"/>
              <w:rPr/>
            </w:pPr>
            <w:r>
              <w:rPr/>
              <w:t>1,045,330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w:t>
            </w:r>
            <w:bookmarkStart w:id="208" w:name="xdx_982_eus-gaap--StockholdersEquityIncl"/>
            <w:bookmarkEnd w:id="208"/>
          </w:p>
        </w:tc>
        <w:tc>
          <w:tcPr>
            <w:tcW w:w="633" w:type="dxa"/>
            <w:tcBorders/>
            <w:shd w:fill="EEEEEE" w:val="clear"/>
            <w:vAlign w:val="center"/>
          </w:tcPr>
          <w:p>
            <w:pPr>
              <w:pStyle w:val="TableContents"/>
              <w:bidi w:val="0"/>
              <w:spacing w:before="0" w:after="283"/>
              <w:jc w:val="right"/>
              <w:rPr/>
            </w:pPr>
            <w:r>
              <w:rPr/>
              <w:t>1,045</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33,700,159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75" w:type="dxa"/>
            <w:tcBorders/>
            <w:shd w:fill="EEEEEE" w:val="clear"/>
            <w:vAlign w:val="center"/>
          </w:tcPr>
          <w:p>
            <w:pPr>
              <w:pStyle w:val="TableContents"/>
              <w:bidi w:val="0"/>
              <w:spacing w:before="0" w:after="283"/>
              <w:jc w:val="right"/>
              <w:rPr/>
            </w:pPr>
            <w:r>
              <w:rPr/>
              <w:t>(12,259,882</w:t>
            </w:r>
          </w:p>
        </w:tc>
        <w:tc>
          <w:tcPr>
            <w:tcW w:w="15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239" w:type="dxa"/>
            <w:tcBorders/>
            <w:shd w:fill="EEEEEE" w:val="clear"/>
            <w:vAlign w:val="center"/>
          </w:tcPr>
          <w:p>
            <w:pPr>
              <w:pStyle w:val="TableContents"/>
              <w:bidi w:val="0"/>
              <w:spacing w:before="0" w:after="283"/>
              <w:jc w:val="right"/>
              <w:rPr/>
            </w:pPr>
            <w:r>
              <w:rPr/>
              <w:t>(41,040</w:t>
            </w:r>
          </w:p>
        </w:tc>
        <w:tc>
          <w:tcPr>
            <w:tcW w:w="157"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p>
        </w:tc>
        <w:tc>
          <w:tcPr>
            <w:tcW w:w="1269" w:type="dxa"/>
            <w:tcBorders/>
            <w:shd w:fill="EEEEEE" w:val="clear"/>
            <w:vAlign w:val="center"/>
          </w:tcPr>
          <w:p>
            <w:pPr>
              <w:pStyle w:val="TableContents"/>
              <w:bidi w:val="0"/>
              <w:spacing w:before="0" w:after="283"/>
              <w:jc w:val="right"/>
              <w:rPr/>
            </w:pPr>
            <w:r>
              <w:rPr/>
              <w:t>(265,460</w:t>
            </w:r>
          </w:p>
        </w:tc>
        <w:tc>
          <w:tcPr>
            <w:tcW w:w="138"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21,134,822</w:t>
            </w:r>
          </w:p>
        </w:tc>
        <w:tc>
          <w:tcPr>
            <w:tcW w:w="170" w:type="dxa"/>
            <w:tcBorders/>
            <w:shd w:fill="EEEEEE" w:val="clear"/>
            <w:vAlign w:val="center"/>
          </w:tcPr>
          <w:p>
            <w:pPr>
              <w:pStyle w:val="TableContents"/>
              <w:bidi w:val="0"/>
              <w:spacing w:before="0" w:after="283"/>
              <w:jc w:val="left"/>
              <w:rPr/>
            </w:pPr>
            <w:r>
              <w:rPr/>
              <w:t> </w:t>
            </w:r>
            <w:bookmarkStart w:id="209" w:name="xdx_407_eus-gaap--IncomeLossFromContinui"/>
            <w:bookmarkEnd w:id="209"/>
          </w:p>
        </w:tc>
      </w:tr>
      <w:tr>
        <w:trPr/>
        <w:tc>
          <w:tcPr>
            <w:tcW w:w="134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218,819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(3,155</w:t>
            </w:r>
          </w:p>
        </w:tc>
        <w:tc>
          <w:tcPr>
            <w:tcW w:w="15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215,664</w:t>
            </w:r>
          </w:p>
        </w:tc>
        <w:tc>
          <w:tcPr>
            <w:tcW w:w="170" w:type="dxa"/>
            <w:tcBorders/>
            <w:shd w:fill="FFFFFF" w:val="clear"/>
            <w:vAlign w:val="center"/>
          </w:tcPr>
          <w:p>
            <w:pPr>
              <w:pStyle w:val="TableContents"/>
              <w:bidi w:val="0"/>
              <w:spacing w:before="0" w:after="283"/>
              <w:jc w:val="left"/>
              <w:rPr/>
            </w:pPr>
            <w:r>
              <w:rPr/>
              <w:t> </w:t>
            </w:r>
            <w:bookmarkStart w:id="210" w:name="xdx_406_eus-gaap--AdjustmentsToAdditiona"/>
            <w:bookmarkEnd w:id="210"/>
          </w:p>
        </w:tc>
      </w:tr>
      <w:tr>
        <w:trPr/>
        <w:tc>
          <w:tcPr>
            <w:tcW w:w="1340"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633" w:type="dxa"/>
            <w:tcBorders/>
            <w:shd w:fill="EEEEEE" w:val="clear"/>
            <w:vAlign w:val="center"/>
          </w:tcPr>
          <w:p>
            <w:pPr>
              <w:pStyle w:val="TableContents"/>
              <w:bidi w:val="0"/>
              <w:spacing w:before="0" w:after="283"/>
              <w:jc w:val="right"/>
              <w:rPr/>
            </w:pPr>
            <w:r>
              <w:rPr/>
              <w:t>–</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197,313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5" w:type="dxa"/>
            <w:tcBorders/>
            <w:shd w:fill="EEEEEE" w:val="cle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 </w:t>
            </w:r>
          </w:p>
        </w:tc>
        <w:tc>
          <w:tcPr>
            <w:tcW w:w="1239" w:type="dxa"/>
            <w:tcBorders/>
            <w:shd w:fill="EEEEEE" w:val="clear"/>
            <w:vAlign w:val="center"/>
          </w:tcPr>
          <w:p>
            <w:pPr>
              <w:pStyle w:val="TableContents"/>
              <w:bidi w:val="0"/>
              <w:spacing w:before="0" w:after="283"/>
              <w:jc w:val="right"/>
              <w:rPr/>
            </w:pPr>
            <w:r>
              <w:rPr/>
              <w:t>–</w:t>
            </w:r>
          </w:p>
        </w:tc>
        <w:tc>
          <w:tcPr>
            <w:tcW w:w="15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 </w:t>
            </w:r>
          </w:p>
        </w:tc>
        <w:tc>
          <w:tcPr>
            <w:tcW w:w="1269" w:type="dxa"/>
            <w:tcBorders/>
            <w:shd w:fill="EEEEEE" w:val="clear"/>
            <w:vAlign w:val="center"/>
          </w:tcPr>
          <w:p>
            <w:pPr>
              <w:pStyle w:val="TableContents"/>
              <w:bidi w:val="0"/>
              <w:spacing w:before="0" w:after="283"/>
              <w:jc w:val="right"/>
              <w:rPr/>
            </w:pPr>
            <w:r>
              <w:rPr/>
              <w:t>–</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197,313</w:t>
            </w:r>
          </w:p>
        </w:tc>
        <w:tc>
          <w:tcPr>
            <w:tcW w:w="170" w:type="dxa"/>
            <w:tcBorders/>
            <w:shd w:fill="EEEEEE" w:val="clear"/>
            <w:vAlign w:val="center"/>
          </w:tcPr>
          <w:p>
            <w:pPr>
              <w:pStyle w:val="TableContents"/>
              <w:bidi w:val="0"/>
              <w:spacing w:before="0" w:after="283"/>
              <w:jc w:val="left"/>
              <w:rPr/>
            </w:pPr>
            <w:r>
              <w:rPr/>
              <w:t> </w:t>
            </w:r>
            <w:bookmarkStart w:id="211" w:name="xdx_40A_eus-gaap--OtherComprehensiveInco"/>
            <w:bookmarkEnd w:id="211"/>
          </w:p>
        </w:tc>
      </w:tr>
      <w:tr>
        <w:trPr/>
        <w:tc>
          <w:tcPr>
            <w:tcW w:w="134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156,130</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156,130</w:t>
            </w:r>
          </w:p>
        </w:tc>
        <w:tc>
          <w:tcPr>
            <w:tcW w:w="170" w:type="dxa"/>
            <w:tcBorders/>
            <w:shd w:fill="FFFFFF" w:val="clear"/>
            <w:vAlign w:val="center"/>
          </w:tcPr>
          <w:p>
            <w:pPr>
              <w:pStyle w:val="TableContents"/>
              <w:bidi w:val="0"/>
              <w:spacing w:before="0" w:after="283"/>
              <w:jc w:val="left"/>
              <w:rPr/>
            </w:pPr>
            <w:r>
              <w:rPr/>
              <w:t> </w:t>
            </w:r>
            <w:bookmarkStart w:id="212" w:name="xdx_430_c20250101__20250331_eus-gaap--St"/>
            <w:bookmarkEnd w:id="212"/>
          </w:p>
        </w:tc>
      </w:tr>
      <w:tr>
        <w:trPr/>
        <w:tc>
          <w:tcPr>
            <w:tcW w:w="1340" w:type="dxa"/>
            <w:tcBorders/>
            <w:shd w:fill="EEEEEE" w:val="clear"/>
            <w:vAlign w:val="center"/>
          </w:tcPr>
          <w:p>
            <w:pPr>
              <w:pStyle w:val="TableContents"/>
              <w:bidi w:val="0"/>
              <w:spacing w:before="0" w:after="283"/>
              <w:jc w:val="left"/>
              <w:rPr/>
            </w:pPr>
            <w:r>
              <w:rPr/>
              <w:t>Balance, December 31, 2024, unaudited</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13" w:name="xdx_98E_eus-gaap--SharesOutstanding_iS_c"/>
            <w:bookmarkEnd w:id="213"/>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1,045,330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214" w:name="xdx_986_eus-gaap--StockholdersEquityIncl"/>
            <w:bookmarkEnd w:id="214"/>
          </w:p>
        </w:tc>
        <w:tc>
          <w:tcPr>
            <w:tcW w:w="633" w:type="dxa"/>
            <w:tcBorders>
              <w:bottom w:val="single" w:sz="8" w:space="0" w:color="000000"/>
            </w:tcBorders>
            <w:shd w:fill="EEEEEE" w:val="clear"/>
            <w:tcMar>
              <w:bottom w:w="28" w:type="dxa"/>
            </w:tcMar>
            <w:vAlign w:val="center"/>
          </w:tcPr>
          <w:p>
            <w:pPr>
              <w:pStyle w:val="TableContents"/>
              <w:bidi w:val="0"/>
              <w:spacing w:before="0" w:after="283"/>
              <w:jc w:val="right"/>
              <w:rPr/>
            </w:pPr>
            <w:r>
              <w:rPr/>
              <w:t>1,045</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33,897,472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EEEEEE" w:val="clear"/>
            <w:tcMar>
              <w:bottom w:w="28" w:type="dxa"/>
            </w:tcMar>
            <w:vAlign w:val="center"/>
          </w:tcPr>
          <w:p>
            <w:pPr>
              <w:pStyle w:val="TableContents"/>
              <w:bidi w:val="0"/>
              <w:spacing w:before="0" w:after="283"/>
              <w:jc w:val="right"/>
              <w:rPr/>
            </w:pPr>
            <w:r>
              <w:rPr/>
              <w:t>(12,041,063</w:t>
            </w:r>
          </w:p>
        </w:tc>
        <w:tc>
          <w:tcPr>
            <w:tcW w:w="15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9"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239" w:type="dxa"/>
            <w:tcBorders>
              <w:bottom w:val="single" w:sz="8" w:space="0" w:color="000000"/>
            </w:tcBorders>
            <w:shd w:fill="EEEEEE" w:val="clear"/>
            <w:tcMar>
              <w:bottom w:w="28" w:type="dxa"/>
            </w:tcMar>
            <w:vAlign w:val="center"/>
          </w:tcPr>
          <w:p>
            <w:pPr>
              <w:pStyle w:val="TableContents"/>
              <w:bidi w:val="0"/>
              <w:spacing w:before="0" w:after="283"/>
              <w:jc w:val="right"/>
              <w:rPr/>
            </w:pPr>
            <w:r>
              <w:rPr/>
              <w:t>(44,195</w:t>
            </w:r>
          </w:p>
        </w:tc>
        <w:tc>
          <w:tcPr>
            <w:tcW w:w="157"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3"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269" w:type="dxa"/>
            <w:tcBorders>
              <w:bottom w:val="single" w:sz="8" w:space="0" w:color="000000"/>
            </w:tcBorders>
            <w:shd w:fill="EEEEEE" w:val="clear"/>
            <w:tcMar>
              <w:bottom w:w="28" w:type="dxa"/>
            </w:tcMar>
            <w:vAlign w:val="center"/>
          </w:tcPr>
          <w:p>
            <w:pPr>
              <w:pStyle w:val="TableContents"/>
              <w:bidi w:val="0"/>
              <w:spacing w:before="0" w:after="283"/>
              <w:jc w:val="right"/>
              <w:rPr/>
            </w:pPr>
            <w:r>
              <w:rPr/>
              <w:t>(109,330</w:t>
            </w:r>
          </w:p>
        </w:tc>
        <w:tc>
          <w:tcPr>
            <w:tcW w:w="138"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21,703,929</w:t>
            </w:r>
          </w:p>
        </w:tc>
        <w:tc>
          <w:tcPr>
            <w:tcW w:w="170" w:type="dxa"/>
            <w:tcBorders/>
            <w:shd w:fill="EEEEEE" w:val="clear"/>
            <w:vAlign w:val="center"/>
          </w:tcPr>
          <w:p>
            <w:pPr>
              <w:pStyle w:val="TableContents"/>
              <w:bidi w:val="0"/>
              <w:spacing w:before="0" w:after="283"/>
              <w:jc w:val="left"/>
              <w:rPr/>
            </w:pPr>
            <w:r>
              <w:rPr/>
              <w:t> </w:t>
            </w:r>
            <w:bookmarkStart w:id="215" w:name="xdx_407_eus-gaap--IncomeLossFromContinui"/>
            <w:bookmarkEnd w:id="215"/>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(339,599</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(2,774</w:t>
            </w:r>
          </w:p>
        </w:tc>
        <w:tc>
          <w:tcPr>
            <w:tcW w:w="15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(342,373</w:t>
            </w:r>
          </w:p>
        </w:tc>
        <w:tc>
          <w:tcPr>
            <w:tcW w:w="170" w:type="dxa"/>
            <w:tcBorders/>
            <w:shd w:fill="FFFFFF" w:val="clear"/>
            <w:vAlign w:val="center"/>
          </w:tcPr>
          <w:p>
            <w:pPr>
              <w:pStyle w:val="TableContents"/>
              <w:bidi w:val="0"/>
              <w:spacing w:before="0" w:after="283"/>
              <w:jc w:val="left"/>
              <w:rPr/>
            </w:pPr>
            <w:r>
              <w:rPr/>
              <w:t>)</w:t>
            </w:r>
            <w:bookmarkStart w:id="216" w:name="xdx_406_eus-gaap--AdjustmentsToAdditiona"/>
            <w:bookmarkEnd w:id="216"/>
          </w:p>
        </w:tc>
      </w:tr>
      <w:tr>
        <w:trPr/>
        <w:tc>
          <w:tcPr>
            <w:tcW w:w="1340" w:type="dxa"/>
            <w:tcBorders/>
            <w:shd w:fill="EEEEEE" w:val="clear"/>
            <w:vAlign w:val="center"/>
          </w:tcPr>
          <w:p>
            <w:pPr>
              <w:pStyle w:val="TableContents"/>
              <w:bidi w:val="0"/>
              <w:spacing w:before="0" w:after="283"/>
              <w:jc w:val="left"/>
              <w:rPr/>
            </w:pPr>
            <w:r>
              <w:rPr/>
              <w:t>Reversal of unvested 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633" w:type="dxa"/>
            <w:tcBorders/>
            <w:shd w:fill="EEEEEE" w:val="clear"/>
            <w:vAlign w:val="center"/>
          </w:tcPr>
          <w:p>
            <w:pPr>
              <w:pStyle w:val="TableContents"/>
              <w:bidi w:val="0"/>
              <w:spacing w:before="0" w:after="283"/>
              <w:jc w:val="right"/>
              <w:rPr/>
            </w:pPr>
            <w:r>
              <w:rPr/>
              <w:t>–</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(546,053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5" w:type="dxa"/>
            <w:tcBorders/>
            <w:shd w:fill="EEEEEE" w:val="cle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 </w:t>
            </w:r>
          </w:p>
        </w:tc>
        <w:tc>
          <w:tcPr>
            <w:tcW w:w="1239" w:type="dxa"/>
            <w:tcBorders/>
            <w:shd w:fill="EEEEEE" w:val="clear"/>
            <w:vAlign w:val="center"/>
          </w:tcPr>
          <w:p>
            <w:pPr>
              <w:pStyle w:val="TableContents"/>
              <w:bidi w:val="0"/>
              <w:spacing w:before="0" w:after="283"/>
              <w:jc w:val="right"/>
              <w:rPr/>
            </w:pPr>
            <w:r>
              <w:rPr/>
              <w:t>–</w:t>
            </w:r>
          </w:p>
        </w:tc>
        <w:tc>
          <w:tcPr>
            <w:tcW w:w="15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 </w:t>
            </w:r>
          </w:p>
        </w:tc>
        <w:tc>
          <w:tcPr>
            <w:tcW w:w="1269" w:type="dxa"/>
            <w:tcBorders/>
            <w:shd w:fill="EEEEEE" w:val="clear"/>
            <w:vAlign w:val="center"/>
          </w:tcPr>
          <w:p>
            <w:pPr>
              <w:pStyle w:val="TableContents"/>
              <w:bidi w:val="0"/>
              <w:spacing w:before="0" w:after="283"/>
              <w:jc w:val="right"/>
              <w:rPr/>
            </w:pPr>
            <w:r>
              <w:rPr/>
              <w:t>–</w:t>
            </w:r>
          </w:p>
        </w:tc>
        <w:tc>
          <w:tcPr>
            <w:tcW w:w="13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(546,053</w:t>
            </w:r>
          </w:p>
        </w:tc>
        <w:tc>
          <w:tcPr>
            <w:tcW w:w="170" w:type="dxa"/>
            <w:tcBorders/>
            <w:shd w:fill="EEEEEE" w:val="clear"/>
            <w:vAlign w:val="center"/>
          </w:tcPr>
          <w:p>
            <w:pPr>
              <w:pStyle w:val="TableContents"/>
              <w:bidi w:val="0"/>
              <w:spacing w:before="0" w:after="283"/>
              <w:jc w:val="left"/>
              <w:rPr/>
            </w:pPr>
            <w:r>
              <w:rPr/>
              <w:t>)</w:t>
            </w:r>
            <w:bookmarkStart w:id="217" w:name="xdx_40A_eus-gaap--OtherComprehensiveInco"/>
            <w:bookmarkEnd w:id="217"/>
          </w:p>
        </w:tc>
      </w:tr>
      <w:tr>
        <w:trPr/>
        <w:tc>
          <w:tcPr>
            <w:tcW w:w="134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(97,556</w:t>
            </w:r>
          </w:p>
        </w:tc>
        <w:tc>
          <w:tcPr>
            <w:tcW w:w="13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(97,556</w:t>
            </w:r>
          </w:p>
        </w:tc>
        <w:tc>
          <w:tcPr>
            <w:tcW w:w="170" w:type="dxa"/>
            <w:tcBorders/>
            <w:shd w:fill="FFFFFF" w:val="clear"/>
            <w:vAlign w:val="center"/>
          </w:tcPr>
          <w:p>
            <w:pPr>
              <w:pStyle w:val="TableContents"/>
              <w:bidi w:val="0"/>
              <w:spacing w:before="0" w:after="283"/>
              <w:jc w:val="left"/>
              <w:rPr/>
            </w:pPr>
            <w:r>
              <w:rPr/>
              <w:t>)</w:t>
            </w:r>
            <w:bookmarkStart w:id="218" w:name="xdx_437_c20250101__20250331_eus-gaap--St"/>
            <w:bookmarkEnd w:id="218"/>
          </w:p>
        </w:tc>
      </w:tr>
      <w:tr>
        <w:trPr/>
        <w:tc>
          <w:tcPr>
            <w:tcW w:w="1340" w:type="dxa"/>
            <w:tcBorders/>
            <w:shd w:fill="EEEEEE" w:val="clear"/>
            <w:vAlign w:val="center"/>
          </w:tcPr>
          <w:p>
            <w:pPr>
              <w:pStyle w:val="TableContents"/>
              <w:bidi w:val="0"/>
              <w:spacing w:before="0" w:after="283"/>
              <w:jc w:val="left"/>
              <w:rPr/>
            </w:pPr>
            <w:r>
              <w:rPr/>
              <w:t>Balance, March 31, 2025, unaudited</w:t>
            </w:r>
          </w:p>
        </w:tc>
        <w:tc>
          <w:tcPr>
            <w:tcW w:w="60" w:type="dxa"/>
            <w:tcBorders/>
            <w:shd w:fill="EEEEEE" w:val="clear"/>
            <w:vAlign w:val="center"/>
          </w:tcPr>
          <w:p>
            <w:pPr>
              <w:pStyle w:val="TableContents"/>
              <w:bidi w:val="0"/>
              <w:spacing w:before="0" w:after="283"/>
              <w:jc w:val="left"/>
              <w:rPr/>
            </w:pPr>
            <w:r>
              <w:rPr/>
              <w:t> </w:t>
            </w:r>
          </w:p>
        </w:tc>
        <w:tc>
          <w:tcPr>
            <w:tcW w:w="6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219" w:name="xdx_98D_eus-gaap--SharesOutstanding_iE_c"/>
            <w:bookmarkEnd w:id="219"/>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1,045,330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20" w:name="xdx_982_eus-gaap--StockholdersEquityIncl"/>
            <w:bookmarkEnd w:id="220"/>
          </w:p>
        </w:tc>
        <w:tc>
          <w:tcPr>
            <w:tcW w:w="633" w:type="dxa"/>
            <w:tcBorders>
              <w:bottom w:val="double" w:sz="6" w:space="0" w:color="000000"/>
            </w:tcBorders>
            <w:shd w:fill="EEEEEE" w:val="clear"/>
            <w:tcMar>
              <w:bottom w:w="28" w:type="dxa"/>
            </w:tcMar>
            <w:vAlign w:val="center"/>
          </w:tcPr>
          <w:p>
            <w:pPr>
              <w:pStyle w:val="TableContents"/>
              <w:bidi w:val="0"/>
              <w:spacing w:before="0" w:after="283"/>
              <w:jc w:val="right"/>
              <w:rPr/>
            </w:pPr>
            <w:r>
              <w:rPr/>
              <w:t>1,045</w:t>
            </w:r>
          </w:p>
        </w:tc>
        <w:tc>
          <w:tcPr>
            <w:tcW w:w="6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33,351,419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EEEEEE" w:val="clear"/>
            <w:tcMar>
              <w:bottom w:w="28" w:type="dxa"/>
            </w:tcMar>
            <w:vAlign w:val="center"/>
          </w:tcPr>
          <w:p>
            <w:pPr>
              <w:pStyle w:val="TableContents"/>
              <w:bidi w:val="0"/>
              <w:spacing w:before="0" w:after="283"/>
              <w:jc w:val="right"/>
              <w:rPr/>
            </w:pPr>
            <w:r>
              <w:rPr/>
              <w:t>(12,380,662</w:t>
            </w:r>
          </w:p>
        </w:tc>
        <w:tc>
          <w:tcPr>
            <w:tcW w:w="15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EEEEEE" w:val="clear"/>
            <w:tcMar>
              <w:bottom w:w="28" w:type="dxa"/>
            </w:tcMar>
            <w:vAlign w:val="center"/>
          </w:tcPr>
          <w:p>
            <w:pPr>
              <w:pStyle w:val="TableContents"/>
              <w:bidi w:val="0"/>
              <w:spacing w:before="0" w:after="283"/>
              <w:jc w:val="right"/>
              <w:rPr/>
            </w:pPr>
            <w:r>
              <w:rPr/>
              <w:t>(46,969</w:t>
            </w:r>
          </w:p>
        </w:tc>
        <w:tc>
          <w:tcPr>
            <w:tcW w:w="157"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69" w:type="dxa"/>
            <w:tcBorders>
              <w:bottom w:val="double" w:sz="6" w:space="0" w:color="000000"/>
            </w:tcBorders>
            <w:shd w:fill="EEEEEE" w:val="clear"/>
            <w:tcMar>
              <w:bottom w:w="28" w:type="dxa"/>
            </w:tcMar>
            <w:vAlign w:val="center"/>
          </w:tcPr>
          <w:p>
            <w:pPr>
              <w:pStyle w:val="TableContents"/>
              <w:bidi w:val="0"/>
              <w:spacing w:before="0" w:after="283"/>
              <w:jc w:val="right"/>
              <w:rPr/>
            </w:pPr>
            <w:r>
              <w:rPr/>
              <w:t>(206,886</w:t>
            </w:r>
          </w:p>
        </w:tc>
        <w:tc>
          <w:tcPr>
            <w:tcW w:w="138"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20,717,947</w:t>
            </w:r>
          </w:p>
        </w:tc>
        <w:tc>
          <w:tcPr>
            <w:tcW w:w="170"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sz w:val="16"/>
              </w:rPr>
            </w:pPr>
            <w:r>
              <w:rPr>
                <w:sz w:val="16"/>
              </w:rPr>
              <w:t>**</w:t>
            </w:r>
          </w:p>
        </w:tc>
        <w:tc>
          <w:tcPr>
            <w:tcW w:w="10041" w:type="dxa"/>
            <w:tcBorders/>
            <w:vAlign w:val="center"/>
          </w:tcPr>
          <w:p>
            <w:pPr>
              <w:pStyle w:val="TableContents"/>
              <w:bidi w:val="0"/>
              <w:spacing w:before="0" w:after="283"/>
              <w:jc w:val="both"/>
              <w:rPr>
                <w:i/>
                <w:sz w:val="16"/>
              </w:rPr>
            </w:pPr>
            <w:r>
              <w:rPr>
                <w:i/>
                <w:sz w:val="16"/>
              </w:rPr>
              <w:t>Unless otherwise indicated, all shares of common stock and per share numbers in the unaudited condensed consolidated financial statements and notes below have been adjusted retroactively to reflect the 1-for-30 reverse stock split effected on October 27, 2025, for all periods presented (see Note 16 for details).</w:t>
            </w:r>
          </w:p>
        </w:tc>
      </w:tr>
    </w:tbl>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221" w:name="q3_005"/>
      <w:bookmarkEnd w:id="221"/>
      <w:r>
        <w:rPr>
          <w:rFonts w:ascii="Times New Roman;Times;Serif" w:hAnsi="Times New Roman;Times;Serif"/>
          <w:b w:val="false"/>
          <w:i w:val="false"/>
          <w:caps w:val="false"/>
          <w:smallCaps w:val="false"/>
          <w:sz w:val="20"/>
        </w:rPr>
        <w:t>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March 31, 2026 and 2025</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2" w:name="xdx_30C_112_zqIfYe3JRLj1"/>
      <w:bookmarkStart w:id="223" w:name="xdx_30C_112_zqIfYe3JRLj1"/>
      <w:bookmarkEnd w:id="223"/>
    </w:p>
    <w:tbl>
      <w:tblPr>
        <w:tblW w:w="10205" w:type="dxa"/>
        <w:jc w:val="left"/>
        <w:tblInd w:w="0" w:type="dxa"/>
        <w:tblLayout w:type="fixed"/>
        <w:tblCellMar>
          <w:top w:w="0" w:type="dxa"/>
          <w:left w:w="0" w:type="dxa"/>
          <w:bottom w:w="0" w:type="dxa"/>
          <w:right w:w="0" w:type="dxa"/>
        </w:tblCellMar>
      </w:tblPr>
      <w:tblGrid>
        <w:gridCol w:w="7205"/>
        <w:gridCol w:w="60"/>
        <w:gridCol w:w="138"/>
        <w:gridCol w:w="1335"/>
        <w:gridCol w:w="119"/>
        <w:gridCol w:w="75"/>
        <w:gridCol w:w="138"/>
        <w:gridCol w:w="1012"/>
        <w:gridCol w:w="123"/>
      </w:tblGrid>
      <w:tr>
        <w:trPr/>
        <w:tc>
          <w:tcPr>
            <w:tcW w:w="7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bookmarkStart w:id="224" w:name="xdx_490_20250701__20260331_ztkI9J5FfCx2"/>
            <w:bookmarkEnd w:id="224"/>
          </w:p>
        </w:tc>
        <w:tc>
          <w:tcPr>
            <w:tcW w:w="1335" w:type="dxa"/>
            <w:tcBorders/>
            <w:shd w:fill="FFFFFF" w:val="clear"/>
            <w:vAlign w:val="center"/>
          </w:tcPr>
          <w:p>
            <w:pPr>
              <w:pStyle w:val="TableContents"/>
              <w:bidi w:val="0"/>
              <w:spacing w:before="0" w:after="283"/>
              <w:jc w:val="center"/>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bookmarkStart w:id="225" w:name="xdx_490_20240701__20250331_z6TjuSqZ3lB6"/>
            <w:bookmarkEnd w:id="225"/>
          </w:p>
        </w:tc>
        <w:tc>
          <w:tcPr>
            <w:tcW w:w="1012" w:type="dxa"/>
            <w:tcBorders/>
            <w:shd w:fill="FFFFFF" w:val="clear"/>
            <w:vAlign w:val="center"/>
          </w:tcPr>
          <w:p>
            <w:pPr>
              <w:pStyle w:val="TableContents"/>
              <w:bidi w:val="0"/>
              <w:spacing w:before="0" w:after="283"/>
              <w:jc w:val="center"/>
              <w:rPr/>
            </w:pPr>
            <w:r>
              <w:rPr/>
              <w:t> </w:t>
            </w:r>
          </w:p>
        </w:tc>
        <w:tc>
          <w:tcPr>
            <w:tcW w:w="123" w:type="dxa"/>
            <w:tcBorders/>
            <w:shd w:fill="FFFFFF" w:val="clear"/>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40" w:type="dxa"/>
            <w:gridSpan w:val="7"/>
            <w:tcBorders>
              <w:bottom w:val="single" w:sz="8" w:space="0" w:color="000000"/>
            </w:tcBorders>
            <w:tcMar>
              <w:bottom w:w="28" w:type="dxa"/>
            </w:tcMar>
            <w:vAlign w:val="center"/>
          </w:tcPr>
          <w:p>
            <w:pPr>
              <w:pStyle w:val="TableContents"/>
              <w:bidi w:val="0"/>
              <w:spacing w:before="0" w:after="283"/>
              <w:jc w:val="center"/>
              <w:rPr>
                <w:b/>
                <w:sz w:val="18"/>
              </w:rPr>
            </w:pPr>
            <w:r>
              <w:rPr>
                <w:b/>
                <w:sz w:val="18"/>
              </w:rPr>
              <w:t>For the Nine Months Ended March 31,</w:t>
            </w:r>
          </w:p>
        </w:tc>
      </w:tr>
      <w:tr>
        <w:trPr/>
        <w:tc>
          <w:tcPr>
            <w:tcW w:w="7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2" w:type="dxa"/>
            <w:gridSpan w:val="3"/>
            <w:tcBorders>
              <w:bottom w:val="single" w:sz="8" w:space="0" w:color="000000"/>
            </w:tcBorders>
            <w:tcMar>
              <w:bottom w:w="28" w:type="dxa"/>
            </w:tcMar>
            <w:vAlign w:val="center"/>
          </w:tcPr>
          <w:p>
            <w:pPr>
              <w:pStyle w:val="TableContents"/>
              <w:bidi w:val="0"/>
              <w:spacing w:before="0" w:after="283"/>
              <w:jc w:val="center"/>
              <w:rPr>
                <w:b/>
                <w:sz w:val="18"/>
              </w:rPr>
            </w:pPr>
            <w:r>
              <w:rPr>
                <w:b/>
                <w:sz w:val="18"/>
              </w:rPr>
              <w:t>2026</w:t>
            </w:r>
          </w:p>
        </w:tc>
        <w:tc>
          <w:tcPr>
            <w:tcW w:w="75" w:type="dxa"/>
            <w:tcBorders/>
            <w:vAlign w:val="center"/>
          </w:tcPr>
          <w:p>
            <w:pPr>
              <w:pStyle w:val="TableContents"/>
              <w:bidi w:val="0"/>
              <w:spacing w:before="0" w:after="283"/>
              <w:jc w:val="left"/>
              <w:rPr/>
            </w:pPr>
            <w:r>
              <w:rPr/>
              <w:t> </w:t>
            </w:r>
          </w:p>
        </w:tc>
        <w:tc>
          <w:tcPr>
            <w:tcW w:w="1273" w:type="dxa"/>
            <w:gridSpan w:val="3"/>
            <w:tcBorders>
              <w:bottom w:val="single" w:sz="8" w:space="0" w:color="000000"/>
            </w:tcBorders>
            <w:tcMar>
              <w:bottom w:w="28" w:type="dxa"/>
            </w:tcMar>
            <w:vAlign w:val="center"/>
          </w:tcPr>
          <w:p>
            <w:pPr>
              <w:pStyle w:val="TableContents"/>
              <w:bidi w:val="0"/>
              <w:spacing w:before="0" w:after="283"/>
              <w:jc w:val="center"/>
              <w:rPr>
                <w:b/>
                <w:sz w:val="18"/>
              </w:rPr>
            </w:pPr>
            <w:r>
              <w:rPr>
                <w:b/>
                <w:sz w:val="18"/>
              </w:rPr>
              <w:t>2025</w:t>
            </w:r>
            <w:bookmarkStart w:id="226" w:name="xdx_40D_eus-gaap--NetCashProvidedByUsedI"/>
            <w:bookmarkEnd w:id="226"/>
          </w:p>
        </w:tc>
      </w:tr>
      <w:tr>
        <w:trPr/>
        <w:tc>
          <w:tcPr>
            <w:tcW w:w="7205" w:type="dxa"/>
            <w:tcBorders/>
            <w:shd w:fill="EEEEEE" w:val="clear"/>
            <w:vAlign w:val="center"/>
          </w:tcPr>
          <w:p>
            <w:pPr>
              <w:pStyle w:val="TableContents"/>
              <w:bidi w:val="0"/>
              <w:spacing w:before="0" w:after="283"/>
              <w:jc w:val="left"/>
              <w:rPr>
                <w:sz w:val="18"/>
              </w:rPr>
            </w:pPr>
            <w:r>
              <w:rPr>
                <w:sz w:val="18"/>
              </w:rPr>
              <w:t>CASH FLOWS FROM OPERATING ACTIVITIES: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bookmarkStart w:id="227" w:name="xdx_40A_eus-gaap--ProfitLoss_maNCPBUzjAO"/>
            <w:bookmarkEnd w:id="227"/>
          </w:p>
        </w:tc>
      </w:tr>
      <w:tr>
        <w:trPr/>
        <w:tc>
          <w:tcPr>
            <w:tcW w:w="7205" w:type="dxa"/>
            <w:tcBorders/>
            <w:shd w:fill="FFFFFF" w:val="clear"/>
            <w:vAlign w:val="center"/>
          </w:tcPr>
          <w:p>
            <w:pPr>
              <w:pStyle w:val="TableContents"/>
              <w:bidi w:val="0"/>
              <w:spacing w:before="0" w:after="283"/>
              <w:jc w:val="left"/>
              <w:rPr>
                <w:sz w:val="18"/>
              </w:rPr>
            </w:pPr>
            <w:r>
              <w:rPr>
                <w:sz w:val="18"/>
              </w:rPr>
              <w:t>Net loss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sz w:val="18"/>
              </w:rPr>
            </w:pPr>
            <w:r>
              <w:rPr>
                <w:sz w:val="18"/>
              </w:rPr>
              <w:t>$</w:t>
            </w:r>
          </w:p>
        </w:tc>
        <w:tc>
          <w:tcPr>
            <w:tcW w:w="1335" w:type="dxa"/>
            <w:tcBorders/>
            <w:shd w:fill="FFFFFF" w:val="clear"/>
            <w:vAlign w:val="center"/>
          </w:tcPr>
          <w:p>
            <w:pPr>
              <w:pStyle w:val="TableContents"/>
              <w:bidi w:val="0"/>
              <w:spacing w:before="0" w:after="283"/>
              <w:jc w:val="right"/>
              <w:rPr>
                <w:sz w:val="18"/>
              </w:rPr>
            </w:pPr>
            <w:r>
              <w:rPr>
                <w:sz w:val="18"/>
              </w:rPr>
              <w:t>(5,181,807</w:t>
            </w:r>
          </w:p>
        </w:tc>
        <w:tc>
          <w:tcPr>
            <w:tcW w:w="119" w:type="dxa"/>
            <w:tcBorders/>
            <w:shd w:fill="FFFFFF" w:val="clear"/>
            <w:vAlign w:val="center"/>
          </w:tcPr>
          <w:p>
            <w:pPr>
              <w:pStyle w:val="TableContents"/>
              <w:bidi w:val="0"/>
              <w:spacing w:before="0" w:after="283"/>
              <w:jc w:val="left"/>
              <w:rPr>
                <w:sz w:val="18"/>
              </w:rPr>
            </w:pPr>
            <w:r>
              <w:rPr>
                <w:sz w:val="18"/>
              </w:rPr>
              <w:t>)</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sz w:val="18"/>
              </w:rPr>
            </w:pPr>
            <w:r>
              <w:rPr>
                <w:sz w:val="18"/>
              </w:rPr>
              <w:t>$</w:t>
            </w:r>
          </w:p>
        </w:tc>
        <w:tc>
          <w:tcPr>
            <w:tcW w:w="1012" w:type="dxa"/>
            <w:tcBorders/>
            <w:shd w:fill="FFFFFF" w:val="clear"/>
            <w:vAlign w:val="center"/>
          </w:tcPr>
          <w:p>
            <w:pPr>
              <w:pStyle w:val="TableContents"/>
              <w:bidi w:val="0"/>
              <w:spacing w:before="0" w:after="283"/>
              <w:jc w:val="right"/>
              <w:rPr>
                <w:sz w:val="18"/>
              </w:rPr>
            </w:pPr>
            <w:r>
              <w:rPr>
                <w:sz w:val="18"/>
              </w:rPr>
              <w:t>(2,158,826</w:t>
            </w:r>
          </w:p>
        </w:tc>
        <w:tc>
          <w:tcPr>
            <w:tcW w:w="123" w:type="dxa"/>
            <w:tcBorders/>
            <w:shd w:fill="FFFFFF" w:val="clear"/>
            <w:vAlign w:val="center"/>
          </w:tcPr>
          <w:p>
            <w:pPr>
              <w:pStyle w:val="TableContents"/>
              <w:bidi w:val="0"/>
              <w:spacing w:before="0" w:after="283"/>
              <w:ind w:left="0" w:right="0" w:hanging="200"/>
              <w:jc w:val="left"/>
              <w:rPr>
                <w:sz w:val="18"/>
              </w:rPr>
            </w:pPr>
            <w:r>
              <w:rPr>
                <w:sz w:val="18"/>
              </w:rPr>
              <w:t>)</w:t>
            </w:r>
            <w:bookmarkStart w:id="228" w:name="xdx_40F_eus-gaap--AdjustmentsToReconcile"/>
            <w:bookmarkEnd w:id="228"/>
          </w:p>
        </w:tc>
      </w:tr>
      <w:tr>
        <w:trPr/>
        <w:tc>
          <w:tcPr>
            <w:tcW w:w="7205" w:type="dxa"/>
            <w:tcBorders/>
            <w:shd w:fill="EEEEEE" w:val="clear"/>
            <w:vAlign w:val="center"/>
          </w:tcPr>
          <w:p>
            <w:pPr>
              <w:pStyle w:val="TableContents"/>
              <w:bidi w:val="0"/>
              <w:spacing w:before="0" w:after="283"/>
              <w:jc w:val="left"/>
              <w:rPr>
                <w:sz w:val="18"/>
              </w:rPr>
            </w:pPr>
            <w:r>
              <w:rPr>
                <w:sz w:val="18"/>
              </w:rPr>
              <w:t>Adjustments to reconcile net (loss) income to cash provided by (used in) operating activities: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bookmarkStart w:id="229" w:name="xdx_40F_eus-gaap--DepreciationDepletionA"/>
            <w:bookmarkEnd w:id="229"/>
          </w:p>
        </w:tc>
      </w:tr>
      <w:tr>
        <w:trPr/>
        <w:tc>
          <w:tcPr>
            <w:tcW w:w="7205" w:type="dxa"/>
            <w:tcBorders/>
            <w:shd w:fill="FFFFFF" w:val="clear"/>
            <w:vAlign w:val="center"/>
          </w:tcPr>
          <w:p>
            <w:pPr>
              <w:pStyle w:val="TableContents"/>
              <w:bidi w:val="0"/>
              <w:spacing w:before="0" w:after="283"/>
              <w:jc w:val="left"/>
              <w:rPr>
                <w:sz w:val="18"/>
              </w:rPr>
            </w:pPr>
            <w:r>
              <w:rPr>
                <w:sz w:val="18"/>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579,025</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586,481</w:t>
            </w:r>
          </w:p>
        </w:tc>
        <w:tc>
          <w:tcPr>
            <w:tcW w:w="123" w:type="dxa"/>
            <w:tcBorders/>
            <w:shd w:fill="FFFFFF" w:val="clear"/>
            <w:vAlign w:val="center"/>
          </w:tcPr>
          <w:p>
            <w:pPr>
              <w:pStyle w:val="TableContents"/>
              <w:bidi w:val="0"/>
              <w:spacing w:before="0" w:after="283"/>
              <w:jc w:val="left"/>
              <w:rPr/>
            </w:pPr>
            <w:r>
              <w:rPr/>
              <w:t> </w:t>
            </w:r>
            <w:bookmarkStart w:id="230" w:name="xdx_407_eus-gaap--InventoryLIFOReservePe"/>
            <w:bookmarkEnd w:id="230"/>
          </w:p>
        </w:tc>
      </w:tr>
      <w:tr>
        <w:trPr/>
        <w:tc>
          <w:tcPr>
            <w:tcW w:w="7205" w:type="dxa"/>
            <w:tcBorders/>
            <w:shd w:fill="EEEEEE" w:val="clear"/>
            <w:vAlign w:val="center"/>
          </w:tcPr>
          <w:p>
            <w:pPr>
              <w:pStyle w:val="TableContents"/>
              <w:bidi w:val="0"/>
              <w:spacing w:before="0" w:after="283"/>
              <w:jc w:val="left"/>
              <w:rPr>
                <w:sz w:val="18"/>
              </w:rPr>
            </w:pPr>
            <w:r>
              <w:rPr>
                <w:sz w:val="18"/>
              </w:rPr>
              <w:t>Inventory reserve</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58,453</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288,474</w:t>
            </w:r>
          </w:p>
        </w:tc>
        <w:tc>
          <w:tcPr>
            <w:tcW w:w="123" w:type="dxa"/>
            <w:tcBorders/>
            <w:shd w:fill="EEEEEE" w:val="clear"/>
            <w:vAlign w:val="center"/>
          </w:tcPr>
          <w:p>
            <w:pPr>
              <w:pStyle w:val="TableContents"/>
              <w:bidi w:val="0"/>
              <w:spacing w:before="0" w:after="283"/>
              <w:jc w:val="left"/>
              <w:rPr/>
            </w:pPr>
            <w:r>
              <w:rPr/>
              <w:t> </w:t>
            </w:r>
            <w:bookmarkStart w:id="231" w:name="xdx_401_eus-gaap--ProvisionForDoubtfulAc"/>
            <w:bookmarkEnd w:id="231"/>
          </w:p>
        </w:tc>
      </w:tr>
      <w:tr>
        <w:trPr/>
        <w:tc>
          <w:tcPr>
            <w:tcW w:w="7205" w:type="dxa"/>
            <w:tcBorders/>
            <w:shd w:fill="FFFFFF" w:val="clear"/>
            <w:vAlign w:val="center"/>
          </w:tcPr>
          <w:p>
            <w:pPr>
              <w:pStyle w:val="TableContents"/>
              <w:bidi w:val="0"/>
              <w:spacing w:before="0" w:after="283"/>
              <w:jc w:val="left"/>
              <w:rPr>
                <w:sz w:val="18"/>
              </w:rPr>
            </w:pPr>
            <w:r>
              <w:rPr>
                <w:sz w:val="18"/>
              </w:rPr>
              <w:t>Credit loss reserve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49,713</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1,569,029</w:t>
            </w:r>
          </w:p>
        </w:tc>
        <w:tc>
          <w:tcPr>
            <w:tcW w:w="123" w:type="dxa"/>
            <w:tcBorders/>
            <w:shd w:fill="FFFFFF" w:val="clear"/>
            <w:vAlign w:val="center"/>
          </w:tcPr>
          <w:p>
            <w:pPr>
              <w:pStyle w:val="TableContents"/>
              <w:bidi w:val="0"/>
              <w:spacing w:before="0" w:after="283"/>
              <w:jc w:val="left"/>
              <w:rPr/>
            </w:pPr>
            <w:r>
              <w:rPr/>
              <w:t> </w:t>
            </w:r>
            <w:bookmarkStart w:id="232" w:name="xdx_405_eus-gaap--EquitySecuritiesFvNiGa"/>
            <w:bookmarkEnd w:id="232"/>
          </w:p>
        </w:tc>
      </w:tr>
      <w:tr>
        <w:trPr/>
        <w:tc>
          <w:tcPr>
            <w:tcW w:w="7205" w:type="dxa"/>
            <w:tcBorders/>
            <w:shd w:fill="EEEEEE" w:val="clear"/>
            <w:vAlign w:val="center"/>
          </w:tcPr>
          <w:p>
            <w:pPr>
              <w:pStyle w:val="TableContents"/>
              <w:bidi w:val="0"/>
              <w:spacing w:before="0" w:after="283"/>
              <w:jc w:val="left"/>
              <w:rPr>
                <w:sz w:val="18"/>
              </w:rPr>
            </w:pPr>
            <w:r>
              <w:rPr>
                <w:sz w:val="18"/>
              </w:rPr>
              <w:t>Loss on equity method investment</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2,707</w:t>
            </w:r>
          </w:p>
        </w:tc>
        <w:tc>
          <w:tcPr>
            <w:tcW w:w="123" w:type="dxa"/>
            <w:tcBorders/>
            <w:shd w:fill="EEEEEE" w:val="clear"/>
            <w:vAlign w:val="center"/>
          </w:tcPr>
          <w:p>
            <w:pPr>
              <w:pStyle w:val="TableContents"/>
              <w:bidi w:val="0"/>
              <w:spacing w:before="0" w:after="283"/>
              <w:jc w:val="left"/>
              <w:rPr/>
            </w:pPr>
            <w:r>
              <w:rPr/>
              <w:t> </w:t>
            </w:r>
            <w:bookmarkStart w:id="233" w:name="xdx_40B_eus-gaap--ShareBasedCompensation"/>
            <w:bookmarkEnd w:id="233"/>
          </w:p>
        </w:tc>
      </w:tr>
      <w:tr>
        <w:trPr/>
        <w:tc>
          <w:tcPr>
            <w:tcW w:w="7205" w:type="dxa"/>
            <w:tcBorders/>
            <w:shd w:fill="FFFFFF" w:val="clear"/>
            <w:vAlign w:val="center"/>
          </w:tcPr>
          <w:p>
            <w:pPr>
              <w:pStyle w:val="TableContents"/>
              <w:bidi w:val="0"/>
              <w:spacing w:before="0" w:after="283"/>
              <w:jc w:val="left"/>
              <w:rPr>
                <w:sz w:val="18"/>
              </w:rPr>
            </w:pPr>
            <w:r>
              <w:rPr>
                <w:sz w:val="18"/>
              </w:rPr>
              <w:t>Stock-based compensation expense (reversal)</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1,250,608</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(142,780</w:t>
            </w:r>
          </w:p>
        </w:tc>
        <w:tc>
          <w:tcPr>
            <w:tcW w:w="123" w:type="dxa"/>
            <w:tcBorders/>
            <w:shd w:fill="FFFFFF" w:val="clear"/>
            <w:vAlign w:val="center"/>
          </w:tcPr>
          <w:p>
            <w:pPr>
              <w:pStyle w:val="TableContents"/>
              <w:bidi w:val="0"/>
              <w:spacing w:before="0" w:after="283"/>
              <w:jc w:val="left"/>
              <w:rPr>
                <w:sz w:val="18"/>
              </w:rPr>
            </w:pPr>
            <w:r>
              <w:rPr>
                <w:sz w:val="18"/>
              </w:rPr>
              <w:t>)</w:t>
            </w:r>
            <w:bookmarkStart w:id="234" w:name="xdx_40A_eus-gaap--IssuanceOfStockAndWarr"/>
            <w:bookmarkEnd w:id="234"/>
          </w:p>
        </w:tc>
      </w:tr>
      <w:tr>
        <w:trPr/>
        <w:tc>
          <w:tcPr>
            <w:tcW w:w="7205" w:type="dxa"/>
            <w:tcBorders/>
            <w:shd w:fill="EEEEEE" w:val="clear"/>
            <w:vAlign w:val="center"/>
          </w:tcPr>
          <w:p>
            <w:pPr>
              <w:pStyle w:val="TableContents"/>
              <w:bidi w:val="0"/>
              <w:spacing w:before="0" w:after="283"/>
              <w:jc w:val="left"/>
              <w:rPr>
                <w:sz w:val="18"/>
              </w:rPr>
            </w:pPr>
            <w:r>
              <w:rPr>
                <w:sz w:val="18"/>
              </w:rPr>
              <w:t>Shares issued for consulting services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83,472</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bookmarkStart w:id="235" w:name="xdx_406_eus-gaap--DeconsolidationGainOrL"/>
            <w:bookmarkEnd w:id="235"/>
          </w:p>
        </w:tc>
      </w:tr>
      <w:tr>
        <w:trPr/>
        <w:tc>
          <w:tcPr>
            <w:tcW w:w="7205" w:type="dxa"/>
            <w:tcBorders/>
            <w:shd w:fill="FFFFFF" w:val="clear"/>
            <w:vAlign w:val="center"/>
          </w:tcPr>
          <w:p>
            <w:pPr>
              <w:pStyle w:val="TableContents"/>
              <w:bidi w:val="0"/>
              <w:spacing w:before="0" w:after="283"/>
              <w:jc w:val="left"/>
              <w:rPr>
                <w:sz w:val="18"/>
              </w:rPr>
            </w:pPr>
            <w:r>
              <w:rPr>
                <w:sz w:val="18"/>
              </w:rPr>
              <w:t>Loss on deconsolidation of VIE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40,893</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bookmarkStart w:id="236" w:name="xdx_400_ecustom--GainOnDispositionOfSubs"/>
            <w:bookmarkEnd w:id="236"/>
          </w:p>
        </w:tc>
      </w:tr>
      <w:tr>
        <w:trPr/>
        <w:tc>
          <w:tcPr>
            <w:tcW w:w="7205" w:type="dxa"/>
            <w:tcBorders/>
            <w:shd w:fill="EEEEEE" w:val="clear"/>
            <w:vAlign w:val="center"/>
          </w:tcPr>
          <w:p>
            <w:pPr>
              <w:pStyle w:val="TableContents"/>
              <w:bidi w:val="0"/>
              <w:spacing w:before="0" w:after="283"/>
              <w:jc w:val="left"/>
              <w:rPr/>
            </w:pPr>
            <w:r>
              <w:rPr/>
              <w:t>Gain on disposition of subsidiaries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(1,613,936</w:t>
            </w:r>
          </w:p>
        </w:tc>
        <w:tc>
          <w:tcPr>
            <w:tcW w:w="119" w:type="dxa"/>
            <w:tcBorders/>
            <w:shd w:fill="EEEEEE" w:val="clear"/>
            <w:vAlign w:val="center"/>
          </w:tcPr>
          <w:p>
            <w:pPr>
              <w:pStyle w:val="TableContents"/>
              <w:bidi w:val="0"/>
              <w:spacing w:before="0" w:after="283"/>
              <w:jc w:val="left"/>
              <w:rPr/>
            </w:pPr>
            <w:r>
              <w:rPr/>
              <w:t>)</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bookmarkStart w:id="237" w:name="xdx_405_eus-gaap--OperatingLeaseRightOfU"/>
            <w:bookmarkEnd w:id="237"/>
          </w:p>
        </w:tc>
      </w:tr>
      <w:tr>
        <w:trPr/>
        <w:tc>
          <w:tcPr>
            <w:tcW w:w="7205" w:type="dxa"/>
            <w:tcBorders/>
            <w:shd w:fill="FFFFFF" w:val="clear"/>
            <w:vAlign w:val="center"/>
          </w:tcPr>
          <w:p>
            <w:pPr>
              <w:pStyle w:val="TableContents"/>
              <w:bidi w:val="0"/>
              <w:spacing w:before="0" w:after="283"/>
              <w:jc w:val="left"/>
              <w:rPr>
                <w:sz w:val="18"/>
              </w:rPr>
            </w:pPr>
            <w:r>
              <w:rPr>
                <w:sz w:val="18"/>
              </w:rPr>
              <w:t>Amortization of operating lease right of use assets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949,337</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1,408,508</w:t>
            </w:r>
          </w:p>
        </w:tc>
        <w:tc>
          <w:tcPr>
            <w:tcW w:w="123" w:type="dxa"/>
            <w:tcBorders/>
            <w:shd w:fill="FFFFFF" w:val="clear"/>
            <w:vAlign w:val="center"/>
          </w:tcPr>
          <w:p>
            <w:pPr>
              <w:pStyle w:val="TableContents"/>
              <w:bidi w:val="0"/>
              <w:spacing w:before="0" w:after="283"/>
              <w:jc w:val="left"/>
              <w:rPr/>
            </w:pPr>
            <w:r>
              <w:rPr/>
              <w:t> </w:t>
            </w:r>
            <w:bookmarkStart w:id="238" w:name="xdx_40D_eus-gaap--DerivativeGainLossOnDe"/>
            <w:bookmarkEnd w:id="238"/>
          </w:p>
        </w:tc>
      </w:tr>
      <w:tr>
        <w:trPr/>
        <w:tc>
          <w:tcPr>
            <w:tcW w:w="7205" w:type="dxa"/>
            <w:tcBorders/>
            <w:shd w:fill="EEEEEE" w:val="clear"/>
            <w:vAlign w:val="center"/>
          </w:tcPr>
          <w:p>
            <w:pPr>
              <w:pStyle w:val="TableContents"/>
              <w:bidi w:val="0"/>
              <w:spacing w:before="0" w:after="283"/>
              <w:jc w:val="left"/>
              <w:rPr>
                <w:sz w:val="18"/>
              </w:rPr>
            </w:pPr>
            <w:r>
              <w:rPr>
                <w:sz w:val="18"/>
              </w:rPr>
              <w:t>Change in FV of Derivative Liability</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(266,200</w:t>
            </w:r>
          </w:p>
        </w:tc>
        <w:tc>
          <w:tcPr>
            <w:tcW w:w="119" w:type="dxa"/>
            <w:tcBorders/>
            <w:shd w:fill="EEEEEE" w:val="clear"/>
            <w:vAlign w:val="center"/>
          </w:tcPr>
          <w:p>
            <w:pPr>
              <w:pStyle w:val="TableContents"/>
              <w:bidi w:val="0"/>
              <w:spacing w:before="0" w:after="283"/>
              <w:jc w:val="left"/>
              <w:rPr>
                <w:sz w:val="18"/>
              </w:rPr>
            </w:pPr>
            <w:r>
              <w:rPr>
                <w:sz w:val="18"/>
              </w:rPr>
              <w:t>)</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bookmarkStart w:id="239" w:name="xdx_405_eus-gaap--GainLossOnSaleOfOtherA"/>
            <w:bookmarkEnd w:id="239"/>
          </w:p>
        </w:tc>
      </w:tr>
      <w:tr>
        <w:trPr/>
        <w:tc>
          <w:tcPr>
            <w:tcW w:w="7205" w:type="dxa"/>
            <w:tcBorders/>
            <w:shd w:fill="FFFFFF" w:val="clear"/>
            <w:vAlign w:val="center"/>
          </w:tcPr>
          <w:p>
            <w:pPr>
              <w:pStyle w:val="TableContents"/>
              <w:bidi w:val="0"/>
              <w:spacing w:before="0" w:after="283"/>
              <w:jc w:val="left"/>
              <w:rPr>
                <w:sz w:val="18"/>
              </w:rPr>
            </w:pPr>
            <w:r>
              <w:rPr>
                <w:sz w:val="18"/>
              </w:rPr>
              <w:t>Unrealized gain/loss on digital assets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544,173</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bookmarkStart w:id="240" w:name="xdx_40F_eus-gaap--GainsLossesOnExtinguis"/>
            <w:bookmarkEnd w:id="240"/>
          </w:p>
        </w:tc>
      </w:tr>
      <w:tr>
        <w:trPr/>
        <w:tc>
          <w:tcPr>
            <w:tcW w:w="7205" w:type="dxa"/>
            <w:tcBorders/>
            <w:shd w:fill="EEEEEE" w:val="clear"/>
            <w:vAlign w:val="center"/>
          </w:tcPr>
          <w:p>
            <w:pPr>
              <w:pStyle w:val="TableContents"/>
              <w:bidi w:val="0"/>
              <w:spacing w:before="0" w:after="283"/>
              <w:jc w:val="left"/>
              <w:rPr>
                <w:sz w:val="18"/>
              </w:rPr>
            </w:pPr>
            <w:r>
              <w:rPr>
                <w:sz w:val="18"/>
              </w:rPr>
              <w:t>Loss on extinguishment of debt</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563,734</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bookmarkStart w:id="241" w:name="xdx_40C_eus-gaap--GoodwillImpairmentLoss"/>
            <w:bookmarkEnd w:id="241"/>
          </w:p>
        </w:tc>
      </w:tr>
      <w:tr>
        <w:trPr/>
        <w:tc>
          <w:tcPr>
            <w:tcW w:w="7205" w:type="dxa"/>
            <w:tcBorders/>
            <w:shd w:fill="FFFFFF" w:val="clear"/>
            <w:vAlign w:val="center"/>
          </w:tcPr>
          <w:p>
            <w:pPr>
              <w:pStyle w:val="TableContents"/>
              <w:bidi w:val="0"/>
              <w:spacing w:before="0" w:after="283"/>
              <w:jc w:val="left"/>
              <w:rPr>
                <w:sz w:val="18"/>
              </w:rPr>
            </w:pPr>
            <w:r>
              <w:rPr>
                <w:sz w:val="18"/>
              </w:rPr>
              <w:t>Impairment loss - goodwill</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3,034,110</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bookmarkStart w:id="242" w:name="xdx_40B_eus-gaap--GainLossOnDispositionO"/>
            <w:bookmarkEnd w:id="242"/>
          </w:p>
        </w:tc>
      </w:tr>
      <w:tr>
        <w:trPr/>
        <w:tc>
          <w:tcPr>
            <w:tcW w:w="7205" w:type="dxa"/>
            <w:tcBorders/>
            <w:shd w:fill="EEEEEE" w:val="clear"/>
            <w:vAlign w:val="center"/>
          </w:tcPr>
          <w:p>
            <w:pPr>
              <w:pStyle w:val="TableContents"/>
              <w:bidi w:val="0"/>
              <w:spacing w:before="0" w:after="283"/>
              <w:jc w:val="left"/>
              <w:rPr>
                <w:sz w:val="18"/>
              </w:rPr>
            </w:pPr>
            <w:r>
              <w:rPr>
                <w:sz w:val="18"/>
              </w:rPr>
              <w:t>Gain on sale of vehicle</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(63,605</w:t>
            </w:r>
          </w:p>
        </w:tc>
        <w:tc>
          <w:tcPr>
            <w:tcW w:w="119" w:type="dxa"/>
            <w:tcBorders/>
            <w:shd w:fill="EEEEEE" w:val="clear"/>
            <w:vAlign w:val="center"/>
          </w:tcPr>
          <w:p>
            <w:pPr>
              <w:pStyle w:val="TableContents"/>
              <w:bidi w:val="0"/>
              <w:spacing w:before="0" w:after="283"/>
              <w:jc w:val="left"/>
              <w:rPr>
                <w:sz w:val="18"/>
              </w:rPr>
            </w:pPr>
            <w:r>
              <w:rPr>
                <w:sz w:val="18"/>
              </w:rPr>
              <w:t>)</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bookmarkStart w:id="243" w:name="xdx_40C_eus-gaap--AmortizationOfDebtDisc"/>
            <w:bookmarkEnd w:id="243"/>
          </w:p>
        </w:tc>
      </w:tr>
      <w:tr>
        <w:trPr/>
        <w:tc>
          <w:tcPr>
            <w:tcW w:w="7205" w:type="dxa"/>
            <w:tcBorders/>
            <w:shd w:fill="FFFFFF" w:val="clear"/>
            <w:vAlign w:val="center"/>
          </w:tcPr>
          <w:p>
            <w:pPr>
              <w:pStyle w:val="TableContents"/>
              <w:bidi w:val="0"/>
              <w:spacing w:before="0" w:after="283"/>
              <w:jc w:val="left"/>
              <w:rPr>
                <w:sz w:val="18"/>
              </w:rPr>
            </w:pPr>
            <w:r>
              <w:rPr>
                <w:sz w:val="18"/>
              </w:rPr>
              <w:t>Amortization of debt premium / discount and non-cash financing costs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269,782</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125,906</w:t>
            </w:r>
          </w:p>
        </w:tc>
        <w:tc>
          <w:tcPr>
            <w:tcW w:w="123" w:type="dxa"/>
            <w:tcBorders/>
            <w:shd w:fill="FFFFFF" w:val="clear"/>
            <w:vAlign w:val="center"/>
          </w:tcPr>
          <w:p>
            <w:pPr>
              <w:pStyle w:val="TableContents"/>
              <w:bidi w:val="0"/>
              <w:spacing w:before="0" w:after="283"/>
              <w:jc w:val="left"/>
              <w:rPr/>
            </w:pPr>
            <w:r>
              <w:rPr/>
              <w:t> </w:t>
            </w:r>
            <w:bookmarkStart w:id="244" w:name="xdx_40A_eus-gaap--IncreaseDecreaseInOper"/>
            <w:bookmarkEnd w:id="244"/>
          </w:p>
        </w:tc>
      </w:tr>
      <w:tr>
        <w:trPr/>
        <w:tc>
          <w:tcPr>
            <w:tcW w:w="7205" w:type="dxa"/>
            <w:tcBorders/>
            <w:shd w:fill="EEEEEE" w:val="clear"/>
            <w:vAlign w:val="center"/>
          </w:tcPr>
          <w:p>
            <w:pPr>
              <w:pStyle w:val="TableContents"/>
              <w:bidi w:val="0"/>
              <w:spacing w:before="0" w:after="283"/>
              <w:jc w:val="left"/>
              <w:rPr>
                <w:sz w:val="18"/>
              </w:rPr>
            </w:pPr>
            <w:r>
              <w:rPr>
                <w:sz w:val="18"/>
              </w:rPr>
              <w:t>Change in operating assets and liabilities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bookmarkStart w:id="245" w:name="xdx_40C_eus-gaap--IncreaseDecreaseInAcco"/>
            <w:bookmarkEnd w:id="245"/>
          </w:p>
        </w:tc>
      </w:tr>
      <w:tr>
        <w:trPr/>
        <w:tc>
          <w:tcPr>
            <w:tcW w:w="7205" w:type="dxa"/>
            <w:tcBorders/>
            <w:shd w:fill="FFFFFF" w:val="clear"/>
            <w:vAlign w:val="center"/>
          </w:tcPr>
          <w:p>
            <w:pPr>
              <w:pStyle w:val="TableContents"/>
              <w:bidi w:val="0"/>
              <w:spacing w:before="0" w:after="283"/>
              <w:jc w:val="left"/>
              <w:rPr>
                <w:sz w:val="18"/>
              </w:rPr>
            </w:pPr>
            <w:r>
              <w:rPr>
                <w:sz w:val="18"/>
              </w:rPr>
              <w:t>Accounts receivable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(989,894</w:t>
            </w:r>
          </w:p>
        </w:tc>
        <w:tc>
          <w:tcPr>
            <w:tcW w:w="119" w:type="dxa"/>
            <w:tcBorders/>
            <w:shd w:fill="FFFFFF" w:val="clear"/>
            <w:vAlign w:val="center"/>
          </w:tcPr>
          <w:p>
            <w:pPr>
              <w:pStyle w:val="TableContents"/>
              <w:bidi w:val="0"/>
              <w:spacing w:before="0" w:after="283"/>
              <w:jc w:val="left"/>
              <w:rPr>
                <w:sz w:val="18"/>
              </w:rPr>
            </w:pPr>
            <w:r>
              <w:rPr>
                <w:sz w:val="18"/>
              </w:rPr>
              <w:t>)</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2,991,825</w:t>
            </w:r>
          </w:p>
        </w:tc>
        <w:tc>
          <w:tcPr>
            <w:tcW w:w="123" w:type="dxa"/>
            <w:tcBorders/>
            <w:shd w:fill="FFFFFF" w:val="clear"/>
            <w:vAlign w:val="center"/>
          </w:tcPr>
          <w:p>
            <w:pPr>
              <w:pStyle w:val="TableContents"/>
              <w:bidi w:val="0"/>
              <w:spacing w:before="0" w:after="283"/>
              <w:jc w:val="left"/>
              <w:rPr/>
            </w:pPr>
            <w:r>
              <w:rPr/>
              <w:t> </w:t>
            </w:r>
            <w:bookmarkStart w:id="246" w:name="xdx_401_eus-gaap--IncreaseDecreaseInInve"/>
            <w:bookmarkEnd w:id="246"/>
          </w:p>
        </w:tc>
      </w:tr>
      <w:tr>
        <w:trPr/>
        <w:tc>
          <w:tcPr>
            <w:tcW w:w="7205" w:type="dxa"/>
            <w:tcBorders/>
            <w:shd w:fill="EEEEEE" w:val="clear"/>
            <w:vAlign w:val="center"/>
          </w:tcPr>
          <w:p>
            <w:pPr>
              <w:pStyle w:val="TableContents"/>
              <w:bidi w:val="0"/>
              <w:spacing w:before="0" w:after="283"/>
              <w:jc w:val="left"/>
              <w:rPr>
                <w:sz w:val="18"/>
              </w:rPr>
            </w:pPr>
            <w:r>
              <w:rPr>
                <w:sz w:val="18"/>
              </w:rPr>
              <w:t>Inventories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5,535,789</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485,100</w:t>
            </w:r>
          </w:p>
        </w:tc>
        <w:tc>
          <w:tcPr>
            <w:tcW w:w="123" w:type="dxa"/>
            <w:tcBorders/>
            <w:shd w:fill="EEEEEE" w:val="clear"/>
            <w:vAlign w:val="center"/>
          </w:tcPr>
          <w:p>
            <w:pPr>
              <w:pStyle w:val="TableContents"/>
              <w:bidi w:val="0"/>
              <w:spacing w:before="0" w:after="283"/>
              <w:jc w:val="left"/>
              <w:rPr/>
            </w:pPr>
            <w:r>
              <w:rPr/>
              <w:t> </w:t>
            </w:r>
            <w:bookmarkStart w:id="247" w:name="xdx_400_eus-gaap--IncreaseDecreaseInDefe"/>
            <w:bookmarkEnd w:id="247"/>
          </w:p>
        </w:tc>
      </w:tr>
      <w:tr>
        <w:trPr/>
        <w:tc>
          <w:tcPr>
            <w:tcW w:w="7205" w:type="dxa"/>
            <w:tcBorders/>
            <w:shd w:fill="FFFFFF" w:val="clear"/>
            <w:vAlign w:val="center"/>
          </w:tcPr>
          <w:p>
            <w:pPr>
              <w:pStyle w:val="TableContents"/>
              <w:bidi w:val="0"/>
              <w:spacing w:before="0" w:after="283"/>
              <w:jc w:val="left"/>
              <w:rPr>
                <w:sz w:val="18"/>
              </w:rPr>
            </w:pPr>
            <w:r>
              <w:rPr>
                <w:sz w:val="18"/>
              </w:rPr>
              <w:t>Deferred tax assets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(1,266,374</w:t>
            </w:r>
          </w:p>
        </w:tc>
        <w:tc>
          <w:tcPr>
            <w:tcW w:w="119" w:type="dxa"/>
            <w:tcBorders/>
            <w:shd w:fill="FFFFFF" w:val="clear"/>
            <w:vAlign w:val="center"/>
          </w:tcPr>
          <w:p>
            <w:pPr>
              <w:pStyle w:val="TableContents"/>
              <w:bidi w:val="0"/>
              <w:spacing w:before="0" w:after="283"/>
              <w:jc w:val="left"/>
              <w:rPr>
                <w:sz w:val="18"/>
              </w:rPr>
            </w:pPr>
            <w:r>
              <w:rPr>
                <w:sz w:val="18"/>
              </w:rPr>
              <w:t>)</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(516,281</w:t>
            </w:r>
          </w:p>
        </w:tc>
        <w:tc>
          <w:tcPr>
            <w:tcW w:w="123" w:type="dxa"/>
            <w:tcBorders/>
            <w:shd w:fill="FFFFFF" w:val="clear"/>
            <w:vAlign w:val="center"/>
          </w:tcPr>
          <w:p>
            <w:pPr>
              <w:pStyle w:val="TableContents"/>
              <w:bidi w:val="0"/>
              <w:spacing w:before="0" w:after="283"/>
              <w:jc w:val="left"/>
              <w:rPr>
                <w:sz w:val="18"/>
              </w:rPr>
            </w:pPr>
            <w:r>
              <w:rPr>
                <w:sz w:val="18"/>
              </w:rPr>
              <w:t>)</w:t>
            </w:r>
            <w:bookmarkStart w:id="248" w:name="xdx_407_eus-gaap--IncreaseDecreaseInPrep"/>
            <w:bookmarkEnd w:id="248"/>
          </w:p>
        </w:tc>
      </w:tr>
      <w:tr>
        <w:trPr/>
        <w:tc>
          <w:tcPr>
            <w:tcW w:w="7205" w:type="dxa"/>
            <w:tcBorders/>
            <w:shd w:fill="EEEEEE" w:val="clear"/>
            <w:vAlign w:val="center"/>
          </w:tcPr>
          <w:p>
            <w:pPr>
              <w:pStyle w:val="TableContents"/>
              <w:bidi w:val="0"/>
              <w:spacing w:before="0" w:after="283"/>
              <w:jc w:val="left"/>
              <w:rPr>
                <w:sz w:val="18"/>
              </w:rPr>
            </w:pPr>
            <w:r>
              <w:rPr>
                <w:sz w:val="18"/>
              </w:rPr>
              <w:t>Prepayments and other current assets, net</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1,317,156</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(314,434</w:t>
            </w:r>
          </w:p>
        </w:tc>
        <w:tc>
          <w:tcPr>
            <w:tcW w:w="123" w:type="dxa"/>
            <w:tcBorders/>
            <w:shd w:fill="EEEEEE" w:val="clear"/>
            <w:vAlign w:val="center"/>
          </w:tcPr>
          <w:p>
            <w:pPr>
              <w:pStyle w:val="TableContents"/>
              <w:bidi w:val="0"/>
              <w:spacing w:before="0" w:after="283"/>
              <w:jc w:val="left"/>
              <w:rPr>
                <w:sz w:val="18"/>
              </w:rPr>
            </w:pPr>
            <w:r>
              <w:rPr>
                <w:sz w:val="18"/>
              </w:rPr>
              <w:t>)</w:t>
            </w:r>
            <w:bookmarkStart w:id="249" w:name="xdx_401_eus-gaap--IncreaseDecreaseInOthe"/>
            <w:bookmarkEnd w:id="249"/>
          </w:p>
        </w:tc>
      </w:tr>
      <w:tr>
        <w:trPr/>
        <w:tc>
          <w:tcPr>
            <w:tcW w:w="7205" w:type="dxa"/>
            <w:tcBorders/>
            <w:shd w:fill="FFFFFF" w:val="clear"/>
            <w:vAlign w:val="center"/>
          </w:tcPr>
          <w:p>
            <w:pPr>
              <w:pStyle w:val="TableContents"/>
              <w:bidi w:val="0"/>
              <w:spacing w:before="0" w:after="283"/>
              <w:jc w:val="left"/>
              <w:rPr>
                <w:sz w:val="18"/>
              </w:rPr>
            </w:pPr>
            <w:r>
              <w:rPr>
                <w:sz w:val="18"/>
              </w:rPr>
              <w:t>Other non-current assets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526,580</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188,315</w:t>
            </w:r>
          </w:p>
        </w:tc>
        <w:tc>
          <w:tcPr>
            <w:tcW w:w="123" w:type="dxa"/>
            <w:tcBorders/>
            <w:shd w:fill="FFFFFF" w:val="clear"/>
            <w:vAlign w:val="center"/>
          </w:tcPr>
          <w:p>
            <w:pPr>
              <w:pStyle w:val="TableContents"/>
              <w:bidi w:val="0"/>
              <w:spacing w:before="0" w:after="283"/>
              <w:jc w:val="left"/>
              <w:rPr/>
            </w:pPr>
            <w:r>
              <w:rPr/>
              <w:t> </w:t>
            </w:r>
            <w:bookmarkStart w:id="250" w:name="xdx_40A_eus-gaap--IncreaseDecreaseInAcco"/>
            <w:bookmarkEnd w:id="250"/>
          </w:p>
        </w:tc>
      </w:tr>
      <w:tr>
        <w:trPr/>
        <w:tc>
          <w:tcPr>
            <w:tcW w:w="7205" w:type="dxa"/>
            <w:tcBorders/>
            <w:shd w:fill="EEEEEE" w:val="clear"/>
            <w:vAlign w:val="center"/>
          </w:tcPr>
          <w:p>
            <w:pPr>
              <w:pStyle w:val="TableContents"/>
              <w:bidi w:val="0"/>
              <w:spacing w:before="0" w:after="283"/>
              <w:jc w:val="left"/>
              <w:rPr>
                <w:sz w:val="18"/>
              </w:rPr>
            </w:pPr>
            <w:r>
              <w:rPr>
                <w:sz w:val="18"/>
              </w:rPr>
              <w:t>Accounts payable</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(4,059,969</w:t>
            </w:r>
          </w:p>
        </w:tc>
        <w:tc>
          <w:tcPr>
            <w:tcW w:w="119" w:type="dxa"/>
            <w:tcBorders/>
            <w:shd w:fill="EEEEEE" w:val="clear"/>
            <w:vAlign w:val="center"/>
          </w:tcPr>
          <w:p>
            <w:pPr>
              <w:pStyle w:val="TableContents"/>
              <w:bidi w:val="0"/>
              <w:spacing w:before="0" w:after="283"/>
              <w:jc w:val="left"/>
              <w:rPr>
                <w:sz w:val="18"/>
              </w:rPr>
            </w:pPr>
            <w:r>
              <w:rPr>
                <w:sz w:val="18"/>
              </w:rPr>
              <w:t>)</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(3,229,667</w:t>
            </w:r>
          </w:p>
        </w:tc>
        <w:tc>
          <w:tcPr>
            <w:tcW w:w="123" w:type="dxa"/>
            <w:tcBorders/>
            <w:shd w:fill="EEEEEE" w:val="clear"/>
            <w:vAlign w:val="center"/>
          </w:tcPr>
          <w:p>
            <w:pPr>
              <w:pStyle w:val="TableContents"/>
              <w:bidi w:val="0"/>
              <w:spacing w:before="0" w:after="283"/>
              <w:jc w:val="left"/>
              <w:rPr>
                <w:sz w:val="18"/>
              </w:rPr>
            </w:pPr>
            <w:r>
              <w:rPr>
                <w:sz w:val="18"/>
              </w:rPr>
              <w:t>)</w:t>
            </w:r>
            <w:bookmarkStart w:id="251" w:name="xdx_409_eus-gaap--IncreaseDecreaseInOthe"/>
            <w:bookmarkEnd w:id="251"/>
          </w:p>
        </w:tc>
      </w:tr>
      <w:tr>
        <w:trPr/>
        <w:tc>
          <w:tcPr>
            <w:tcW w:w="7205" w:type="dxa"/>
            <w:tcBorders/>
            <w:shd w:fill="FFFFFF" w:val="clear"/>
            <w:vAlign w:val="center"/>
          </w:tcPr>
          <w:p>
            <w:pPr>
              <w:pStyle w:val="TableContents"/>
              <w:bidi w:val="0"/>
              <w:spacing w:before="0" w:after="283"/>
              <w:jc w:val="left"/>
              <w:rPr>
                <w:sz w:val="18"/>
              </w:rPr>
            </w:pPr>
            <w:r>
              <w:rPr>
                <w:sz w:val="18"/>
              </w:rPr>
              <w:t>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357,099</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(331,742</w:t>
            </w:r>
          </w:p>
        </w:tc>
        <w:tc>
          <w:tcPr>
            <w:tcW w:w="123" w:type="dxa"/>
            <w:tcBorders/>
            <w:shd w:fill="FFFFFF" w:val="clear"/>
            <w:vAlign w:val="center"/>
          </w:tcPr>
          <w:p>
            <w:pPr>
              <w:pStyle w:val="TableContents"/>
              <w:bidi w:val="0"/>
              <w:spacing w:before="0" w:after="283"/>
              <w:jc w:val="left"/>
              <w:rPr>
                <w:sz w:val="18"/>
              </w:rPr>
            </w:pPr>
            <w:r>
              <w:rPr>
                <w:sz w:val="18"/>
              </w:rPr>
              <w:t>)</w:t>
            </w:r>
            <w:bookmarkStart w:id="252" w:name="xdx_40E_eus-gaap--IncreaseDecreaseInOper"/>
            <w:bookmarkEnd w:id="252"/>
          </w:p>
        </w:tc>
      </w:tr>
      <w:tr>
        <w:trPr/>
        <w:tc>
          <w:tcPr>
            <w:tcW w:w="7205" w:type="dxa"/>
            <w:tcBorders/>
            <w:shd w:fill="EEEEEE" w:val="clear"/>
            <w:vAlign w:val="center"/>
          </w:tcPr>
          <w:p>
            <w:pPr>
              <w:pStyle w:val="TableContents"/>
              <w:bidi w:val="0"/>
              <w:spacing w:before="0" w:after="283"/>
              <w:jc w:val="left"/>
              <w:rPr>
                <w:sz w:val="18"/>
              </w:rPr>
            </w:pPr>
            <w:r>
              <w:rPr>
                <w:sz w:val="18"/>
              </w:rPr>
              <w:t>Operating lease liabilities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(1,007,585</w:t>
            </w:r>
          </w:p>
        </w:tc>
        <w:tc>
          <w:tcPr>
            <w:tcW w:w="119" w:type="dxa"/>
            <w:tcBorders/>
            <w:shd w:fill="EEEEEE" w:val="clear"/>
            <w:vAlign w:val="center"/>
          </w:tcPr>
          <w:p>
            <w:pPr>
              <w:pStyle w:val="TableContents"/>
              <w:bidi w:val="0"/>
              <w:spacing w:before="0" w:after="283"/>
              <w:jc w:val="left"/>
              <w:rPr>
                <w:sz w:val="18"/>
              </w:rPr>
            </w:pPr>
            <w:r>
              <w:rPr>
                <w:sz w:val="18"/>
              </w:rPr>
              <w:t>)</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(1,455,440</w:t>
            </w:r>
          </w:p>
        </w:tc>
        <w:tc>
          <w:tcPr>
            <w:tcW w:w="123" w:type="dxa"/>
            <w:tcBorders/>
            <w:shd w:fill="EEEEEE" w:val="clear"/>
            <w:vAlign w:val="center"/>
          </w:tcPr>
          <w:p>
            <w:pPr>
              <w:pStyle w:val="TableContents"/>
              <w:bidi w:val="0"/>
              <w:spacing w:before="0" w:after="283"/>
              <w:jc w:val="left"/>
              <w:rPr>
                <w:sz w:val="18"/>
              </w:rPr>
            </w:pPr>
            <w:r>
              <w:rPr>
                <w:sz w:val="18"/>
              </w:rPr>
              <w:t>)</w:t>
            </w:r>
            <w:bookmarkStart w:id="253" w:name="xdx_404_eus-gaap--IncreaseDecreaseInAccr"/>
            <w:bookmarkEnd w:id="253"/>
          </w:p>
        </w:tc>
      </w:tr>
      <w:tr>
        <w:trPr/>
        <w:tc>
          <w:tcPr>
            <w:tcW w:w="7205" w:type="dxa"/>
            <w:tcBorders/>
            <w:shd w:fill="FFFFFF" w:val="clear"/>
            <w:vAlign w:val="center"/>
          </w:tcPr>
          <w:p>
            <w:pPr>
              <w:pStyle w:val="TableContents"/>
              <w:bidi w:val="0"/>
              <w:spacing w:before="0" w:after="283"/>
              <w:jc w:val="left"/>
              <w:rPr>
                <w:sz w:val="18"/>
              </w:rPr>
            </w:pPr>
            <w:r>
              <w:rPr>
                <w:sz w:val="18"/>
              </w:rPr>
              <w:t>Income taxes payable</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(280,155</w:t>
            </w:r>
          </w:p>
        </w:tc>
        <w:tc>
          <w:tcPr>
            <w:tcW w:w="119" w:type="dxa"/>
            <w:tcBorders/>
            <w:shd w:fill="FFFFFF" w:val="clear"/>
            <w:vAlign w:val="center"/>
          </w:tcPr>
          <w:p>
            <w:pPr>
              <w:pStyle w:val="TableContents"/>
              <w:bidi w:val="0"/>
              <w:spacing w:before="0" w:after="283"/>
              <w:jc w:val="left"/>
              <w:rPr>
                <w:sz w:val="18"/>
              </w:rPr>
            </w:pPr>
            <w:r>
              <w:rPr>
                <w:sz w:val="18"/>
              </w:rPr>
              <w:t>)</w:t>
            </w:r>
          </w:p>
        </w:tc>
        <w:tc>
          <w:tcPr>
            <w:tcW w:w="75"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2,611</w:t>
            </w:r>
          </w:p>
        </w:tc>
        <w:tc>
          <w:tcPr>
            <w:tcW w:w="123" w:type="dxa"/>
            <w:tcBorders/>
            <w:shd w:fill="FFFFFF" w:val="clear"/>
            <w:vAlign w:val="center"/>
          </w:tcPr>
          <w:p>
            <w:pPr>
              <w:pStyle w:val="TableContents"/>
              <w:bidi w:val="0"/>
              <w:spacing w:before="0" w:after="283"/>
              <w:jc w:val="left"/>
              <w:rPr/>
            </w:pPr>
            <w:r>
              <w:rPr/>
              <w:t> </w:t>
            </w:r>
            <w:bookmarkStart w:id="254" w:name="xdx_40C_eus-gaap--NetCashProvidedByUsedI"/>
            <w:bookmarkEnd w:id="254"/>
          </w:p>
        </w:tc>
      </w:tr>
      <w:tr>
        <w:trPr/>
        <w:tc>
          <w:tcPr>
            <w:tcW w:w="7205" w:type="dxa"/>
            <w:tcBorders/>
            <w:shd w:fill="EEEEEE" w:val="clear"/>
            <w:vAlign w:val="center"/>
          </w:tcPr>
          <w:p>
            <w:pPr>
              <w:pStyle w:val="TableContents"/>
              <w:bidi w:val="0"/>
              <w:spacing w:before="0" w:after="283"/>
              <w:jc w:val="left"/>
              <w:rPr>
                <w:sz w:val="18"/>
              </w:rPr>
            </w:pPr>
            <w:r>
              <w:rPr>
                <w:sz w:val="18"/>
              </w:rPr>
              <w:t>Net cash provided by (used in) operating activities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430,399</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(500,214</w:t>
            </w:r>
          </w:p>
        </w:tc>
        <w:tc>
          <w:tcPr>
            <w:tcW w:w="123" w:type="dxa"/>
            <w:tcBorders/>
            <w:shd w:fill="EEEEEE" w:val="clear"/>
            <w:vAlign w:val="center"/>
          </w:tcPr>
          <w:p>
            <w:pPr>
              <w:pStyle w:val="TableContents"/>
              <w:bidi w:val="0"/>
              <w:spacing w:before="0" w:after="283"/>
              <w:jc w:val="left"/>
              <w:rPr>
                <w:sz w:val="18"/>
              </w:rPr>
            </w:pPr>
            <w:r>
              <w:rPr>
                <w:sz w:val="18"/>
              </w:rPr>
              <w:t>)</w:t>
            </w:r>
          </w:p>
        </w:tc>
      </w:tr>
      <w:tr>
        <w:trPr/>
        <w:tc>
          <w:tcPr>
            <w:tcW w:w="7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bookmarkStart w:id="255" w:name="xdx_40E_eus-gaap--NetCashProvidedByUsedI"/>
            <w:bookmarkEnd w:id="255"/>
          </w:p>
        </w:tc>
      </w:tr>
      <w:tr>
        <w:trPr/>
        <w:tc>
          <w:tcPr>
            <w:tcW w:w="7205" w:type="dxa"/>
            <w:tcBorders/>
            <w:shd w:fill="EEEEEE" w:val="clear"/>
            <w:vAlign w:val="center"/>
          </w:tcPr>
          <w:p>
            <w:pPr>
              <w:pStyle w:val="TableContents"/>
              <w:bidi w:val="0"/>
              <w:spacing w:before="0" w:after="283"/>
              <w:jc w:val="left"/>
              <w:rPr>
                <w:sz w:val="18"/>
              </w:rPr>
            </w:pPr>
            <w:r>
              <w:rPr>
                <w:sz w:val="18"/>
              </w:rPr>
              <w:t>CASH FLOWS FROM INVESTING ACTIVITIES: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bookmarkStart w:id="256" w:name="xdx_404_ecustom--GainLossFromDivestiture"/>
            <w:bookmarkEnd w:id="256"/>
          </w:p>
        </w:tc>
      </w:tr>
      <w:tr>
        <w:trPr/>
        <w:tc>
          <w:tcPr>
            <w:tcW w:w="7205" w:type="dxa"/>
            <w:tcBorders/>
            <w:shd w:fill="FFFFFF" w:val="clear"/>
            <w:vAlign w:val="center"/>
          </w:tcPr>
          <w:p>
            <w:pPr>
              <w:pStyle w:val="TableContents"/>
              <w:bidi w:val="0"/>
              <w:spacing w:before="0" w:after="283"/>
              <w:jc w:val="left"/>
              <w:rPr>
                <w:sz w:val="18"/>
              </w:rPr>
            </w:pPr>
            <w:r>
              <w:rPr>
                <w:sz w:val="18"/>
              </w:rPr>
              <w:t>Disposal of subsidiaries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(83,545</w:t>
            </w:r>
          </w:p>
        </w:tc>
        <w:tc>
          <w:tcPr>
            <w:tcW w:w="119" w:type="dxa"/>
            <w:tcBorders/>
            <w:shd w:fill="FFFFFF" w:val="clear"/>
            <w:vAlign w:val="center"/>
          </w:tcPr>
          <w:p>
            <w:pPr>
              <w:pStyle w:val="TableContents"/>
              <w:bidi w:val="0"/>
              <w:spacing w:before="0" w:after="283"/>
              <w:jc w:val="left"/>
              <w:rPr>
                <w:sz w:val="18"/>
              </w:rPr>
            </w:pPr>
            <w:r>
              <w:rPr>
                <w:sz w:val="18"/>
              </w:rPr>
              <w:t>)</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bookmarkStart w:id="257" w:name="xdx_408_eus-gaap--CashDivestedFromDecons"/>
            <w:bookmarkEnd w:id="257"/>
          </w:p>
        </w:tc>
      </w:tr>
      <w:tr>
        <w:trPr/>
        <w:tc>
          <w:tcPr>
            <w:tcW w:w="7205" w:type="dxa"/>
            <w:tcBorders/>
            <w:shd w:fill="EEEEEE" w:val="clear"/>
            <w:vAlign w:val="center"/>
          </w:tcPr>
          <w:p>
            <w:pPr>
              <w:pStyle w:val="TableContents"/>
              <w:bidi w:val="0"/>
              <w:spacing w:before="0" w:after="283"/>
              <w:jc w:val="left"/>
              <w:rPr>
                <w:sz w:val="18"/>
              </w:rPr>
            </w:pPr>
            <w:r>
              <w:rPr>
                <w:sz w:val="18"/>
              </w:rPr>
              <w:t>Deconsolidation of VIE</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(165,243</w:t>
            </w:r>
          </w:p>
        </w:tc>
        <w:tc>
          <w:tcPr>
            <w:tcW w:w="119" w:type="dxa"/>
            <w:tcBorders/>
            <w:shd w:fill="EEEEEE" w:val="clear"/>
            <w:vAlign w:val="center"/>
          </w:tcPr>
          <w:p>
            <w:pPr>
              <w:pStyle w:val="TableContents"/>
              <w:bidi w:val="0"/>
              <w:spacing w:before="0" w:after="283"/>
              <w:jc w:val="left"/>
              <w:rPr>
                <w:sz w:val="18"/>
              </w:rPr>
            </w:pPr>
            <w:r>
              <w:rPr>
                <w:sz w:val="18"/>
              </w:rPr>
              <w:t>)</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bookmarkStart w:id="258" w:name="xdx_406_eus-gaap--ProceedsFromSaleOfProp"/>
            <w:bookmarkEnd w:id="258"/>
          </w:p>
        </w:tc>
      </w:tr>
      <w:tr>
        <w:trPr/>
        <w:tc>
          <w:tcPr>
            <w:tcW w:w="7205" w:type="dxa"/>
            <w:tcBorders/>
            <w:shd w:fill="FFFFFF" w:val="clear"/>
            <w:vAlign w:val="center"/>
          </w:tcPr>
          <w:p>
            <w:pPr>
              <w:pStyle w:val="TableContents"/>
              <w:bidi w:val="0"/>
              <w:spacing w:before="0" w:after="283"/>
              <w:jc w:val="left"/>
              <w:rPr>
                <w:sz w:val="18"/>
              </w:rPr>
            </w:pPr>
            <w:r>
              <w:rPr>
                <w:sz w:val="18"/>
              </w:rPr>
              <w:t>Proceeds from sale of vehicle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192,000</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bookmarkStart w:id="259" w:name="xdx_403_eus-gaap--PaymentsToAcquireInter"/>
            <w:bookmarkEnd w:id="259"/>
          </w:p>
        </w:tc>
      </w:tr>
      <w:tr>
        <w:trPr/>
        <w:tc>
          <w:tcPr>
            <w:tcW w:w="7205" w:type="dxa"/>
            <w:tcBorders/>
            <w:shd w:fill="EEEEEE" w:val="clear"/>
            <w:vAlign w:val="center"/>
          </w:tcPr>
          <w:p>
            <w:pPr>
              <w:pStyle w:val="TableContents"/>
              <w:bidi w:val="0"/>
              <w:spacing w:before="0" w:after="283"/>
              <w:jc w:val="left"/>
              <w:rPr>
                <w:sz w:val="18"/>
              </w:rPr>
            </w:pPr>
            <w:r>
              <w:rPr>
                <w:sz w:val="18"/>
              </w:rPr>
              <w:t>Investment in joint venture</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(293,526</w:t>
            </w:r>
          </w:p>
        </w:tc>
        <w:tc>
          <w:tcPr>
            <w:tcW w:w="119" w:type="dxa"/>
            <w:tcBorders/>
            <w:shd w:fill="EEEEEE" w:val="clear"/>
            <w:vAlign w:val="center"/>
          </w:tcPr>
          <w:p>
            <w:pPr>
              <w:pStyle w:val="TableContents"/>
              <w:bidi w:val="0"/>
              <w:spacing w:before="0" w:after="283"/>
              <w:jc w:val="left"/>
              <w:rPr>
                <w:sz w:val="18"/>
              </w:rPr>
            </w:pPr>
            <w:r>
              <w:rPr>
                <w:sz w:val="18"/>
              </w:rPr>
              <w:t>)</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bookmarkStart w:id="260" w:name="xdx_404_eus-gaap--PaymentForAcquisitionC"/>
            <w:bookmarkEnd w:id="260"/>
          </w:p>
        </w:tc>
      </w:tr>
      <w:tr>
        <w:trPr/>
        <w:tc>
          <w:tcPr>
            <w:tcW w:w="7205" w:type="dxa"/>
            <w:tcBorders/>
            <w:shd w:fill="FFFFFF" w:val="clear"/>
            <w:vAlign w:val="center"/>
          </w:tcPr>
          <w:p>
            <w:pPr>
              <w:pStyle w:val="TableContents"/>
              <w:bidi w:val="0"/>
              <w:spacing w:before="0" w:after="283"/>
              <w:jc w:val="left"/>
              <w:rPr>
                <w:sz w:val="18"/>
              </w:rPr>
            </w:pPr>
            <w:r>
              <w:rPr>
                <w:sz w:val="18"/>
              </w:rPr>
              <w:t>Restricted cash and digital assets held in Bitgo account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(4,418,000</w:t>
            </w:r>
          </w:p>
        </w:tc>
        <w:tc>
          <w:tcPr>
            <w:tcW w:w="119" w:type="dxa"/>
            <w:tcBorders/>
            <w:shd w:fill="FFFFFF" w:val="clear"/>
            <w:vAlign w:val="center"/>
          </w:tcPr>
          <w:p>
            <w:pPr>
              <w:pStyle w:val="TableContents"/>
              <w:bidi w:val="0"/>
              <w:spacing w:before="0" w:after="283"/>
              <w:jc w:val="left"/>
              <w:rPr>
                <w:sz w:val="18"/>
              </w:rPr>
            </w:pPr>
            <w:r>
              <w:rPr>
                <w:sz w:val="18"/>
              </w:rPr>
              <w:t>)</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bookmarkStart w:id="261" w:name="xdx_406_eus-gaap--PaymentsToDevelopSoftw"/>
            <w:bookmarkEnd w:id="261"/>
          </w:p>
        </w:tc>
      </w:tr>
      <w:tr>
        <w:trPr/>
        <w:tc>
          <w:tcPr>
            <w:tcW w:w="7205" w:type="dxa"/>
            <w:tcBorders/>
            <w:shd w:fill="EEEEEE" w:val="clear"/>
            <w:vAlign w:val="center"/>
          </w:tcPr>
          <w:p>
            <w:pPr>
              <w:pStyle w:val="TableContents"/>
              <w:bidi w:val="0"/>
              <w:spacing w:before="0" w:after="283"/>
              <w:jc w:val="left"/>
              <w:rPr>
                <w:sz w:val="18"/>
              </w:rPr>
            </w:pPr>
            <w:r>
              <w:rPr>
                <w:sz w:val="18"/>
              </w:rPr>
              <w:t>Prepayments for software development</w:t>
            </w:r>
          </w:p>
        </w:tc>
        <w:tc>
          <w:tcPr>
            <w:tcW w:w="60" w:type="dxa"/>
            <w:tcBorders/>
            <w:shd w:fill="EEEEEE" w:val="clear"/>
            <w:vAlign w:val="center"/>
          </w:tcPr>
          <w:p>
            <w:pPr>
              <w:pStyle w:val="TableContents"/>
              <w:bidi w:val="0"/>
              <w:spacing w:before="0" w:after="283"/>
              <w:jc w:val="left"/>
              <w:rPr/>
            </w:pPr>
            <w:r>
              <w:rPr/>
              <w:t> </w:t>
            </w:r>
          </w:p>
        </w:tc>
        <w:tc>
          <w:tcPr>
            <w:tcW w:w="13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(902,760</w:t>
            </w:r>
          </w:p>
        </w:tc>
        <w:tc>
          <w:tcPr>
            <w:tcW w:w="119" w:type="dxa"/>
            <w:tcBorders/>
            <w:shd w:fill="EEEEEE" w:val="clear"/>
            <w:vAlign w:val="center"/>
          </w:tcPr>
          <w:p>
            <w:pPr>
              <w:pStyle w:val="TableContents"/>
              <w:bidi w:val="0"/>
              <w:spacing w:before="0" w:after="283"/>
              <w:jc w:val="left"/>
              <w:rPr>
                <w:sz w:val="18"/>
              </w:rPr>
            </w:pPr>
            <w:r>
              <w:rPr>
                <w:sz w:val="18"/>
              </w:rPr>
              <w:t>)</w:t>
            </w:r>
          </w:p>
        </w:tc>
        <w:tc>
          <w:tcPr>
            <w:tcW w:w="75" w:type="dxa"/>
            <w:tcBorders/>
            <w:shd w:fill="EEEEEE" w:val="clear"/>
            <w:vAlign w:val="center"/>
          </w:tcPr>
          <w:p>
            <w:pPr>
              <w:pStyle w:val="TableContents"/>
              <w:bidi w:val="0"/>
              <w:spacing w:before="0" w:after="283"/>
              <w:jc w:val="left"/>
              <w:rPr/>
            </w:pPr>
            <w:r>
              <w:rPr/>
              <w:t> </w:t>
            </w:r>
          </w:p>
        </w:tc>
        <w:tc>
          <w:tcPr>
            <w:tcW w:w="13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(1,519,928</w:t>
            </w:r>
          </w:p>
        </w:tc>
        <w:tc>
          <w:tcPr>
            <w:tcW w:w="123" w:type="dxa"/>
            <w:tcBorders/>
            <w:shd w:fill="EEEEEE" w:val="clear"/>
            <w:vAlign w:val="center"/>
          </w:tcPr>
          <w:p>
            <w:pPr>
              <w:pStyle w:val="TableContents"/>
              <w:bidi w:val="0"/>
              <w:spacing w:before="0" w:after="283"/>
              <w:jc w:val="left"/>
              <w:rPr>
                <w:sz w:val="18"/>
              </w:rPr>
            </w:pPr>
            <w:r>
              <w:rPr>
                <w:sz w:val="18"/>
              </w:rPr>
              <w:t>)</w:t>
            </w:r>
            <w:bookmarkStart w:id="262" w:name="xdx_406_eus-gaap--NetCashProvidedByUsedI"/>
            <w:bookmarkEnd w:id="262"/>
          </w:p>
        </w:tc>
      </w:tr>
      <w:tr>
        <w:trPr/>
        <w:tc>
          <w:tcPr>
            <w:tcW w:w="7205" w:type="dxa"/>
            <w:tcBorders/>
            <w:shd w:fill="FFFFFF" w:val="clear"/>
            <w:vAlign w:val="center"/>
          </w:tcPr>
          <w:p>
            <w:pPr>
              <w:pStyle w:val="TableContents"/>
              <w:bidi w:val="0"/>
              <w:spacing w:before="0" w:after="283"/>
              <w:jc w:val="left"/>
              <w:rPr>
                <w:sz w:val="18"/>
              </w:rPr>
            </w:pPr>
            <w:r>
              <w:rPr>
                <w:sz w:val="18"/>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(5,671,074</w:t>
            </w:r>
          </w:p>
        </w:tc>
        <w:tc>
          <w:tcPr>
            <w:tcW w:w="119" w:type="dxa"/>
            <w:tcBorders/>
            <w:shd w:fill="FFFFFF" w:val="clear"/>
            <w:vAlign w:val="center"/>
          </w:tcPr>
          <w:p>
            <w:pPr>
              <w:pStyle w:val="TableContents"/>
              <w:bidi w:val="0"/>
              <w:spacing w:before="0" w:after="283"/>
              <w:jc w:val="left"/>
              <w:rPr>
                <w:sz w:val="18"/>
              </w:rPr>
            </w:pPr>
            <w:r>
              <w:rPr>
                <w:sz w:val="18"/>
              </w:rPr>
              <w:t>)</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(1,519,928</w:t>
            </w:r>
          </w:p>
        </w:tc>
        <w:tc>
          <w:tcPr>
            <w:tcW w:w="123" w:type="dxa"/>
            <w:tcBorders/>
            <w:shd w:fill="FFFFFF" w:val="clear"/>
            <w:vAlign w:val="center"/>
          </w:tcPr>
          <w:p>
            <w:pPr>
              <w:pStyle w:val="TableContents"/>
              <w:bidi w:val="0"/>
              <w:spacing w:before="0" w:after="283"/>
              <w:jc w:val="left"/>
              <w:rPr>
                <w:sz w:val="18"/>
              </w:rPr>
            </w:pPr>
            <w:r>
              <w:rPr>
                <w:sz w:val="18"/>
              </w:rPr>
              <w:t>)</w:t>
            </w:r>
          </w:p>
        </w:tc>
      </w:tr>
      <w:tr>
        <w:trPr/>
        <w:tc>
          <w:tcPr>
            <w:tcW w:w="720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bookmarkStart w:id="263" w:name="xdx_40F_eus-gaap--NetCashProvidedByUsedI"/>
            <w:bookmarkEnd w:id="263"/>
          </w:p>
        </w:tc>
      </w:tr>
      <w:tr>
        <w:trPr/>
        <w:tc>
          <w:tcPr>
            <w:tcW w:w="7205" w:type="dxa"/>
            <w:tcBorders/>
            <w:shd w:fill="FFFFFF" w:val="clear"/>
            <w:vAlign w:val="center"/>
          </w:tcPr>
          <w:p>
            <w:pPr>
              <w:pStyle w:val="TableContents"/>
              <w:bidi w:val="0"/>
              <w:spacing w:before="0" w:after="283"/>
              <w:jc w:val="left"/>
              <w:rPr>
                <w:sz w:val="18"/>
              </w:rPr>
            </w:pPr>
            <w:r>
              <w:rPr>
                <w:sz w:val="18"/>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bookmarkStart w:id="264" w:name="xdx_403_eus-gaap--PaymentsOfStockIssuanc"/>
            <w:bookmarkEnd w:id="264"/>
          </w:p>
        </w:tc>
      </w:tr>
      <w:tr>
        <w:trPr/>
        <w:tc>
          <w:tcPr>
            <w:tcW w:w="7205" w:type="dxa"/>
            <w:tcBorders/>
            <w:shd w:fill="EEEEEE" w:val="clear"/>
            <w:vAlign w:val="center"/>
          </w:tcPr>
          <w:p>
            <w:pPr>
              <w:pStyle w:val="TableContents"/>
              <w:bidi w:val="0"/>
              <w:spacing w:before="0" w:after="283"/>
              <w:jc w:val="left"/>
              <w:rPr>
                <w:sz w:val="18"/>
              </w:rPr>
            </w:pPr>
            <w:r>
              <w:rPr>
                <w:sz w:val="18"/>
              </w:rPr>
              <w:t>Payments of offering cost settlement</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(325,000</w:t>
            </w:r>
          </w:p>
        </w:tc>
        <w:tc>
          <w:tcPr>
            <w:tcW w:w="123" w:type="dxa"/>
            <w:tcBorders/>
            <w:shd w:fill="EEEEEE" w:val="clear"/>
            <w:vAlign w:val="center"/>
          </w:tcPr>
          <w:p>
            <w:pPr>
              <w:pStyle w:val="TableContents"/>
              <w:bidi w:val="0"/>
              <w:spacing w:before="0" w:after="283"/>
              <w:jc w:val="left"/>
              <w:rPr>
                <w:sz w:val="18"/>
              </w:rPr>
            </w:pPr>
            <w:r>
              <w:rPr>
                <w:sz w:val="18"/>
              </w:rPr>
              <w:t>)</w:t>
            </w:r>
            <w:bookmarkStart w:id="265" w:name="xdx_40F_eus-gaap--ProceedsFromRelatedPar"/>
            <w:bookmarkEnd w:id="265"/>
          </w:p>
        </w:tc>
      </w:tr>
      <w:tr>
        <w:trPr/>
        <w:tc>
          <w:tcPr>
            <w:tcW w:w="7205" w:type="dxa"/>
            <w:tcBorders/>
            <w:shd w:fill="FFFFFF" w:val="clear"/>
            <w:vAlign w:val="center"/>
          </w:tcPr>
          <w:p>
            <w:pPr>
              <w:pStyle w:val="TableContents"/>
              <w:bidi w:val="0"/>
              <w:spacing w:before="0" w:after="283"/>
              <w:jc w:val="left"/>
              <w:rPr>
                <w:sz w:val="18"/>
              </w:rPr>
            </w:pPr>
            <w:r>
              <w:rPr>
                <w:sz w:val="18"/>
              </w:rPr>
              <w:t>Proceeds from short-term loans - related party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1,050,000</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bookmarkStart w:id="266" w:name="xdx_406_eus-gaap--ProceedsFromShortTermD"/>
            <w:bookmarkEnd w:id="266"/>
          </w:p>
        </w:tc>
      </w:tr>
      <w:tr>
        <w:trPr/>
        <w:tc>
          <w:tcPr>
            <w:tcW w:w="7205" w:type="dxa"/>
            <w:tcBorders/>
            <w:shd w:fill="EEEEEE" w:val="clear"/>
            <w:vAlign w:val="center"/>
          </w:tcPr>
          <w:p>
            <w:pPr>
              <w:pStyle w:val="TableContents"/>
              <w:bidi w:val="0"/>
              <w:spacing w:before="0" w:after="283"/>
              <w:jc w:val="left"/>
              <w:rPr>
                <w:sz w:val="18"/>
              </w:rPr>
            </w:pPr>
            <w:r>
              <w:rPr>
                <w:sz w:val="18"/>
              </w:rPr>
              <w:t>Proceeds from short-term loans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1,500,000</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bookmarkStart w:id="267" w:name="xdx_404_eus-gaap--RepaymentsOfRelatedPar"/>
            <w:bookmarkEnd w:id="267"/>
          </w:p>
        </w:tc>
      </w:tr>
      <w:tr>
        <w:trPr/>
        <w:tc>
          <w:tcPr>
            <w:tcW w:w="7205" w:type="dxa"/>
            <w:tcBorders/>
            <w:shd w:fill="FFFFFF" w:val="clear"/>
            <w:vAlign w:val="center"/>
          </w:tcPr>
          <w:p>
            <w:pPr>
              <w:pStyle w:val="TableContents"/>
              <w:bidi w:val="0"/>
              <w:spacing w:before="0" w:after="283"/>
              <w:jc w:val="left"/>
              <w:rPr>
                <w:sz w:val="18"/>
              </w:rPr>
            </w:pPr>
            <w:r>
              <w:rPr>
                <w:sz w:val="18"/>
              </w:rPr>
              <w:t>Payments on short-term loans - related party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(1,050,000</w:t>
            </w:r>
          </w:p>
        </w:tc>
        <w:tc>
          <w:tcPr>
            <w:tcW w:w="119" w:type="dxa"/>
            <w:tcBorders/>
            <w:shd w:fill="FFFFFF" w:val="clear"/>
            <w:vAlign w:val="center"/>
          </w:tcPr>
          <w:p>
            <w:pPr>
              <w:pStyle w:val="TableContents"/>
              <w:bidi w:val="0"/>
              <w:spacing w:before="0" w:after="283"/>
              <w:jc w:val="left"/>
              <w:rPr>
                <w:sz w:val="18"/>
              </w:rPr>
            </w:pPr>
            <w:r>
              <w:rPr>
                <w:sz w:val="18"/>
              </w:rPr>
              <w:t>)</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(350,000</w:t>
            </w:r>
          </w:p>
        </w:tc>
        <w:tc>
          <w:tcPr>
            <w:tcW w:w="123" w:type="dxa"/>
            <w:tcBorders/>
            <w:shd w:fill="FFFFFF" w:val="clear"/>
            <w:vAlign w:val="center"/>
          </w:tcPr>
          <w:p>
            <w:pPr>
              <w:pStyle w:val="TableContents"/>
              <w:bidi w:val="0"/>
              <w:spacing w:before="0" w:after="283"/>
              <w:jc w:val="left"/>
              <w:rPr>
                <w:sz w:val="18"/>
              </w:rPr>
            </w:pPr>
            <w:r>
              <w:rPr>
                <w:sz w:val="18"/>
              </w:rPr>
              <w:t>)</w:t>
            </w:r>
            <w:bookmarkStart w:id="268" w:name="xdx_407_eus-gaap--RepaymentsOfOtherShort"/>
            <w:bookmarkEnd w:id="268"/>
          </w:p>
        </w:tc>
      </w:tr>
      <w:tr>
        <w:trPr/>
        <w:tc>
          <w:tcPr>
            <w:tcW w:w="7205" w:type="dxa"/>
            <w:tcBorders/>
            <w:shd w:fill="EEEEEE" w:val="clear"/>
            <w:vAlign w:val="center"/>
          </w:tcPr>
          <w:p>
            <w:pPr>
              <w:pStyle w:val="TableContents"/>
              <w:bidi w:val="0"/>
              <w:spacing w:before="0" w:after="283"/>
              <w:jc w:val="left"/>
              <w:rPr>
                <w:sz w:val="18"/>
              </w:rPr>
            </w:pPr>
            <w:r>
              <w:rPr>
                <w:sz w:val="18"/>
              </w:rPr>
              <w:t>Payments on short-term loans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(1,500,000</w:t>
            </w:r>
          </w:p>
        </w:tc>
        <w:tc>
          <w:tcPr>
            <w:tcW w:w="119" w:type="dxa"/>
            <w:tcBorders/>
            <w:shd w:fill="EEEEEE" w:val="clear"/>
            <w:vAlign w:val="center"/>
          </w:tcPr>
          <w:p>
            <w:pPr>
              <w:pStyle w:val="TableContents"/>
              <w:bidi w:val="0"/>
              <w:spacing w:before="0" w:after="283"/>
              <w:jc w:val="left"/>
              <w:rPr>
                <w:sz w:val="18"/>
              </w:rPr>
            </w:pPr>
            <w:r>
              <w:rPr>
                <w:sz w:val="18"/>
              </w:rPr>
              <w:t>)</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(483,599</w:t>
            </w:r>
          </w:p>
        </w:tc>
        <w:tc>
          <w:tcPr>
            <w:tcW w:w="123" w:type="dxa"/>
            <w:tcBorders/>
            <w:shd w:fill="EEEEEE" w:val="clear"/>
            <w:vAlign w:val="center"/>
          </w:tcPr>
          <w:p>
            <w:pPr>
              <w:pStyle w:val="TableContents"/>
              <w:bidi w:val="0"/>
              <w:spacing w:before="0" w:after="283"/>
              <w:jc w:val="left"/>
              <w:rPr>
                <w:sz w:val="18"/>
              </w:rPr>
            </w:pPr>
            <w:r>
              <w:rPr>
                <w:sz w:val="18"/>
              </w:rPr>
              <w:t>)</w:t>
            </w:r>
            <w:bookmarkStart w:id="269" w:name="xdx_402_eus-gaap--ProceedsFromConvertibl"/>
            <w:bookmarkEnd w:id="269"/>
          </w:p>
        </w:tc>
      </w:tr>
      <w:tr>
        <w:trPr/>
        <w:tc>
          <w:tcPr>
            <w:tcW w:w="7205" w:type="dxa"/>
            <w:tcBorders/>
            <w:shd w:fill="FFFFFF" w:val="clear"/>
            <w:vAlign w:val="center"/>
          </w:tcPr>
          <w:p>
            <w:pPr>
              <w:pStyle w:val="TableContents"/>
              <w:bidi w:val="0"/>
              <w:spacing w:before="0" w:after="283"/>
              <w:jc w:val="left"/>
              <w:rPr>
                <w:sz w:val="18"/>
              </w:rPr>
            </w:pPr>
            <w:r>
              <w:rPr>
                <w:sz w:val="18"/>
              </w:rPr>
              <w:t>Net proceeds from convertible note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7,701,033</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bookmarkStart w:id="270" w:name="xdx_403_eus-gaap--ProceedsFromLinesOfCre"/>
            <w:bookmarkEnd w:id="270"/>
          </w:p>
        </w:tc>
      </w:tr>
      <w:tr>
        <w:trPr/>
        <w:tc>
          <w:tcPr>
            <w:tcW w:w="7205" w:type="dxa"/>
            <w:tcBorders/>
            <w:shd w:fill="EEEEEE" w:val="clear"/>
            <w:vAlign w:val="center"/>
          </w:tcPr>
          <w:p>
            <w:pPr>
              <w:pStyle w:val="TableContents"/>
              <w:bidi w:val="0"/>
              <w:spacing w:before="0" w:after="283"/>
              <w:jc w:val="left"/>
              <w:rPr>
                <w:sz w:val="18"/>
              </w:rPr>
            </w:pPr>
            <w:r>
              <w:rPr>
                <w:sz w:val="18"/>
              </w:rPr>
              <w:t>Proceeds from revolving loan</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3,619,974</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7,789,674</w:t>
            </w:r>
          </w:p>
        </w:tc>
        <w:tc>
          <w:tcPr>
            <w:tcW w:w="123" w:type="dxa"/>
            <w:tcBorders/>
            <w:shd w:fill="EEEEEE" w:val="clear"/>
            <w:vAlign w:val="center"/>
          </w:tcPr>
          <w:p>
            <w:pPr>
              <w:pStyle w:val="TableContents"/>
              <w:bidi w:val="0"/>
              <w:spacing w:before="0" w:after="283"/>
              <w:jc w:val="left"/>
              <w:rPr/>
            </w:pPr>
            <w:r>
              <w:rPr/>
              <w:t> </w:t>
            </w:r>
            <w:bookmarkStart w:id="271" w:name="xdx_40B_eus-gaap--RepaymentsOfLinesOfCre"/>
            <w:bookmarkEnd w:id="271"/>
          </w:p>
        </w:tc>
      </w:tr>
      <w:tr>
        <w:trPr/>
        <w:tc>
          <w:tcPr>
            <w:tcW w:w="7205" w:type="dxa"/>
            <w:tcBorders/>
            <w:shd w:fill="FFFFFF" w:val="clear"/>
            <w:vAlign w:val="center"/>
          </w:tcPr>
          <w:p>
            <w:pPr>
              <w:pStyle w:val="TableContents"/>
              <w:bidi w:val="0"/>
              <w:spacing w:before="0" w:after="283"/>
              <w:jc w:val="left"/>
              <w:rPr>
                <w:sz w:val="18"/>
              </w:rPr>
            </w:pPr>
            <w:r>
              <w:rPr>
                <w:sz w:val="18"/>
              </w:rPr>
              <w:t>Payments on revolving loan</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(7,383,223</w:t>
            </w:r>
          </w:p>
        </w:tc>
        <w:tc>
          <w:tcPr>
            <w:tcW w:w="119" w:type="dxa"/>
            <w:tcBorders/>
            <w:shd w:fill="FFFFFF" w:val="clear"/>
            <w:vAlign w:val="center"/>
          </w:tcPr>
          <w:p>
            <w:pPr>
              <w:pStyle w:val="TableContents"/>
              <w:bidi w:val="0"/>
              <w:spacing w:before="0" w:after="283"/>
              <w:jc w:val="left"/>
              <w:rPr>
                <w:sz w:val="18"/>
              </w:rPr>
            </w:pPr>
            <w:r>
              <w:rPr>
                <w:sz w:val="18"/>
              </w:rPr>
              <w:t>)</w:t>
            </w:r>
          </w:p>
        </w:tc>
        <w:tc>
          <w:tcPr>
            <w:tcW w:w="75"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(9,800,000</w:t>
            </w:r>
          </w:p>
        </w:tc>
        <w:tc>
          <w:tcPr>
            <w:tcW w:w="123" w:type="dxa"/>
            <w:tcBorders/>
            <w:shd w:fill="FFFFFF" w:val="clear"/>
            <w:vAlign w:val="center"/>
          </w:tcPr>
          <w:p>
            <w:pPr>
              <w:pStyle w:val="TableContents"/>
              <w:bidi w:val="0"/>
              <w:spacing w:before="0" w:after="283"/>
              <w:jc w:val="left"/>
              <w:rPr>
                <w:sz w:val="18"/>
              </w:rPr>
            </w:pPr>
            <w:r>
              <w:rPr>
                <w:sz w:val="18"/>
              </w:rPr>
              <w:t>)</w:t>
            </w:r>
            <w:bookmarkStart w:id="272" w:name="xdx_403_eus-gaap--NetCashProvidedByUsedI"/>
            <w:bookmarkEnd w:id="272"/>
          </w:p>
        </w:tc>
      </w:tr>
      <w:tr>
        <w:trPr/>
        <w:tc>
          <w:tcPr>
            <w:tcW w:w="7205" w:type="dxa"/>
            <w:tcBorders/>
            <w:shd w:fill="EEEEEE" w:val="clear"/>
            <w:vAlign w:val="center"/>
          </w:tcPr>
          <w:p>
            <w:pPr>
              <w:pStyle w:val="TableContents"/>
              <w:bidi w:val="0"/>
              <w:spacing w:before="0" w:after="283"/>
              <w:jc w:val="left"/>
              <w:rPr>
                <w:sz w:val="18"/>
              </w:rPr>
            </w:pPr>
            <w:r>
              <w:rPr>
                <w:sz w:val="18"/>
              </w:rPr>
              <w:t>Net cash provided by (used in) financing activities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3,937,784</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(3,168,925</w:t>
            </w:r>
          </w:p>
        </w:tc>
        <w:tc>
          <w:tcPr>
            <w:tcW w:w="123" w:type="dxa"/>
            <w:tcBorders/>
            <w:shd w:fill="EEEEEE" w:val="clear"/>
            <w:vAlign w:val="center"/>
          </w:tcPr>
          <w:p>
            <w:pPr>
              <w:pStyle w:val="TableContents"/>
              <w:bidi w:val="0"/>
              <w:spacing w:before="0" w:after="283"/>
              <w:jc w:val="left"/>
              <w:rPr>
                <w:sz w:val="18"/>
              </w:rPr>
            </w:pPr>
            <w:r>
              <w:rPr>
                <w:sz w:val="18"/>
              </w:rPr>
              <w:t>)</w:t>
            </w:r>
          </w:p>
        </w:tc>
      </w:tr>
      <w:tr>
        <w:trPr/>
        <w:tc>
          <w:tcPr>
            <w:tcW w:w="7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bookmarkStart w:id="273" w:name="xdx_403_eus-gaap--EffectOfExchangeRateOn"/>
            <w:bookmarkEnd w:id="273"/>
          </w:p>
        </w:tc>
      </w:tr>
      <w:tr>
        <w:trPr/>
        <w:tc>
          <w:tcPr>
            <w:tcW w:w="7205" w:type="dxa"/>
            <w:tcBorders/>
            <w:shd w:fill="EEEEEE" w:val="clear"/>
            <w:vAlign w:val="center"/>
          </w:tcPr>
          <w:p>
            <w:pPr>
              <w:pStyle w:val="TableContents"/>
              <w:bidi w:val="0"/>
              <w:spacing w:before="0" w:after="283"/>
              <w:jc w:val="left"/>
              <w:rPr>
                <w:sz w:val="18"/>
              </w:rPr>
            </w:pPr>
            <w:r>
              <w:rPr>
                <w:sz w:val="18"/>
              </w:rPr>
              <w:t>EFFECT OF EXCHANGE RATE ON CASH</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8,686</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sz w:val="18"/>
              </w:rPr>
            </w:pPr>
            <w:r>
              <w:rPr>
                <w:sz w:val="18"/>
              </w:rPr>
              <w:t>3,484</w:t>
            </w:r>
          </w:p>
        </w:tc>
        <w:tc>
          <w:tcPr>
            <w:tcW w:w="123" w:type="dxa"/>
            <w:tcBorders/>
            <w:shd w:fill="EEEEEE" w:val="clear"/>
            <w:vAlign w:val="center"/>
          </w:tcPr>
          <w:p>
            <w:pPr>
              <w:pStyle w:val="TableContents"/>
              <w:bidi w:val="0"/>
              <w:spacing w:before="0" w:after="283"/>
              <w:jc w:val="left"/>
              <w:rPr/>
            </w:pPr>
            <w:r>
              <w:rPr/>
              <w:t> </w:t>
            </w:r>
            <w:bookmarkStart w:id="274" w:name="xdx_401_eus-gaap--CashCashEquivalentsRes"/>
            <w:bookmarkEnd w:id="274"/>
          </w:p>
        </w:tc>
      </w:tr>
      <w:tr>
        <w:trPr/>
        <w:tc>
          <w:tcPr>
            <w:tcW w:w="7205" w:type="dxa"/>
            <w:tcBorders/>
            <w:shd w:fill="FFFFFF" w:val="clear"/>
            <w:vAlign w:val="center"/>
          </w:tcPr>
          <w:p>
            <w:pPr>
              <w:pStyle w:val="TableContents"/>
              <w:bidi w:val="0"/>
              <w:spacing w:before="0" w:after="283"/>
              <w:jc w:val="left"/>
              <w:rPr>
                <w:sz w:val="18"/>
              </w:rPr>
            </w:pPr>
            <w:r>
              <w:rPr>
                <w:sz w:val="18"/>
              </w:rPr>
              <w:t>CHANGES IN CASH AND CASH EQUIVALENT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sz w:val="18"/>
              </w:rPr>
            </w:pPr>
            <w:r>
              <w:rPr>
                <w:sz w:val="18"/>
              </w:rPr>
              <w:t>(1,294,205</w:t>
            </w:r>
          </w:p>
        </w:tc>
        <w:tc>
          <w:tcPr>
            <w:tcW w:w="119" w:type="dxa"/>
            <w:tcBorders/>
            <w:shd w:fill="FFFFFF" w:val="clear"/>
            <w:vAlign w:val="center"/>
          </w:tcPr>
          <w:p>
            <w:pPr>
              <w:pStyle w:val="TableContents"/>
              <w:bidi w:val="0"/>
              <w:spacing w:before="0" w:after="283"/>
              <w:jc w:val="left"/>
              <w:rPr>
                <w:sz w:val="18"/>
              </w:rPr>
            </w:pPr>
            <w:r>
              <w:rPr>
                <w:sz w:val="18"/>
              </w:rPr>
              <w:t>)</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(5,185,583</w:t>
            </w:r>
          </w:p>
        </w:tc>
        <w:tc>
          <w:tcPr>
            <w:tcW w:w="123" w:type="dxa"/>
            <w:tcBorders/>
            <w:shd w:fill="FFFFFF" w:val="clear"/>
            <w:vAlign w:val="center"/>
          </w:tcPr>
          <w:p>
            <w:pPr>
              <w:pStyle w:val="TableContents"/>
              <w:bidi w:val="0"/>
              <w:spacing w:before="0" w:after="283"/>
              <w:jc w:val="left"/>
              <w:rPr>
                <w:sz w:val="18"/>
              </w:rPr>
            </w:pPr>
            <w:r>
              <w:rPr>
                <w:sz w:val="18"/>
              </w:rPr>
              <w:t>)</w:t>
            </w:r>
            <w:bookmarkStart w:id="275" w:name="xdx_403_eus-gaap--CashCashEquivalentsRes"/>
            <w:bookmarkEnd w:id="275"/>
          </w:p>
        </w:tc>
      </w:tr>
      <w:tr>
        <w:trPr/>
        <w:tc>
          <w:tcPr>
            <w:tcW w:w="7205" w:type="dxa"/>
            <w:tcBorders/>
            <w:shd w:fill="EEEEEE" w:val="clear"/>
            <w:vAlign w:val="center"/>
          </w:tcPr>
          <w:p>
            <w:pPr>
              <w:pStyle w:val="TableContents"/>
              <w:bidi w:val="0"/>
              <w:spacing w:before="0" w:after="283"/>
              <w:jc w:val="left"/>
              <w:rPr>
                <w:sz w:val="18"/>
              </w:rPr>
            </w:pPr>
            <w:r>
              <w:rPr>
                <w:sz w:val="18"/>
              </w:rPr>
              <w:t>CASH AND CASH EQUIVALENT, beginning of period</w:t>
            </w:r>
          </w:p>
        </w:tc>
        <w:tc>
          <w:tcPr>
            <w:tcW w:w="60" w:type="dxa"/>
            <w:tcBorders/>
            <w:shd w:fill="EEEEEE" w:val="clear"/>
            <w:vAlign w:val="center"/>
          </w:tcPr>
          <w:p>
            <w:pPr>
              <w:pStyle w:val="TableContents"/>
              <w:bidi w:val="0"/>
              <w:spacing w:before="0" w:after="283"/>
              <w:jc w:val="left"/>
              <w:rPr/>
            </w:pPr>
            <w:r>
              <w:rPr/>
              <w:t> </w:t>
            </w:r>
          </w:p>
        </w:tc>
        <w:tc>
          <w:tcPr>
            <w:tcW w:w="13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2,007,890</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7,377,837</w:t>
            </w:r>
          </w:p>
        </w:tc>
        <w:tc>
          <w:tcPr>
            <w:tcW w:w="123" w:type="dxa"/>
            <w:tcBorders/>
            <w:shd w:fill="EEEEEE" w:val="clear"/>
            <w:vAlign w:val="center"/>
          </w:tcPr>
          <w:p>
            <w:pPr>
              <w:pStyle w:val="TableContents"/>
              <w:bidi w:val="0"/>
              <w:spacing w:before="0" w:after="283"/>
              <w:jc w:val="left"/>
              <w:rPr/>
            </w:pPr>
            <w:r>
              <w:rPr/>
              <w:t> </w:t>
            </w:r>
            <w:bookmarkStart w:id="276" w:name="xdx_40D_eus-gaap--CashCashEquivalentsRes"/>
            <w:bookmarkEnd w:id="276"/>
          </w:p>
        </w:tc>
      </w:tr>
      <w:tr>
        <w:trPr/>
        <w:tc>
          <w:tcPr>
            <w:tcW w:w="7205" w:type="dxa"/>
            <w:tcBorders/>
            <w:shd w:fill="FFFFFF" w:val="clear"/>
            <w:vAlign w:val="center"/>
          </w:tcPr>
          <w:p>
            <w:pPr>
              <w:pStyle w:val="TableContents"/>
              <w:bidi w:val="0"/>
              <w:spacing w:before="0" w:after="283"/>
              <w:jc w:val="left"/>
              <w:rPr>
                <w:sz w:val="18"/>
              </w:rPr>
            </w:pPr>
            <w:r>
              <w:rPr>
                <w:sz w:val="18"/>
              </w:rPr>
              <w:t xml:space="preserve">CASH AND CASH EQUIVALENT, end of period </w:t>
            </w:r>
            <w:r>
              <w:rPr>
                <w:position w:val="6"/>
                <w:sz w:val="14"/>
                <w:sz w:val="18"/>
              </w:rPr>
              <w:t>(1)</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1335"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713,685</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2,192,254</w:t>
            </w:r>
          </w:p>
        </w:tc>
        <w:tc>
          <w:tcPr>
            <w:tcW w:w="123" w:type="dxa"/>
            <w:tcBorders/>
            <w:shd w:fill="FFFFFF" w:val="clear"/>
            <w:vAlign w:val="center"/>
          </w:tcPr>
          <w:p>
            <w:pPr>
              <w:pStyle w:val="TableContents"/>
              <w:bidi w:val="0"/>
              <w:spacing w:before="0" w:after="283"/>
              <w:jc w:val="left"/>
              <w:rPr/>
            </w:pPr>
            <w:r>
              <w:rPr/>
              <w:t> </w:t>
            </w:r>
          </w:p>
        </w:tc>
      </w:tr>
      <w:tr>
        <w:trPr/>
        <w:tc>
          <w:tcPr>
            <w:tcW w:w="720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bookmarkStart w:id="277" w:name="xdx_403_eus-gaap--SupplementalCashFlowIn"/>
            <w:bookmarkEnd w:id="277"/>
          </w:p>
        </w:tc>
      </w:tr>
      <w:tr>
        <w:trPr/>
        <w:tc>
          <w:tcPr>
            <w:tcW w:w="7205" w:type="dxa"/>
            <w:tcBorders/>
            <w:shd w:fill="FFFFFF" w:val="clear"/>
            <w:vAlign w:val="center"/>
          </w:tcPr>
          <w:p>
            <w:pPr>
              <w:pStyle w:val="TableContents"/>
              <w:bidi w:val="0"/>
              <w:spacing w:before="0" w:after="283"/>
              <w:jc w:val="left"/>
              <w:rPr>
                <w:sz w:val="18"/>
              </w:rPr>
            </w:pPr>
            <w:r>
              <w:rPr>
                <w:sz w:val="18"/>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bookmarkStart w:id="278" w:name="xdx_407_eus-gaap--IncomeTaxesPaidNet_i01"/>
            <w:bookmarkEnd w:id="278"/>
          </w:p>
        </w:tc>
      </w:tr>
      <w:tr>
        <w:trPr/>
        <w:tc>
          <w:tcPr>
            <w:tcW w:w="7205" w:type="dxa"/>
            <w:tcBorders/>
            <w:shd w:fill="EEEEEE" w:val="clear"/>
            <w:vAlign w:val="center"/>
          </w:tcPr>
          <w:p>
            <w:pPr>
              <w:pStyle w:val="TableContents"/>
              <w:bidi w:val="0"/>
              <w:spacing w:before="0" w:after="283"/>
              <w:jc w:val="left"/>
              <w:rPr>
                <w:sz w:val="18"/>
              </w:rPr>
            </w:pPr>
            <w:r>
              <w:rPr>
                <w:sz w:val="18"/>
              </w:rPr>
              <w:t>Cash paid for income tax</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sz w:val="18"/>
              </w:rPr>
            </w:pPr>
            <w:r>
              <w:rPr>
                <w:sz w:val="18"/>
              </w:rPr>
              <w:t>$</w:t>
            </w:r>
          </w:p>
        </w:tc>
        <w:tc>
          <w:tcPr>
            <w:tcW w:w="1335" w:type="dxa"/>
            <w:tcBorders/>
            <w:shd w:fill="EEEEEE" w:val="cle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sz w:val="18"/>
              </w:rPr>
            </w:pPr>
            <w:r>
              <w:rPr>
                <w:sz w:val="18"/>
              </w:rPr>
              <w:t>$</w:t>
            </w:r>
          </w:p>
        </w:tc>
        <w:tc>
          <w:tcPr>
            <w:tcW w:w="1012"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bookmarkStart w:id="279" w:name="xdx_408_eus-gaap--InterestPaidNet_i01_pp"/>
            <w:bookmarkEnd w:id="279"/>
          </w:p>
        </w:tc>
      </w:tr>
      <w:tr>
        <w:trPr/>
        <w:tc>
          <w:tcPr>
            <w:tcW w:w="7205" w:type="dxa"/>
            <w:tcBorders/>
            <w:shd w:fill="FFFFFF" w:val="clear"/>
            <w:vAlign w:val="center"/>
          </w:tcPr>
          <w:p>
            <w:pPr>
              <w:pStyle w:val="TableContents"/>
              <w:bidi w:val="0"/>
              <w:spacing w:before="0" w:after="283"/>
              <w:jc w:val="left"/>
              <w:rPr>
                <w:sz w:val="18"/>
              </w:rPr>
            </w:pPr>
            <w:r>
              <w:rPr>
                <w:sz w:val="18"/>
              </w:rPr>
              <w:t>Cash paid for interest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sz w:val="18"/>
              </w:rPr>
            </w:pPr>
            <w:r>
              <w:rPr>
                <w:sz w:val="18"/>
              </w:rPr>
              <w:t>$</w:t>
            </w:r>
          </w:p>
        </w:tc>
        <w:tc>
          <w:tcPr>
            <w:tcW w:w="1335" w:type="dxa"/>
            <w:tcBorders/>
            <w:shd w:fill="FFFFFF" w:val="clear"/>
            <w:vAlign w:val="center"/>
          </w:tcPr>
          <w:p>
            <w:pPr>
              <w:pStyle w:val="TableContents"/>
              <w:bidi w:val="0"/>
              <w:spacing w:before="0" w:after="283"/>
              <w:jc w:val="right"/>
              <w:rPr>
                <w:sz w:val="18"/>
              </w:rPr>
            </w:pPr>
            <w:r>
              <w:rPr>
                <w:sz w:val="18"/>
              </w:rPr>
              <w:t>72,304</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sz w:val="18"/>
              </w:rPr>
            </w:pPr>
            <w:r>
              <w:rPr>
                <w:sz w:val="18"/>
              </w:rPr>
              <w:t>$</w:t>
            </w:r>
          </w:p>
        </w:tc>
        <w:tc>
          <w:tcPr>
            <w:tcW w:w="1012" w:type="dxa"/>
            <w:tcBorders/>
            <w:shd w:fill="FFFFFF" w:val="clear"/>
            <w:vAlign w:val="center"/>
          </w:tcPr>
          <w:p>
            <w:pPr>
              <w:pStyle w:val="TableContents"/>
              <w:bidi w:val="0"/>
              <w:spacing w:before="0" w:after="283"/>
              <w:jc w:val="right"/>
              <w:rPr>
                <w:sz w:val="18"/>
              </w:rPr>
            </w:pPr>
            <w:r>
              <w:rPr>
                <w:sz w:val="18"/>
              </w:rPr>
              <w:t>207,064</w:t>
            </w:r>
          </w:p>
        </w:tc>
        <w:tc>
          <w:tcPr>
            <w:tcW w:w="123" w:type="dxa"/>
            <w:tcBorders/>
            <w:shd w:fill="FFFFFF" w:val="clear"/>
            <w:vAlign w:val="center"/>
          </w:tcPr>
          <w:p>
            <w:pPr>
              <w:pStyle w:val="TableContents"/>
              <w:bidi w:val="0"/>
              <w:spacing w:before="0" w:after="283"/>
              <w:jc w:val="left"/>
              <w:rPr/>
            </w:pPr>
            <w:r>
              <w:rPr/>
              <w:t> </w:t>
            </w:r>
          </w:p>
        </w:tc>
      </w:tr>
      <w:tr>
        <w:trPr/>
        <w:tc>
          <w:tcPr>
            <w:tcW w:w="720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bookmarkStart w:id="280" w:name="xdx_408_eus-gaap--NoncashInvestingAndFin"/>
            <w:bookmarkEnd w:id="280"/>
          </w:p>
        </w:tc>
      </w:tr>
      <w:tr>
        <w:trPr/>
        <w:tc>
          <w:tcPr>
            <w:tcW w:w="7205" w:type="dxa"/>
            <w:tcBorders/>
            <w:shd w:fill="EEEEEE" w:val="clear"/>
            <w:vAlign w:val="center"/>
          </w:tcPr>
          <w:p>
            <w:pPr>
              <w:pStyle w:val="TableContents"/>
              <w:bidi w:val="0"/>
              <w:spacing w:before="0" w:after="283"/>
              <w:jc w:val="left"/>
              <w:rPr>
                <w:sz w:val="18"/>
              </w:rPr>
            </w:pPr>
            <w:r>
              <w:rPr>
                <w:sz w:val="18"/>
              </w:rPr>
              <w:t>SUPPLEMENTAL DISCLOSURE OF NON-CASH INVESTING AND FINANCING TRANSACTIONS: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bookmarkStart w:id="281" w:name="xdx_406_ecustom--DerivativeLiabilityConv"/>
            <w:bookmarkEnd w:id="281"/>
          </w:p>
        </w:tc>
      </w:tr>
      <w:tr>
        <w:trPr/>
        <w:tc>
          <w:tcPr>
            <w:tcW w:w="7205" w:type="dxa"/>
            <w:tcBorders/>
            <w:shd w:fill="FFFFFF" w:val="clear"/>
            <w:vAlign w:val="center"/>
          </w:tcPr>
          <w:p>
            <w:pPr>
              <w:pStyle w:val="TableContents"/>
              <w:bidi w:val="0"/>
              <w:spacing w:before="0" w:after="283"/>
              <w:jc w:val="left"/>
              <w:rPr>
                <w:sz w:val="18"/>
              </w:rPr>
            </w:pPr>
            <w:r>
              <w:rPr>
                <w:sz w:val="18"/>
              </w:rPr>
              <w:t>Derivative liability - conversion option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sz w:val="18"/>
              </w:rPr>
            </w:pPr>
            <w:r>
              <w:rPr>
                <w:sz w:val="18"/>
              </w:rPr>
              <w:t>$</w:t>
            </w:r>
          </w:p>
        </w:tc>
        <w:tc>
          <w:tcPr>
            <w:tcW w:w="1335" w:type="dxa"/>
            <w:tcBorders/>
            <w:shd w:fill="FFFFFF" w:val="clear"/>
            <w:vAlign w:val="center"/>
          </w:tcPr>
          <w:p>
            <w:pPr>
              <w:pStyle w:val="TableContents"/>
              <w:bidi w:val="0"/>
              <w:spacing w:before="0" w:after="283"/>
              <w:jc w:val="right"/>
              <w:rPr>
                <w:sz w:val="18"/>
              </w:rPr>
            </w:pPr>
            <w:r>
              <w:rPr>
                <w:sz w:val="18"/>
              </w:rPr>
              <w:t>1,264,600</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sz w:val="18"/>
              </w:rPr>
            </w:pPr>
            <w:r>
              <w:rPr>
                <w:sz w:val="18"/>
              </w:rPr>
              <w:t>$</w:t>
            </w:r>
          </w:p>
        </w:tc>
        <w:tc>
          <w:tcPr>
            <w:tcW w:w="1012"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bookmarkStart w:id="282" w:name="xdx_408_ecustom--CommonStockIssuedForCon"/>
            <w:bookmarkEnd w:id="282"/>
          </w:p>
        </w:tc>
      </w:tr>
      <w:tr>
        <w:trPr/>
        <w:tc>
          <w:tcPr>
            <w:tcW w:w="7205" w:type="dxa"/>
            <w:tcBorders/>
            <w:shd w:fill="EEEEEE" w:val="clear"/>
            <w:vAlign w:val="center"/>
          </w:tcPr>
          <w:p>
            <w:pPr>
              <w:pStyle w:val="TableContents"/>
              <w:bidi w:val="0"/>
              <w:spacing w:before="0" w:after="283"/>
              <w:jc w:val="left"/>
              <w:rPr>
                <w:sz w:val="18"/>
              </w:rPr>
            </w:pPr>
            <w:r>
              <w:rPr>
                <w:sz w:val="18"/>
              </w:rPr>
              <w:t>Common stock issued for conversions of note payable</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283"/>
              <w:jc w:val="right"/>
              <w:rPr>
                <w:sz w:val="18"/>
              </w:rPr>
            </w:pPr>
            <w:r>
              <w:rPr>
                <w:sz w:val="18"/>
              </w:rPr>
              <w:t>2,597,000</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bookmarkStart w:id="283" w:name="xdx_403_ecustom--RightOfUseAssetsDerecog"/>
            <w:bookmarkEnd w:id="283"/>
          </w:p>
        </w:tc>
      </w:tr>
      <w:tr>
        <w:trPr/>
        <w:tc>
          <w:tcPr>
            <w:tcW w:w="7205" w:type="dxa"/>
            <w:tcBorders/>
            <w:shd w:fill="FFFFFF" w:val="clear"/>
            <w:vAlign w:val="center"/>
          </w:tcPr>
          <w:p>
            <w:pPr>
              <w:pStyle w:val="TableContents"/>
              <w:bidi w:val="0"/>
              <w:spacing w:before="0" w:after="283"/>
              <w:jc w:val="left"/>
              <w:rPr>
                <w:sz w:val="18"/>
              </w:rPr>
            </w:pPr>
            <w:r>
              <w:rPr>
                <w:sz w:val="18"/>
              </w:rPr>
              <w:t>Right of use assets derecognized due to termination of operating leases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18"/>
              </w:rPr>
            </w:pPr>
            <w:r>
              <w:rPr>
                <w:sz w:val="18"/>
              </w:rPr>
              <w:t>434,033</w:t>
            </w:r>
          </w:p>
        </w:tc>
        <w:tc>
          <w:tcPr>
            <w:tcW w:w="123" w:type="dxa"/>
            <w:tcBorders/>
            <w:shd w:fill="FFFFFF" w:val="clear"/>
            <w:vAlign w:val="center"/>
          </w:tcPr>
          <w:p>
            <w:pPr>
              <w:pStyle w:val="TableContents"/>
              <w:bidi w:val="0"/>
              <w:spacing w:before="0" w:after="283"/>
              <w:jc w:val="left"/>
              <w:rPr/>
            </w:pPr>
            <w:r>
              <w:rPr/>
              <w:t> </w:t>
            </w:r>
            <w:bookmarkStart w:id="284" w:name="xdx_40C_ecustom--NoteReceivableFromSaleO"/>
            <w:bookmarkEnd w:id="284"/>
          </w:p>
        </w:tc>
      </w:tr>
      <w:tr>
        <w:trPr/>
        <w:tc>
          <w:tcPr>
            <w:tcW w:w="7205" w:type="dxa"/>
            <w:tcBorders/>
            <w:shd w:fill="EEEEEE" w:val="clear"/>
            <w:vAlign w:val="center"/>
          </w:tcPr>
          <w:p>
            <w:pPr>
              <w:pStyle w:val="TableContents"/>
              <w:bidi w:val="0"/>
              <w:spacing w:before="0" w:after="283"/>
              <w:jc w:val="left"/>
              <w:rPr>
                <w:sz w:val="18"/>
              </w:rPr>
            </w:pPr>
            <w:r>
              <w:rPr>
                <w:sz w:val="18"/>
              </w:rPr>
              <w:t>Note receivable from sale of subsidiaries</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335" w:type="dxa"/>
            <w:tcBorders/>
            <w:shd w:fill="EEEEEE"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2,300,000</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12"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 Includes $330,011 cash presented in current assets held for sale on the consolidated balance sheet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5" w:name="q3_006"/>
      <w:bookmarkEnd w:id="285"/>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 and June 30, 2025 and for the Nine Months Ended 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6" w:name="xdx_80B_eus-gaap--OrganizationConsolidat"/>
      <w:bookmarkEnd w:id="286"/>
      <w:r>
        <w:rPr>
          <w:rFonts w:ascii="Times New Roman;Times;Serif" w:hAnsi="Times New Roman;Times;Serif"/>
          <w:b/>
          <w:i w:val="false"/>
          <w:caps w:val="false"/>
          <w:smallCaps w:val="false"/>
          <w:sz w:val="20"/>
        </w:rPr>
        <w:t xml:space="preserve">Note 1 - </w:t>
      </w:r>
      <w:bookmarkStart w:id="287" w:name="xdx_820_zZ4q94MQam3i"/>
      <w:bookmarkEnd w:id="287"/>
      <w:r>
        <w:rPr>
          <w:rFonts w:ascii="Times New Roman;Times;Serif" w:hAnsi="Times New Roman;Times;Serif"/>
          <w:b/>
          <w:i w:val="false"/>
          <w:caps w:val="false"/>
          <w:smallCaps w:val="false"/>
          <w:sz w:val="20"/>
        </w:rPr>
        <w:t>Nature of business and 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formerly known as BZRTH Inc., a Nevada corporation (the “Company”), was incorporated on April 11, 2018. The Company is principally engaged in the marketing and sale of consumer home, garden and other products and accessories mainly in North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2021, the Company acquired 100% of the equity ownership of its variable interest entity, E Marketing Solution Inc. (“E Marketing”), an entity incorporated in California and owned by one of the minority shareholders of the Company. As a result, E Marketing became the Company’s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2021, the Company acquired 100% of the equity ownership of its variable interest entity, Global Product Marketing Inc. (“GPM”), an entity which was incorporated in the State of Nevada on September 4, 2020, and was owned by Chenlong Tan, the Company’s Chairman, CEO, President and Interim CFO, and one of the majority shareholders of the Company. As a result, GPM became the Company’s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 See details at Note 3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entered into another joint venture agreement and formed a Nevada limited liability company, Global Social Media, LLC (“GSM”), for the principal purpose of creating a social media platform in order to provide content and services to assist businesses, including the Company and other businesses, in marketing their products. The Company owns 60% of the equity interest in GSM and controls its operations. See details at Note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(“DYRZ”), and Daheshou (Shenzhen) Information Technology Co., Ltd. (“DHS”). Anivia owns 100% of the equity of Fly Elephant Limited, which in turn owns 100% of the equity of DYRZ, a corporation located in the People’s Republic of China (“PRC”), which is a wholly foreign-owned enterprise (“WFOE”) of Fly Elephant Limited. The WFOE controls, through contractual arrangements summarized in Note 4 below, the business, revenues and profits of DHS, a company organized under the Laws of the PRC and located in Shenzhen, China. See details on Note 4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 2025, the Company entered into a joint venture agreement and formed a Nevada limited liability company, United Package NV, LLC (“United Package”), for the principal purpose of producing packaging materials to serve the rapidly growing demands of U.S. businesses seeking reliable, sustainable and cost-effective supply chain solutions without reliance on offshore manufacturing. The Company owns approximately </w:t>
      </w:r>
      <w:bookmarkStart w:id="288" w:name="xdx_90E_eus-gaap--EquityMethodInvestment"/>
      <w:bookmarkEnd w:id="288"/>
      <w:r>
        <w:rPr>
          <w:rFonts w:ascii="Times New Roman;Times;Serif" w:hAnsi="Times New Roman;Times;Serif"/>
          <w:b w:val="false"/>
          <w:i w:val="false"/>
          <w:caps w:val="false"/>
          <w:smallCaps w:val="false"/>
          <w:sz w:val="20"/>
        </w:rPr>
        <w:t>44% of the equity interest in United Package, retaining significant influence, but does not own a majority equity interest in or otherwise control United Package. See details on Note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executed an agreement (the “Restructuring Agreement”) with its subsidiaries to modify its corporate structure so that the Company’s consumer goods and logistics business be operated out of GPM. Pursuant to the Restructuring Agreement, the Company transferred its ownership in E Marketing and United Package to GPM. Execution of the Restructuring Agreement does not have any impact on the consolidated financial statements of the Company.</w:t>
      </w:r>
    </w:p>
    <w:p>
      <w:pPr>
        <w:pStyle w:val="TextBody"/>
        <w:bidi w:val="0"/>
        <w:spacing w:before="0" w:after="0"/>
        <w:ind w:left="0" w:right="0" w:hanging="0"/>
        <w:jc w:val="both"/>
        <w:rPr>
          <w:caps w:val="false"/>
          <w:smallCaps w:val="false"/>
        </w:rPr>
      </w:pPr>
      <w:bookmarkStart w:id="289" w:name="xdx_239_zwKjEil8f652"/>
      <w:bookmarkEnd w:id="289"/>
      <w:r>
        <w:rPr>
          <w:caps w:val="false"/>
          <w:smallCaps w:val="false"/>
        </w:rPr>
        <w:t> </w:t>
      </w:r>
    </w:p>
    <w:p>
      <w:pPr>
        <w:pStyle w:val="TextBody"/>
        <w:bidi w:val="0"/>
        <w:spacing w:before="0" w:after="0"/>
        <w:ind w:left="0" w:right="0" w:hanging="0"/>
        <w:jc w:val="both"/>
        <w:rPr>
          <w:caps w:val="false"/>
          <w:smallCaps w:val="false"/>
        </w:rPr>
      </w:pPr>
      <w:bookmarkStart w:id="290" w:name="xdx_239_z4pt17k6OD8h"/>
      <w:bookmarkEnd w:id="290"/>
      <w:r>
        <w:rPr>
          <w:caps w:val="false"/>
          <w:smallCaps w:val="false"/>
        </w:rPr>
        <w:t> </w:t>
      </w:r>
    </w:p>
    <w:p>
      <w:pPr>
        <w:pStyle w:val="TextBody"/>
        <w:bidi w:val="0"/>
        <w:spacing w:before="0" w:after="0"/>
        <w:ind w:left="0" w:right="0" w:hanging="0"/>
        <w:jc w:val="both"/>
        <w:rPr>
          <w:caps w:val="false"/>
          <w:smallCaps w:val="false"/>
        </w:rPr>
      </w:pPr>
      <w:bookmarkStart w:id="291" w:name="xdx_23F_z0V5gL2KHgEd"/>
      <w:bookmarkEnd w:id="291"/>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2025, the Company formed iPower Smart LLC, a Delaware limited liability company (‘Smart LLC”). Smart LLC is principally engaged in digital treasury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the Company formed iPower Nexus Inc., a Nevada corporation (‘Nexus”). Nexus is principally engaged in supply chain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stock purchase agreement (the “SPA”) with ETTS AI Investment LLC, a Nevada limited liability company (“ETTS AI”), pursuant to which the Company sold its equity interest in GPM and its underlying entities to ETTS AI in exchange for a $</w:t>
      </w:r>
      <w:bookmarkStart w:id="292" w:name="xdx_90D_eus-gaap--EquityMethodInvestment"/>
      <w:bookmarkEnd w:id="292"/>
      <w:r>
        <w:rPr>
          <w:rFonts w:ascii="Times New Roman;Times;Serif" w:hAnsi="Times New Roman;Times;Serif"/>
          <w:b w:val="false"/>
          <w:i w:val="false"/>
          <w:caps w:val="false"/>
          <w:smallCaps w:val="false"/>
          <w:sz w:val="20"/>
        </w:rPr>
        <w:t>2.3 million promissory note (the “Promissory Note”). See details on Note 5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3" w:name="xdx_801_eus-gaap--SignificantAccountingP"/>
      <w:bookmarkEnd w:id="293"/>
      <w:r>
        <w:rPr>
          <w:rFonts w:ascii="Times New Roman;Times;Serif" w:hAnsi="Times New Roman;Times;Serif"/>
          <w:b/>
          <w:i w:val="false"/>
          <w:caps w:val="false"/>
          <w:smallCaps w:val="false"/>
          <w:sz w:val="20"/>
        </w:rPr>
        <w:t xml:space="preserve">Note 2 – </w:t>
      </w:r>
      <w:bookmarkStart w:id="294" w:name="xdx_82E_zhHe5b5P1ae9"/>
      <w:bookmarkEnd w:id="294"/>
      <w:r>
        <w:rPr>
          <w:rFonts w:ascii="Times New Roman;Times;Serif" w:hAnsi="Times New Roman;Times;Serif"/>
          <w:b/>
          <w:i w:val="false"/>
          <w:caps w:val="false"/>
          <w:smallCaps w:val="false"/>
          <w:sz w:val="20"/>
        </w:rPr>
        <w:t>Basis of Presentation and Summary of significant accounting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95" w:name="xdx_865_z6MquH62Y9w5"/>
      <w:bookmarkStart w:id="296" w:name="xdx_84A_eus-gaap--BasisOfAccountingPolic"/>
      <w:bookmarkEnd w:id="295"/>
      <w:bookmarkEnd w:id="296"/>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accounts of the Company and its subsidiaries and VIE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2026, or for any other interim period or for any other future year.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sold its equity interest in GPM and its underlying entities. The transaction represents a strategic shift; therefore, the Company’s unaudited consolidated financial statements reflect the GPM financial results as discontinued operations for all periods presented. See details on Note 5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should be read in conjunction with the Company’s audited consolidated financial statements and the notes thereto included in the Annual Report for the year ended June 30, 2025, which are included in Form 10-K filed with the SEC on October 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97" w:name="xdx_861_zFO0UsfWJXui"/>
      <w:bookmarkStart w:id="298" w:name="xdx_846_eus-gaap--ConsolidationPolicyTex"/>
      <w:bookmarkEnd w:id="297"/>
      <w:bookmarkEnd w:id="298"/>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accounts of the Company and its subsidiaries, GSM, Smart LLC, Nexus, and Anivia Limited. All inter-company balances and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9" w:name="xdx_868_zcU2kKEvPtLh"/>
      <w:bookmarkStart w:id="300" w:name="xdx_844_ecustom--EmergingGrowthCompanySt"/>
      <w:bookmarkEnd w:id="299"/>
      <w:bookmarkEnd w:id="300"/>
      <w:r>
        <w:rPr>
          <w:rFonts w:ascii="Times New Roman;Times;Serif" w:hAnsi="Times New Roman;Times;Serif"/>
          <w:b w:val="false"/>
          <w:i w:val="false"/>
          <w:caps w:val="false"/>
          <w:smallCaps w:val="false"/>
          <w:sz w:val="20"/>
          <w:u w:val="single"/>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ind w:left="0" w:right="0" w:hanging="0"/>
        <w:jc w:val="both"/>
        <w:rPr>
          <w:caps w:val="false"/>
          <w:smallCaps w:val="false"/>
        </w:rPr>
      </w:pPr>
      <w:bookmarkStart w:id="301" w:name="xdx_239_zcKxkZwMjQfe"/>
      <w:bookmarkEnd w:id="301"/>
      <w:r>
        <w:rPr>
          <w:caps w:val="false"/>
          <w:smallCaps w:val="false"/>
        </w:rPr>
        <w:t> </w:t>
      </w:r>
    </w:p>
    <w:p>
      <w:pPr>
        <w:pStyle w:val="TextBody"/>
        <w:bidi w:val="0"/>
        <w:spacing w:before="0" w:after="0"/>
        <w:ind w:left="0" w:right="0" w:hanging="0"/>
        <w:jc w:val="both"/>
        <w:rPr>
          <w:caps w:val="false"/>
          <w:smallCaps w:val="false"/>
        </w:rPr>
      </w:pPr>
      <w:bookmarkStart w:id="302" w:name="xdx_232_zXbKVv8moelh"/>
      <w:bookmarkEnd w:id="302"/>
      <w:r>
        <w:rPr>
          <w:caps w:val="false"/>
          <w:smallCaps w:val="false"/>
        </w:rPr>
        <w:t> </w:t>
      </w:r>
    </w:p>
    <w:p>
      <w:pPr>
        <w:pStyle w:val="TextBody"/>
        <w:bidi w:val="0"/>
        <w:spacing w:before="0" w:after="0"/>
        <w:ind w:left="0" w:right="0" w:hanging="0"/>
        <w:jc w:val="both"/>
        <w:rPr>
          <w:caps w:val="false"/>
          <w:smallCaps w:val="false"/>
        </w:rPr>
      </w:pPr>
      <w:bookmarkStart w:id="303" w:name="xdx_233_zkXXqMkp6mS8"/>
      <w:bookmarkEnd w:id="30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04" w:name="xdx_865_zjqASpz0s3z6"/>
      <w:bookmarkStart w:id="305" w:name="xdx_844_eus-gaap--UseOfEstimates_zYAWjXy"/>
      <w:bookmarkEnd w:id="304"/>
      <w:bookmarkEnd w:id="305"/>
      <w:r>
        <w:rPr>
          <w:rFonts w:ascii="Times New Roman;Times;Serif" w:hAnsi="Times New Roman;Times;Serif"/>
          <w:b w:val="false"/>
          <w:i w:val="false"/>
          <w:caps w:val="false"/>
          <w:smallCaps w:val="false"/>
          <w:sz w:val="20"/>
          <w:u w:val="single"/>
        </w:rPr>
        <w:t>Use of estimates and assumptions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06" w:name="xdx_863_zsVV9jEiBPEg"/>
      <w:bookmarkStart w:id="307" w:name="xdx_84B_eus-gaap--ForeignCurrencyTransac"/>
      <w:bookmarkEnd w:id="306"/>
      <w:bookmarkEnd w:id="307"/>
      <w:r>
        <w:rPr>
          <w:rFonts w:ascii="Times New Roman;Times;Serif" w:hAnsi="Times New Roman;Times;Serif"/>
          <w:b w:val="false"/>
          <w:i w:val="false"/>
          <w:caps w:val="false"/>
          <w:smallCaps w:val="false"/>
          <w:sz w:val="20"/>
          <w:u w:val="single"/>
        </w:rPr>
        <w:t>Foreign currency translation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and functional currency of iPower and its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balance sheet amounts of the WFOE, with the exception of equity, on March 31, 2026, were translated at </w:t>
      </w:r>
      <w:bookmarkStart w:id="308" w:name="xdx_90F_eus-gaap--ForeignCurrencyExchang"/>
      <w:bookmarkEnd w:id="308"/>
      <w:r>
        <w:rPr>
          <w:rFonts w:ascii="Times New Roman;Times;Serif" w:hAnsi="Times New Roman;Times;Serif"/>
          <w:b w:val="false"/>
          <w:i w:val="false"/>
          <w:caps w:val="false"/>
          <w:smallCaps w:val="false"/>
          <w:sz w:val="20"/>
        </w:rPr>
        <w:t xml:space="preserve">6.8980 RMB to $1.00. The equity accounts were stated at their historical rates. The average translation rates applied to statements of operations and comprehensive income (loss) accounts for the nine months ended March 31, 2026 was </w:t>
      </w:r>
      <w:bookmarkStart w:id="309" w:name="xdx_90A_ecustom--ForeignCurrencyExchange"/>
      <w:bookmarkEnd w:id="309"/>
      <w:r>
        <w:rPr>
          <w:rFonts w:ascii="Times New Roman;Times;Serif" w:hAnsi="Times New Roman;Times;Serif"/>
          <w:b w:val="false"/>
          <w:i w:val="false"/>
          <w:caps w:val="false"/>
          <w:smallCaps w:val="false"/>
          <w:sz w:val="20"/>
        </w:rPr>
        <w:t>7.0577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10" w:name="xdx_863_z4tXUPUul1L4"/>
      <w:bookmarkStart w:id="311" w:name="xdx_84E_eus-gaap--CashAndCashEquivalents"/>
      <w:bookmarkEnd w:id="310"/>
      <w:bookmarkEnd w:id="311"/>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amounts held as cash on hand and financial institution and financial service company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maintain bank balances in interest bearing accounts in excess of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pStyle w:val="TextBody"/>
        <w:bidi w:val="0"/>
        <w:spacing w:before="0" w:after="0"/>
        <w:ind w:left="0" w:right="0" w:hanging="0"/>
        <w:jc w:val="both"/>
        <w:rPr>
          <w:caps w:val="false"/>
          <w:smallCaps w:val="false"/>
        </w:rPr>
      </w:pPr>
      <w:bookmarkStart w:id="312" w:name="xdx_239_zNSgCepHMyX7"/>
      <w:bookmarkEnd w:id="312"/>
      <w:r>
        <w:rPr>
          <w:caps w:val="false"/>
          <w:smallCaps w:val="false"/>
        </w:rPr>
        <w:t> </w:t>
      </w:r>
    </w:p>
    <w:p>
      <w:pPr>
        <w:pStyle w:val="TextBody"/>
        <w:bidi w:val="0"/>
        <w:spacing w:before="0" w:after="0"/>
        <w:ind w:left="0" w:right="0" w:hanging="0"/>
        <w:jc w:val="both"/>
        <w:rPr>
          <w:caps w:val="false"/>
          <w:smallCaps w:val="false"/>
        </w:rPr>
      </w:pPr>
      <w:bookmarkStart w:id="313" w:name="xdx_236_z7qSKSQ7avd6"/>
      <w:bookmarkEnd w:id="313"/>
      <w:r>
        <w:rPr>
          <w:caps w:val="false"/>
          <w:smallCaps w:val="false"/>
        </w:rPr>
        <w:t> </w:t>
      </w:r>
    </w:p>
    <w:p>
      <w:pPr>
        <w:pStyle w:val="TextBody"/>
        <w:bidi w:val="0"/>
        <w:spacing w:before="0" w:after="0"/>
        <w:ind w:left="0" w:right="0" w:hanging="0"/>
        <w:jc w:val="both"/>
        <w:rPr>
          <w:caps w:val="false"/>
          <w:smallCaps w:val="false"/>
        </w:rPr>
      </w:pPr>
      <w:bookmarkStart w:id="314" w:name="xdx_230_zUuyr9o560Hg"/>
      <w:bookmarkEnd w:id="314"/>
      <w:r>
        <w:rPr>
          <w:caps w:val="false"/>
          <w:smallCaps w:val="false"/>
        </w:rPr>
        <w:t> </w:t>
      </w:r>
    </w:p>
    <w:p>
      <w:pPr>
        <w:pStyle w:val="TextBody"/>
        <w:bidi w:val="0"/>
        <w:spacing w:before="0" w:after="0"/>
        <w:ind w:left="0" w:right="0" w:hanging="0"/>
        <w:jc w:val="both"/>
        <w:rPr>
          <w:caps w:val="false"/>
          <w:smallCaps w:val="false"/>
        </w:rPr>
      </w:pPr>
      <w:bookmarkStart w:id="315" w:name="xdx_230_zm1A3ND4TJV6"/>
      <w:bookmarkEnd w:id="31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6" w:name="xdx_869_zOu4zAt1KXXa"/>
      <w:bookmarkStart w:id="317" w:name="xdx_84A_eus-gaap--ReceivablesPolicyTextB"/>
      <w:bookmarkEnd w:id="316"/>
      <w:bookmarkEnd w:id="317"/>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and expected loss rate and status of negotiations with the sales channel partner, management reviews its accounts receivable balances each reporting period to determine if an allowance for credit loss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95"/>
        <w:gridCol w:w="74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fails to comply with its payment schedule;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is in serious financial difficulty;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significant dispute with the customer has occurred regarding job progress or other matters;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breaches any of its contractual obligations;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appears to be financially distressed due to economic or legal factors;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business between the customer and the Company is not active; or</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objective evidence indicates non-collectability of the accounts receivable.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its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8" w:name="xdx_866_zrQfs2Z7OkM2"/>
      <w:bookmarkStart w:id="319" w:name="xdx_845_eus-gaap--EquityMethodInvestment"/>
      <w:bookmarkEnd w:id="318"/>
      <w:bookmarkEnd w:id="319"/>
      <w:r>
        <w:rPr>
          <w:rFonts w:ascii="Times New Roman;Times;Serif" w:hAnsi="Times New Roman;Times;Serif"/>
          <w:b w:val="false"/>
          <w:i w:val="false"/>
          <w:caps w:val="false"/>
          <w:smallCaps w:val="false"/>
          <w:sz w:val="20"/>
          <w:u w:val="single"/>
        </w:rPr>
        <w:t xml:space="preserve">Equity method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ownership interest in Box Harmony, a </w:t>
      </w:r>
      <w:bookmarkStart w:id="320" w:name="xdx_905_eus-gaap--EquityMethodInvestment"/>
      <w:bookmarkEnd w:id="320"/>
      <w:r>
        <w:rPr>
          <w:rFonts w:ascii="Times New Roman;Times;Serif" w:hAnsi="Times New Roman;Times;Serif"/>
          <w:b w:val="false"/>
          <w:i w:val="false"/>
          <w:caps w:val="false"/>
          <w:smallCaps w:val="false"/>
          <w:sz w:val="20"/>
        </w:rPr>
        <w:t>40% owned joint venture, and United Package NV LLC, a 44%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the joint ventures’ statement of operations and a corresponding charge or credit to the carrying value of the asset.</w:t>
      </w:r>
    </w:p>
    <w:p>
      <w:pPr>
        <w:pStyle w:val="TextBody"/>
        <w:bidi w:val="0"/>
        <w:spacing w:before="0" w:after="0"/>
        <w:ind w:left="0" w:right="0" w:hanging="0"/>
        <w:jc w:val="both"/>
        <w:rPr>
          <w:caps w:val="false"/>
          <w:smallCaps w:val="false"/>
        </w:rPr>
      </w:pPr>
      <w:bookmarkStart w:id="321" w:name="xdx_23E_zwUb7A46qXI3"/>
      <w:bookmarkEnd w:id="321"/>
      <w:r>
        <w:rPr>
          <w:caps w:val="false"/>
          <w:smallCaps w:val="false"/>
        </w:rPr>
        <w:t> </w:t>
      </w:r>
    </w:p>
    <w:p>
      <w:pPr>
        <w:pStyle w:val="TextBody"/>
        <w:bidi w:val="0"/>
        <w:spacing w:before="0" w:after="0"/>
        <w:ind w:left="0" w:right="0" w:hanging="0"/>
        <w:jc w:val="both"/>
        <w:rPr>
          <w:caps w:val="false"/>
          <w:smallCaps w:val="false"/>
        </w:rPr>
      </w:pPr>
      <w:bookmarkStart w:id="322" w:name="xdx_239_zPECiviuiW35"/>
      <w:bookmarkEnd w:id="32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23" w:name="xdx_865_zVB2Up43UMkc"/>
      <w:bookmarkStart w:id="324" w:name="xdx_849_ecustom--DigitalAssetsPolicyText"/>
      <w:bookmarkEnd w:id="323"/>
      <w:bookmarkEnd w:id="324"/>
      <w:r>
        <w:rPr>
          <w:rFonts w:ascii="Times New Roman;Times;Serif" w:hAnsi="Times New Roman;Times;Serif"/>
          <w:b w:val="false"/>
          <w:i w:val="false"/>
          <w:caps w:val="false"/>
          <w:smallCaps w:val="false"/>
          <w:sz w:val="20"/>
          <w:u w:val="single"/>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digital assets, which, as of the date of this report, are comprised of Bitcoin (“BTC”) and Ethereum (“ETH”), as indefinite-lived intangible assets in accordance with Accounting Standards Codification (“ASC”) Topic 350-60, “Intangibles—Goodwill and Other—Crypto Assets.” The Company has ownership of and control over its digital assets and may use third-party custodial services to secure it. The Company’s digital assets are initially recorded at cost and are subsequently remeasured on the balance sheet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its digital assets on a recurring basis in accordance with ASC Topic 820, “Fair Value Measurement,” based on quoted prices on the active exchange that the Company has determined is its principal market for such digital assets (Level 1 inputs). The Company determines the cost basis of digital assets using the specific identification of each unit received. Realized and unrealized gains and losses from changes in the fair value of digital assets are recognized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25" w:name="xdx_86E_zTc8AOEOPDt1"/>
      <w:bookmarkStart w:id="326" w:name="xdx_840_eus-gaap--ConsolidationVariableI"/>
      <w:bookmarkEnd w:id="325"/>
      <w:bookmarkEnd w:id="326"/>
      <w:r>
        <w:rPr>
          <w:rFonts w:ascii="Times New Roman;Times;Serif" w:hAnsi="Times New Roman;Times;Serif"/>
          <w:b w:val="false"/>
          <w:i w:val="false"/>
          <w:caps w:val="false"/>
          <w:smallCaps w:val="false"/>
          <w:sz w:val="20"/>
          <w:u w:val="single"/>
        </w:rPr>
        <w:t>Variable interest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and its subsidiaries, including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2025, the Company entered into a Variable Interest Entity (“VIE”) Contract Termination Agreement with the VIE, pursuant to which all VIE agreements were terminated. As a result, the Company no longer has a controlling financial interest in the VIE. In accordance with ASC 810-10-40, </w:t>
      </w:r>
      <w:r>
        <w:rPr>
          <w:rFonts w:ascii="Times New Roman;Times;Serif" w:hAnsi="Times New Roman;Times;Serif"/>
          <w:b w:val="false"/>
          <w:i/>
          <w:caps w:val="false"/>
          <w:smallCaps w:val="false"/>
          <w:sz w:val="20"/>
        </w:rPr>
        <w:t>Consolidation — Deconsolidation of a Subsidiary or Derecognition of a Group of Assets</w:t>
      </w:r>
      <w:r>
        <w:rPr>
          <w:rFonts w:ascii="Times New Roman;Times;Serif" w:hAnsi="Times New Roman;Times;Serif"/>
          <w:b w:val="false"/>
          <w:i w:val="false"/>
          <w:caps w:val="false"/>
          <w:smallCaps w:val="false"/>
          <w:sz w:val="20"/>
        </w:rPr>
        <w:t>, the Company deconsolidated the VIE as of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deconsolidation, the Company derecognized all assets and liabilities of the VIE from its consolidated balance sheet. Because the Company retains no ownership interest or continuing involvement in the VIE following the termination of the agreements, no retained interest was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27" w:name="xdx_867_zofi6wsCKNQc"/>
      <w:bookmarkStart w:id="328" w:name="xdx_84A_eus-gaap--GoodwillAndIntangibleA"/>
      <w:bookmarkEnd w:id="327"/>
      <w:bookmarkEnd w:id="328"/>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purchase price over the fair value of assets acquired and liabilities assumed. The Company accounts for goodwill under </w:t>
      </w:r>
      <w:r>
        <w:rPr>
          <w:rFonts w:ascii="Times New Roman;Times;Serif" w:hAnsi="Times New Roman;Times;Serif"/>
          <w:b w:val="false"/>
          <w:i/>
          <w:caps w:val="false"/>
          <w:smallCaps w:val="false"/>
          <w:sz w:val="20"/>
        </w:rPr>
        <w:t>ASC Topic 350, Intangibles-Goodwill and Other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March 31, 2026, the Company performed a goodwill impairment analysis following the steps laid out in ASC 350 and concluded that the carrying value of goodwill was impaired, primarily due to a sustained decline in the Company’s share price and market capitalization. Accordingly, the Company recognized a full goodwill impairment charge during the period. As of March 31, 2026 and June 30, 2025, the goodwill balance amounted to $</w:t>
      </w:r>
      <w:bookmarkStart w:id="329" w:name="xdx_900_eus-gaap--Goodwill_iI_pp0p0_c202"/>
      <w:bookmarkEnd w:id="329"/>
      <w:r>
        <w:rPr>
          <w:rFonts w:ascii="Times New Roman;Times;Serif" w:hAnsi="Times New Roman;Times;Serif"/>
          <w:b w:val="false"/>
          <w:i w:val="false"/>
          <w:caps w:val="false"/>
          <w:smallCaps w:val="false"/>
          <w:sz w:val="20"/>
        </w:rPr>
        <w:t>0 and $</w:t>
      </w:r>
      <w:bookmarkStart w:id="330" w:name="xdx_909_eus-gaap--Goodwill_iI_pp0p0_c202"/>
      <w:bookmarkEnd w:id="330"/>
      <w:r>
        <w:rPr>
          <w:rFonts w:ascii="Times New Roman;Times;Serif" w:hAnsi="Times New Roman;Times;Serif"/>
          <w:b w:val="false"/>
          <w:i w:val="false"/>
          <w:caps w:val="false"/>
          <w:smallCaps w:val="false"/>
          <w:sz w:val="20"/>
        </w:rPr>
        <w:t>3,034,110,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31" w:name="xdx_238_zHKQDh3mlBT2"/>
      <w:bookmarkEnd w:id="331"/>
      <w:r>
        <w:rPr>
          <w:caps w:val="false"/>
          <w:smallCaps w:val="false"/>
        </w:rPr>
        <w:t> </w:t>
      </w:r>
    </w:p>
    <w:p>
      <w:pPr>
        <w:pStyle w:val="TextBody"/>
        <w:bidi w:val="0"/>
        <w:spacing w:before="0" w:after="0"/>
        <w:ind w:left="0" w:right="0" w:hanging="0"/>
        <w:jc w:val="both"/>
        <w:rPr>
          <w:caps w:val="false"/>
          <w:smallCaps w:val="false"/>
        </w:rPr>
      </w:pPr>
      <w:bookmarkStart w:id="332" w:name="xdx_23A_zEry8eC0jhub"/>
      <w:bookmarkEnd w:id="33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33" w:name="xdx_232_zmoD4ieLuUGb"/>
      <w:bookmarkEnd w:id="33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34" w:name="xdx_864_zKvE6alFTZBj"/>
      <w:bookmarkStart w:id="335" w:name="xdx_840_eus-gaap--IntangibleAssetsFinite"/>
      <w:bookmarkEnd w:id="334"/>
      <w:bookmarkEnd w:id="335"/>
      <w:r>
        <w:rPr>
          <w:rFonts w:ascii="Times New Roman;Times;Serif" w:hAnsi="Times New Roman;Times;Serif"/>
          <w:b w:val="false"/>
          <w:i w:val="false"/>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Finite life intangible assets at March 31, 2026 included a covenant not to compete, a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pStyle w:val="Normal"/>
        <w:bidi w:val="0"/>
        <w:spacing w:before="0" w:after="0"/>
        <w:jc w:val="left"/>
        <w:rPr>
          <w:sz w:val="4"/>
          <w:szCs w:val="4"/>
        </w:rPr>
      </w:pPr>
      <w:r>
        <w:rPr>
          <w:sz w:val="4"/>
          <w:szCs w:val="4"/>
        </w:rPr>
      </w:r>
      <w:bookmarkStart w:id="336" w:name="xdx_89E_ecustom--ScheduleOfIntangibleAss"/>
      <w:bookmarkStart w:id="337" w:name="xdx_89E_ecustom--ScheduleOfIntangibleAss"/>
      <w:bookmarkEnd w:id="337"/>
    </w:p>
    <w:tbl>
      <w:tblPr>
        <w:tblW w:w="4105" w:type="dxa"/>
        <w:jc w:val="left"/>
        <w:tblInd w:w="0" w:type="dxa"/>
        <w:shd w:fill="FFFFFF" w:val="clear"/>
        <w:tblLayout w:type="fixed"/>
        <w:tblCellMar>
          <w:top w:w="0" w:type="dxa"/>
          <w:left w:w="0" w:type="dxa"/>
          <w:bottom w:w="0" w:type="dxa"/>
          <w:right w:w="0" w:type="dxa"/>
        </w:tblCellMar>
      </w:tblPr>
      <w:tblGrid>
        <w:gridCol w:w="3095"/>
        <w:gridCol w:w="60"/>
        <w:gridCol w:w="950"/>
      </w:tblGrid>
      <w:tr>
        <w:trPr/>
        <w:tc>
          <w:tcPr>
            <w:tcW w:w="3095" w:type="dxa"/>
            <w:tcBorders/>
            <w:shd w:fill="FFFFFF" w:val="clear"/>
            <w:vAlign w:val="center"/>
          </w:tcPr>
          <w:p>
            <w:pPr>
              <w:pStyle w:val="TableContents"/>
              <w:bidi w:val="0"/>
              <w:spacing w:before="0" w:after="283"/>
              <w:jc w:val="left"/>
              <w:rPr/>
            </w:pPr>
            <w:bookmarkStart w:id="338" w:name="xdx_8BD_zAtP5XUJFufc"/>
            <w:bookmarkEnd w:id="338"/>
            <w:r>
              <w:rPr/>
              <w:t>Schedule of estimated useful life</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Life</w:t>
            </w:r>
          </w:p>
        </w:tc>
      </w:tr>
      <w:tr>
        <w:trPr/>
        <w:tc>
          <w:tcPr>
            <w:tcW w:w="309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Not to Compete</w:t>
            </w:r>
          </w:p>
        </w:tc>
        <w:tc>
          <w:tcPr>
            <w:tcW w:w="60"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center"/>
              <w:rPr>
                <w:rFonts w:ascii="Times New Roman;Times;Serif" w:hAnsi="Times New Roman;Times;Serif"/>
                <w:sz w:val="20"/>
              </w:rPr>
            </w:pPr>
            <w:bookmarkStart w:id="339" w:name="xdx_90C_eus-gaap--FiniteLivedIntangibleA"/>
            <w:bookmarkEnd w:id="339"/>
            <w:r>
              <w:rPr>
                <w:rFonts w:ascii="Times New Roman;Times;Serif" w:hAnsi="Times New Roman;Times;Serif"/>
                <w:sz w:val="20"/>
              </w:rPr>
              <w:t>10 years</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 relationship</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bookmarkStart w:id="340" w:name="xdx_907_eus-gaap--FiniteLivedIntangibleA"/>
            <w:bookmarkEnd w:id="340"/>
            <w:r>
              <w:rPr>
                <w:rFonts w:ascii="Times New Roman;Times;Serif" w:hAnsi="Times New Roman;Times;Serif"/>
                <w:sz w:val="20"/>
              </w:rPr>
              <w:t>6 years</w:t>
            </w:r>
          </w:p>
        </w:tc>
      </w:tr>
      <w:tr>
        <w:trPr/>
        <w:tc>
          <w:tcPr>
            <w:tcW w:w="309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Software</w:t>
            </w:r>
          </w:p>
        </w:tc>
        <w:tc>
          <w:tcPr>
            <w:tcW w:w="60"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center"/>
              <w:rPr>
                <w:rFonts w:ascii="Times New Roman;Times;Serif" w:hAnsi="Times New Roman;Times;Serif"/>
                <w:sz w:val="20"/>
              </w:rPr>
            </w:pPr>
            <w:bookmarkStart w:id="341" w:name="xdx_906_eus-gaap--FiniteLivedIntangibleA"/>
            <w:bookmarkEnd w:id="341"/>
            <w:r>
              <w:rPr>
                <w:rFonts w:ascii="Times New Roman;Times;Serif" w:hAnsi="Times New Roman;Times;Serif"/>
                <w:sz w:val="20"/>
              </w:rPr>
              <w:t>5 years</w:t>
            </w:r>
          </w:p>
        </w:tc>
      </w:tr>
    </w:tbl>
    <w:p>
      <w:pPr>
        <w:pStyle w:val="TextBody"/>
        <w:bidi w:val="0"/>
        <w:spacing w:before="0" w:after="0"/>
        <w:ind w:left="0" w:right="0" w:hanging="0"/>
        <w:jc w:val="both"/>
        <w:rPr>
          <w:caps w:val="false"/>
          <w:smallCaps w:val="false"/>
        </w:rPr>
      </w:pPr>
      <w:bookmarkStart w:id="342" w:name="xdx_8A7_zAAK3e41op84"/>
      <w:bookmarkEnd w:id="34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The Company did </w:t>
      </w:r>
      <w:bookmarkStart w:id="343" w:name="xdx_906_eus-gaap--ImpairmentOfIntangible"/>
      <w:bookmarkStart w:id="344" w:name="xdx_900_eus-gaap--ImpairmentOfIntangible"/>
      <w:bookmarkEnd w:id="343"/>
      <w:bookmarkEnd w:id="344"/>
      <w:r>
        <w:rPr>
          <w:rFonts w:ascii="Times New Roman;Times;Serif" w:hAnsi="Times New Roman;Times;Serif"/>
          <w:b w:val="false"/>
          <w:i w:val="false"/>
          <w:caps w:val="false"/>
          <w:smallCaps w:val="false"/>
          <w:sz w:val="20"/>
        </w:rPr>
        <w:t>not record any impairment charge for the nine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45" w:name="xdx_865_zficH3UQk2w4"/>
      <w:bookmarkStart w:id="346" w:name="xdx_84D_eus-gaap--DerivativesEmbeddedDer"/>
      <w:bookmarkEnd w:id="345"/>
      <w:bookmarkEnd w:id="346"/>
      <w:r>
        <w:rPr>
          <w:rFonts w:ascii="Times New Roman;Times;Serif" w:hAnsi="Times New Roman;Times;Serif"/>
          <w:b w:val="false"/>
          <w:i w:val="false"/>
          <w:caps w:val="false"/>
          <w:smallCaps w:val="false"/>
          <w:sz w:val="20"/>
          <w:u w:val="single"/>
        </w:rPr>
        <w:t>Embedded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embedded features of its financial instruments, including its convertible notes payable in accordance with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Certain conversion options and redemption features are required to be bifurcated from their host instrument and accounted for as free-standing derivative financial instruments should certain criteria be met. The Company applies significant judgment to identify and evaluate complex terms and conditions for its financial instruments to determine whether such instruments are derivatives or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and the features of the derivatives. Bifurcated embedded derivatives are recognized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roll-forward of changes for financial instruments measured at fair value on a recurring basis for the nine months ended March 31, 2026: </w:t>
      </w:r>
    </w:p>
    <w:p>
      <w:pPr>
        <w:pStyle w:val="Normal"/>
        <w:bidi w:val="0"/>
        <w:spacing w:before="0" w:after="0"/>
        <w:jc w:val="left"/>
        <w:rPr>
          <w:sz w:val="4"/>
          <w:szCs w:val="4"/>
        </w:rPr>
      </w:pPr>
      <w:r>
        <w:rPr>
          <w:sz w:val="4"/>
          <w:szCs w:val="4"/>
        </w:rPr>
      </w:r>
      <w:bookmarkStart w:id="347" w:name="xdx_890_eus-gaap--FairValueLiabilitiesMe"/>
      <w:bookmarkStart w:id="348" w:name="xdx_890_eus-gaap--FairValueLiabilitiesMe"/>
      <w:bookmarkEnd w:id="348"/>
    </w:p>
    <w:tbl>
      <w:tblPr>
        <w:tblW w:w="9185" w:type="dxa"/>
        <w:jc w:val="left"/>
        <w:tblInd w:w="0" w:type="dxa"/>
        <w:tblLayout w:type="fixed"/>
        <w:tblCellMar>
          <w:top w:w="0" w:type="dxa"/>
          <w:left w:w="0" w:type="dxa"/>
          <w:bottom w:w="0" w:type="dxa"/>
          <w:right w:w="0" w:type="dxa"/>
        </w:tblCellMar>
      </w:tblPr>
      <w:tblGrid>
        <w:gridCol w:w="7895"/>
        <w:gridCol w:w="60"/>
        <w:gridCol w:w="140"/>
        <w:gridCol w:w="980"/>
        <w:gridCol w:w="110"/>
      </w:tblGrid>
      <w:tr>
        <w:trPr/>
        <w:tc>
          <w:tcPr>
            <w:tcW w:w="7895" w:type="dxa"/>
            <w:tcBorders/>
            <w:vAlign w:val="center"/>
          </w:tcPr>
          <w:p>
            <w:pPr>
              <w:pStyle w:val="TableContents"/>
              <w:bidi w:val="0"/>
              <w:spacing w:before="0" w:after="283"/>
              <w:jc w:val="left"/>
              <w:rPr/>
            </w:pPr>
            <w:bookmarkStart w:id="349" w:name="xdx_8B9_zY4eigKsnoF4"/>
            <w:bookmarkEnd w:id="349"/>
            <w:r>
              <w:rPr/>
              <w:t>Schedule of roll forward of changes for financial instruments measured at fair value</w:t>
            </w:r>
          </w:p>
        </w:tc>
        <w:tc>
          <w:tcPr>
            <w:tcW w:w="60" w:type="dxa"/>
            <w:tcBorders/>
            <w:vAlign w:val="center"/>
          </w:tcPr>
          <w:p>
            <w:pPr>
              <w:pStyle w:val="TableContents"/>
              <w:bidi w:val="0"/>
              <w:spacing w:before="0" w:after="283"/>
              <w:jc w:val="left"/>
              <w:rPr/>
            </w:pPr>
            <w:r>
              <w:rPr/>
              <w:t> </w:t>
            </w:r>
          </w:p>
        </w:tc>
        <w:tc>
          <w:tcPr>
            <w:tcW w:w="1230" w:type="dxa"/>
            <w:gridSpan w:val="3"/>
            <w:tcBorders/>
            <w:vAlign w:val="center"/>
          </w:tcPr>
          <w:p>
            <w:pPr>
              <w:pStyle w:val="TableContents"/>
              <w:bidi w:val="0"/>
              <w:spacing w:before="0" w:after="283"/>
              <w:jc w:val="right"/>
              <w:rPr/>
            </w:pPr>
            <w:r>
              <w:rPr/>
              <w:t> </w:t>
            </w:r>
          </w:p>
        </w:tc>
      </w:tr>
      <w:tr>
        <w:trPr/>
        <w:tc>
          <w:tcPr>
            <w:tcW w:w="7895" w:type="dxa"/>
            <w:tcBorders/>
            <w:vAlign w:val="center"/>
          </w:tcPr>
          <w:p>
            <w:pPr>
              <w:pStyle w:val="TableContents"/>
              <w:bidi w:val="0"/>
              <w:spacing w:before="0" w:after="283"/>
              <w:jc w:val="left"/>
              <w:rPr/>
            </w:pPr>
            <w:r>
              <w:rPr/>
              <w:t>Derivative Liability</w:t>
            </w:r>
          </w:p>
        </w:tc>
        <w:tc>
          <w:tcPr>
            <w:tcW w:w="60" w:type="dxa"/>
            <w:tcBorders/>
            <w:vAlign w:val="center"/>
          </w:tcPr>
          <w:p>
            <w:pPr>
              <w:pStyle w:val="TableContents"/>
              <w:bidi w:val="0"/>
              <w:spacing w:before="0" w:after="283"/>
              <w:jc w:val="left"/>
              <w:rPr/>
            </w:pPr>
            <w:r>
              <w:rPr/>
              <w:t> </w:t>
            </w:r>
          </w:p>
        </w:tc>
        <w:tc>
          <w:tcPr>
            <w:tcW w:w="1230" w:type="dxa"/>
            <w:gridSpan w:val="3"/>
            <w:tcBorders>
              <w:bottom w:val="single" w:sz="8" w:space="0" w:color="000000"/>
            </w:tcBorders>
            <w:tcMar>
              <w:bottom w:w="28" w:type="dxa"/>
            </w:tcMar>
            <w:vAlign w:val="center"/>
          </w:tcPr>
          <w:p>
            <w:pPr>
              <w:pStyle w:val="TableContents"/>
              <w:bidi w:val="0"/>
              <w:spacing w:before="0" w:after="283"/>
              <w:jc w:val="center"/>
              <w:rPr/>
            </w:pPr>
            <w:r>
              <w:rPr/>
              <w:t>Amount</w:t>
            </w:r>
          </w:p>
        </w:tc>
      </w:tr>
      <w:tr>
        <w:trPr/>
        <w:tc>
          <w:tcPr>
            <w:tcW w:w="7895" w:type="dxa"/>
            <w:tcBorders/>
            <w:shd w:fill="EEEEEE" w:val="clear"/>
            <w:vAlign w:val="center"/>
          </w:tcPr>
          <w:p>
            <w:pPr>
              <w:pStyle w:val="TableContents"/>
              <w:bidi w:val="0"/>
              <w:spacing w:before="0" w:after="283"/>
              <w:jc w:val="left"/>
              <w:rPr/>
            </w:pPr>
            <w:r>
              <w:rPr/>
              <w:t>Balance as of June 30, 2025</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350" w:name="xdx_98D_eus-gaap--DerivativeLiabilitiesC"/>
            <w:bookmarkEnd w:id="350"/>
          </w:p>
        </w:tc>
        <w:tc>
          <w:tcPr>
            <w:tcW w:w="98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283"/>
              <w:jc w:val="left"/>
              <w:rPr/>
            </w:pPr>
            <w:r>
              <w:rPr/>
              <w:t>Initial fair value upon issuance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51" w:name="xdx_981_ecustom--InitialFairValueUponIss"/>
            <w:bookmarkEnd w:id="351"/>
          </w:p>
        </w:tc>
        <w:tc>
          <w:tcPr>
            <w:tcW w:w="980" w:type="dxa"/>
            <w:tcBorders/>
            <w:shd w:fill="FFFFFF" w:val="clear"/>
            <w:vAlign w:val="center"/>
          </w:tcPr>
          <w:p>
            <w:pPr>
              <w:pStyle w:val="TableContents"/>
              <w:bidi w:val="0"/>
              <w:spacing w:before="0" w:after="283"/>
              <w:jc w:val="right"/>
              <w:rPr/>
            </w:pPr>
            <w:r>
              <w:rPr/>
              <w:t>1,999,600</w:t>
            </w:r>
          </w:p>
        </w:tc>
        <w:tc>
          <w:tcPr>
            <w:tcW w:w="110" w:type="dxa"/>
            <w:tcBorders/>
            <w:shd w:fill="FFFFFF" w:val="clear"/>
            <w:vAlign w:val="center"/>
          </w:tcPr>
          <w:p>
            <w:pPr>
              <w:pStyle w:val="TableContents"/>
              <w:bidi w:val="0"/>
              <w:spacing w:before="0" w:after="283"/>
              <w:jc w:val="left"/>
              <w:rPr/>
            </w:pPr>
            <w:r>
              <w:rPr/>
              <w:t> </w:t>
            </w:r>
          </w:p>
        </w:tc>
      </w:tr>
      <w:tr>
        <w:trPr/>
        <w:tc>
          <w:tcPr>
            <w:tcW w:w="7895" w:type="dxa"/>
            <w:tcBorders/>
            <w:shd w:fill="EEEEEE" w:val="clear"/>
            <w:vAlign w:val="center"/>
          </w:tcPr>
          <w:p>
            <w:pPr>
              <w:pStyle w:val="TableContents"/>
              <w:bidi w:val="0"/>
              <w:spacing w:before="0" w:after="283"/>
              <w:jc w:val="left"/>
              <w:rPr/>
            </w:pPr>
            <w:r>
              <w:rPr/>
              <w:t>Extinguishment of derivative liability upon conversion of convertible notes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352" w:name="xdx_988_ecustom--ExtinguishmentOfDerivat"/>
            <w:bookmarkEnd w:id="352"/>
          </w:p>
        </w:tc>
        <w:tc>
          <w:tcPr>
            <w:tcW w:w="980" w:type="dxa"/>
            <w:tcBorders/>
            <w:shd w:fill="EEEEEE" w:val="clear"/>
            <w:vAlign w:val="center"/>
          </w:tcPr>
          <w:p>
            <w:pPr>
              <w:pStyle w:val="TableContents"/>
              <w:bidi w:val="0"/>
              <w:spacing w:before="0" w:after="283"/>
              <w:jc w:val="right"/>
              <w:rPr/>
            </w:pPr>
            <w:r>
              <w:rPr/>
              <w:t>(468,800</w:t>
            </w:r>
          </w:p>
        </w:tc>
        <w:tc>
          <w:tcPr>
            <w:tcW w:w="110" w:type="dxa"/>
            <w:tcBorders/>
            <w:shd w:fill="EEEEEE" w:val="clear"/>
            <w:vAlign w:val="center"/>
          </w:tcPr>
          <w:p>
            <w:pPr>
              <w:pStyle w:val="TableContents"/>
              <w:bidi w:val="0"/>
              <w:spacing w:before="0" w:after="283"/>
              <w:jc w:val="left"/>
              <w:rPr/>
            </w:pPr>
            <w:r>
              <w:rPr/>
              <w:t>)</w:t>
            </w:r>
          </w:p>
        </w:tc>
      </w:tr>
      <w:tr>
        <w:trPr/>
        <w:tc>
          <w:tcPr>
            <w:tcW w:w="7895" w:type="dxa"/>
            <w:tcBorders/>
            <w:shd w:fill="FFFFFF" w:val="clear"/>
            <w:vAlign w:val="center"/>
          </w:tcPr>
          <w:p>
            <w:pPr>
              <w:pStyle w:val="TableContents"/>
              <w:bidi w:val="0"/>
              <w:spacing w:before="0" w:after="283"/>
              <w:jc w:val="left"/>
              <w:rPr/>
            </w:pPr>
            <w:r>
              <w:rPr/>
              <w:t>Gain on 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53" w:name="xdx_98D_eus-gaap--DerivativeGainLossOnDe"/>
            <w:bookmarkEnd w:id="353"/>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(266,200</w:t>
            </w:r>
          </w:p>
        </w:tc>
        <w:tc>
          <w:tcPr>
            <w:tcW w:w="110" w:type="dxa"/>
            <w:tcBorders/>
            <w:shd w:fill="FFFFFF" w:val="clear"/>
            <w:vAlign w:val="center"/>
          </w:tcPr>
          <w:p>
            <w:pPr>
              <w:pStyle w:val="TableContents"/>
              <w:bidi w:val="0"/>
              <w:spacing w:before="0" w:after="283"/>
              <w:jc w:val="left"/>
              <w:rPr/>
            </w:pPr>
            <w:r>
              <w:rPr/>
              <w:t>)</w:t>
            </w:r>
          </w:p>
        </w:tc>
      </w:tr>
      <w:tr>
        <w:trPr/>
        <w:tc>
          <w:tcPr>
            <w:tcW w:w="7895" w:type="dxa"/>
            <w:tcBorders/>
            <w:shd w:fill="EEEEEE" w:val="clear"/>
            <w:vAlign w:val="center"/>
          </w:tcPr>
          <w:p>
            <w:pPr>
              <w:pStyle w:val="TableContents"/>
              <w:bidi w:val="0"/>
              <w:spacing w:before="0" w:after="283"/>
              <w:jc w:val="left"/>
              <w:rPr/>
            </w:pPr>
            <w:r>
              <w:rPr/>
              <w:t>Balance as of March 31, 2026</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54" w:name="xdx_988_eus-gaap--DerivativeLiabilitiesC"/>
            <w:bookmarkEnd w:id="354"/>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1,264,600</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5" w:name="xdx_8A0_zW0iRs6YgStl"/>
      <w:bookmarkEnd w:id="355"/>
      <w:r>
        <w:rPr>
          <w:caps w:val="false"/>
          <w:smallCaps w:val="false"/>
        </w:rPr>
        <w:t> </w:t>
      </w:r>
    </w:p>
    <w:p>
      <w:pPr>
        <w:pStyle w:val="TextBody"/>
        <w:bidi w:val="0"/>
        <w:spacing w:before="0" w:after="0"/>
        <w:ind w:left="0" w:right="0" w:hanging="0"/>
        <w:jc w:val="both"/>
        <w:rPr>
          <w:caps w:val="false"/>
          <w:smallCaps w:val="false"/>
        </w:rPr>
      </w:pPr>
      <w:bookmarkStart w:id="356" w:name="xdx_23F_zIkUAkJzEysg"/>
      <w:bookmarkEnd w:id="356"/>
      <w:r>
        <w:rPr>
          <w:caps w:val="false"/>
          <w:smallCaps w:val="false"/>
        </w:rPr>
        <w:t> </w:t>
      </w:r>
    </w:p>
    <w:p>
      <w:pPr>
        <w:pStyle w:val="TextBody"/>
        <w:bidi w:val="0"/>
        <w:spacing w:before="0" w:after="0"/>
        <w:ind w:left="0" w:right="0" w:hanging="0"/>
        <w:jc w:val="both"/>
        <w:rPr>
          <w:caps w:val="false"/>
          <w:smallCaps w:val="false"/>
        </w:rPr>
      </w:pPr>
      <w:bookmarkStart w:id="357" w:name="xdx_236_z8LYjkrJDhU2"/>
      <w:bookmarkEnd w:id="357"/>
      <w:r>
        <w:rPr>
          <w:caps w:val="false"/>
          <w:smallCaps w:val="false"/>
        </w:rPr>
        <w:t> </w:t>
      </w:r>
    </w:p>
    <w:p>
      <w:pPr>
        <w:pStyle w:val="TextBody"/>
        <w:bidi w:val="0"/>
        <w:spacing w:before="0" w:after="0"/>
        <w:ind w:left="0" w:right="0" w:hanging="0"/>
        <w:jc w:val="both"/>
        <w:rPr>
          <w:caps w:val="false"/>
          <w:smallCaps w:val="false"/>
        </w:rPr>
      </w:pPr>
      <w:bookmarkStart w:id="358" w:name="xdx_239_zw27UpjEKX75"/>
      <w:bookmarkEnd w:id="358"/>
      <w:r>
        <w:rPr>
          <w:caps w:val="false"/>
          <w:smallCaps w:val="false"/>
        </w:rPr>
        <w:t> </w:t>
      </w:r>
    </w:p>
    <w:p>
      <w:pPr>
        <w:pStyle w:val="TextBody"/>
        <w:bidi w:val="0"/>
        <w:spacing w:before="0" w:after="0"/>
        <w:ind w:left="0" w:right="0" w:hanging="0"/>
        <w:jc w:val="both"/>
        <w:rPr>
          <w:caps w:val="false"/>
          <w:smallCaps w:val="false"/>
        </w:rPr>
      </w:pPr>
      <w:bookmarkStart w:id="359" w:name="xdx_23D_zkCi9n6caYXa"/>
      <w:bookmarkEnd w:id="35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60" w:name="xdx_869_zW1ITyxicRCl"/>
      <w:bookmarkStart w:id="361" w:name="xdx_842_eus-gaap--FairValueOfFinancialIn"/>
      <w:bookmarkEnd w:id="360"/>
      <w:bookmarkEnd w:id="361"/>
      <w:r>
        <w:rPr>
          <w:rFonts w:ascii="Times New Roman;Times;Serif" w:hAnsi="Times New Roman;Times;Serif"/>
          <w:b w:val="false"/>
          <w:i w:val="false"/>
          <w:caps w:val="false"/>
          <w:smallCaps w:val="false"/>
          <w:sz w:val="20"/>
          <w:u w:val="single"/>
        </w:rPr>
        <w:t xml:space="preserve">Fair values of financial instruments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and cash equivalents, accounts receivable, accounts payable and all other current assets and liabilities approximate fair values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unadjusted, quoted prices in active markets for identical assets or liabilities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significant to the measurement of the fair value of the assets or liabilities that are supported by little or no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non-financial assets on a non-recurring basis, including goodwill. As a result of those measurements, as of March 31, 2026 and June 30, 2025, the Company had goodwill with a carry book value of $0 and $3,034,110, respectively, which approximated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financial instruments measured on a recurring basis as of March 31, 2026 consisted of the following:</w:t>
      </w:r>
    </w:p>
    <w:p>
      <w:pPr>
        <w:pStyle w:val="Normal"/>
        <w:bidi w:val="0"/>
        <w:spacing w:before="0" w:after="0"/>
        <w:jc w:val="left"/>
        <w:rPr>
          <w:sz w:val="4"/>
          <w:szCs w:val="4"/>
        </w:rPr>
      </w:pPr>
      <w:r>
        <w:rPr>
          <w:sz w:val="4"/>
          <w:szCs w:val="4"/>
        </w:rPr>
      </w:r>
      <w:bookmarkStart w:id="362" w:name="xdx_89E_eus-gaap--FairValueLiabilitiesMe"/>
      <w:bookmarkStart w:id="363" w:name="xdx_89E_eus-gaap--FairValueLiabilitiesMe"/>
      <w:bookmarkEnd w:id="363"/>
    </w:p>
    <w:tbl>
      <w:tblPr>
        <w:tblW w:w="10205" w:type="dxa"/>
        <w:jc w:val="left"/>
        <w:tblInd w:w="0" w:type="dxa"/>
        <w:tblLayout w:type="fixed"/>
        <w:tblCellMar>
          <w:top w:w="0" w:type="dxa"/>
          <w:left w:w="0" w:type="dxa"/>
          <w:bottom w:w="0" w:type="dxa"/>
          <w:right w:w="0" w:type="dxa"/>
        </w:tblCellMar>
      </w:tblPr>
      <w:tblGrid>
        <w:gridCol w:w="4867"/>
        <w:gridCol w:w="60"/>
        <w:gridCol w:w="206"/>
        <w:gridCol w:w="1453"/>
        <w:gridCol w:w="88"/>
        <w:gridCol w:w="88"/>
        <w:gridCol w:w="306"/>
        <w:gridCol w:w="306"/>
        <w:gridCol w:w="133"/>
        <w:gridCol w:w="88"/>
        <w:gridCol w:w="306"/>
        <w:gridCol w:w="306"/>
        <w:gridCol w:w="133"/>
        <w:gridCol w:w="88"/>
        <w:gridCol w:w="206"/>
        <w:gridCol w:w="1453"/>
        <w:gridCol w:w="118"/>
      </w:tblGrid>
      <w:tr>
        <w:trPr/>
        <w:tc>
          <w:tcPr>
            <w:tcW w:w="4867" w:type="dxa"/>
            <w:tcBorders/>
            <w:vAlign w:val="center"/>
          </w:tcPr>
          <w:p>
            <w:pPr>
              <w:pStyle w:val="TableContents"/>
              <w:bidi w:val="0"/>
              <w:spacing w:before="0" w:after="283"/>
              <w:jc w:val="left"/>
              <w:rPr/>
            </w:pPr>
            <w:bookmarkStart w:id="364" w:name="xdx_8B2_za5QRDXDNuR8"/>
            <w:bookmarkEnd w:id="364"/>
            <w:r>
              <w:rPr/>
              <w:t>Schedule of fair value of financial derivative liability</w:t>
            </w:r>
          </w:p>
        </w:tc>
        <w:tc>
          <w:tcPr>
            <w:tcW w:w="60" w:type="dxa"/>
            <w:tcBorders/>
            <w:vAlign w:val="center"/>
          </w:tcPr>
          <w:p>
            <w:pPr>
              <w:pStyle w:val="TableContents"/>
              <w:bidi w:val="0"/>
              <w:spacing w:before="0" w:after="283"/>
              <w:jc w:val="left"/>
              <w:rPr/>
            </w:pPr>
            <w:r>
              <w:rPr/>
              <w:t> </w:t>
            </w:r>
          </w:p>
        </w:tc>
        <w:tc>
          <w:tcPr>
            <w:tcW w:w="1747" w:type="dxa"/>
            <w:gridSpan w:val="3"/>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745" w:type="dxa"/>
            <w:gridSpan w:val="3"/>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745" w:type="dxa"/>
            <w:gridSpan w:val="3"/>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7" w:type="dxa"/>
            <w:gridSpan w:val="3"/>
            <w:tcBorders/>
            <w:vAlign w:val="center"/>
          </w:tcPr>
          <w:p>
            <w:pPr>
              <w:pStyle w:val="TableContents"/>
              <w:bidi w:val="0"/>
              <w:spacing w:before="0" w:after="283"/>
              <w:jc w:val="right"/>
              <w:rPr/>
            </w:pPr>
            <w:r>
              <w:rPr/>
              <w:t> </w:t>
            </w:r>
          </w:p>
        </w:tc>
      </w:tr>
      <w:tr>
        <w:trPr/>
        <w:tc>
          <w:tcPr>
            <w:tcW w:w="48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8" w:type="dxa"/>
            <w:gridSpan w:val="15"/>
            <w:tcBorders>
              <w:bottom w:val="single" w:sz="8" w:space="0" w:color="000000"/>
            </w:tcBorders>
            <w:tcMar>
              <w:bottom w:w="28" w:type="dxa"/>
            </w:tcMar>
            <w:vAlign w:val="center"/>
          </w:tcPr>
          <w:p>
            <w:pPr>
              <w:pStyle w:val="TableContents"/>
              <w:bidi w:val="0"/>
              <w:spacing w:before="0" w:after="283"/>
              <w:jc w:val="center"/>
              <w:rPr>
                <w:b/>
              </w:rPr>
            </w:pPr>
            <w:r>
              <w:rPr>
                <w:b/>
              </w:rPr>
              <w:t>Fair Value Measurements as of March 31, 2026</w:t>
            </w:r>
          </w:p>
        </w:tc>
      </w:tr>
      <w:tr>
        <w:trPr/>
        <w:tc>
          <w:tcPr>
            <w:tcW w:w="48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Total Fair </w:t>
              <w:br/>
              <w:t>Value</w:t>
            </w:r>
          </w:p>
        </w:tc>
        <w:tc>
          <w:tcPr>
            <w:tcW w:w="88" w:type="dxa"/>
            <w:tcBorders/>
            <w:vAlign w:val="center"/>
          </w:tcPr>
          <w:p>
            <w:pPr>
              <w:pStyle w:val="TableContents"/>
              <w:bidi w:val="0"/>
              <w:spacing w:before="0" w:after="283"/>
              <w:jc w:val="left"/>
              <w:rPr/>
            </w:pPr>
            <w:r>
              <w:rPr/>
              <w:t> </w:t>
            </w:r>
          </w:p>
        </w:tc>
        <w:tc>
          <w:tcPr>
            <w:tcW w:w="7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88" w:type="dxa"/>
            <w:tcBorders/>
            <w:vAlign w:val="center"/>
          </w:tcPr>
          <w:p>
            <w:pPr>
              <w:pStyle w:val="TableContents"/>
              <w:bidi w:val="0"/>
              <w:spacing w:before="0" w:after="283"/>
              <w:jc w:val="left"/>
              <w:rPr/>
            </w:pPr>
            <w:r>
              <w:rPr/>
              <w:t> </w:t>
            </w:r>
          </w:p>
        </w:tc>
        <w:tc>
          <w:tcPr>
            <w:tcW w:w="7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88" w:type="dxa"/>
            <w:tcBorders/>
            <w:vAlign w:val="center"/>
          </w:tcPr>
          <w:p>
            <w:pPr>
              <w:pStyle w:val="TableContents"/>
              <w:bidi w:val="0"/>
              <w:spacing w:before="0" w:after="283"/>
              <w:jc w:val="left"/>
              <w:rPr/>
            </w:pPr>
            <w:r>
              <w:rPr/>
              <w:t> </w:t>
            </w:r>
          </w:p>
        </w:tc>
        <w:tc>
          <w:tcPr>
            <w:tcW w:w="177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Level 3</w:t>
            </w:r>
          </w:p>
        </w:tc>
      </w:tr>
      <w:tr>
        <w:trPr/>
        <w:tc>
          <w:tcPr>
            <w:tcW w:w="4867" w:type="dxa"/>
            <w:tcBorders/>
            <w:shd w:fill="EEEEEE" w:val="clear"/>
            <w:vAlign w:val="center"/>
          </w:tcPr>
          <w:p>
            <w:pPr>
              <w:pStyle w:val="TableContents"/>
              <w:bidi w:val="0"/>
              <w:spacing w:before="0" w:after="283"/>
              <w:jc w:val="left"/>
              <w:rPr/>
            </w:pPr>
            <w:r>
              <w:rPr/>
              <w:t>Derivative liability</w:t>
            </w:r>
          </w:p>
        </w:tc>
        <w:tc>
          <w:tcPr>
            <w:tcW w:w="60" w:type="dxa"/>
            <w:tcBorders/>
            <w:shd w:fill="EEEEEE" w:val="clear"/>
            <w:vAlign w:val="center"/>
          </w:tcPr>
          <w:p>
            <w:pPr>
              <w:pStyle w:val="TableContents"/>
              <w:bidi w:val="0"/>
              <w:spacing w:before="0" w:after="283"/>
              <w:jc w:val="left"/>
              <w:rPr/>
            </w:pPr>
            <w:r>
              <w:rPr/>
              <w:t> </w:t>
            </w:r>
          </w:p>
        </w:tc>
        <w:tc>
          <w:tcPr>
            <w:tcW w:w="20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65" w:name="xdx_98A_eus-gaap--DerivativeLiabilitiesC"/>
            <w:bookmarkEnd w:id="365"/>
          </w:p>
        </w:tc>
        <w:tc>
          <w:tcPr>
            <w:tcW w:w="1453" w:type="dxa"/>
            <w:tcBorders>
              <w:bottom w:val="double" w:sz="6" w:space="0" w:color="000000"/>
            </w:tcBorders>
            <w:shd w:fill="EEEEEE" w:val="clear"/>
            <w:tcMar>
              <w:bottom w:w="28" w:type="dxa"/>
            </w:tcMar>
            <w:vAlign w:val="center"/>
          </w:tcPr>
          <w:p>
            <w:pPr>
              <w:pStyle w:val="TableContents"/>
              <w:bidi w:val="0"/>
              <w:spacing w:before="0" w:after="283"/>
              <w:jc w:val="right"/>
              <w:rPr/>
            </w:pPr>
            <w:r>
              <w:rPr/>
              <w:t>1,264,600</w:t>
            </w:r>
          </w:p>
        </w:tc>
        <w:tc>
          <w:tcPr>
            <w:tcW w:w="88"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30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66" w:name="xdx_98C_eus-gaap--DerivativeLiabilitiesC"/>
            <w:bookmarkEnd w:id="366"/>
          </w:p>
        </w:tc>
        <w:tc>
          <w:tcPr>
            <w:tcW w:w="306" w:type="dxa"/>
            <w:tcBorders>
              <w:bottom w:val="double" w:sz="6" w:space="0" w:color="000000"/>
            </w:tcBorders>
            <w:shd w:fill="EEEEEE" w:val="clear"/>
            <w:tcMar>
              <w:bottom w:w="28" w:type="dxa"/>
            </w:tcMar>
            <w:vAlign w:val="center"/>
          </w:tcPr>
          <w:p>
            <w:pPr>
              <w:pStyle w:val="TableContents"/>
              <w:bidi w:val="0"/>
              <w:spacing w:before="0" w:after="283"/>
              <w:jc w:val="right"/>
              <w:rPr/>
            </w:pPr>
            <w:r>
              <w:rPr/>
              <w:t>–</w:t>
            </w:r>
          </w:p>
        </w:tc>
        <w:tc>
          <w:tcPr>
            <w:tcW w:w="133"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30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67" w:name="xdx_98E_eus-gaap--DerivativeLiabilitiesC"/>
            <w:bookmarkEnd w:id="367"/>
          </w:p>
        </w:tc>
        <w:tc>
          <w:tcPr>
            <w:tcW w:w="306" w:type="dxa"/>
            <w:tcBorders>
              <w:bottom w:val="double" w:sz="6" w:space="0" w:color="000000"/>
            </w:tcBorders>
            <w:shd w:fill="EEEEEE" w:val="clear"/>
            <w:tcMar>
              <w:bottom w:w="28" w:type="dxa"/>
            </w:tcMar>
            <w:vAlign w:val="center"/>
          </w:tcPr>
          <w:p>
            <w:pPr>
              <w:pStyle w:val="TableContents"/>
              <w:bidi w:val="0"/>
              <w:spacing w:before="0" w:after="283"/>
              <w:jc w:val="right"/>
              <w:rPr/>
            </w:pPr>
            <w:r>
              <w:rPr/>
              <w:t>–</w:t>
            </w:r>
          </w:p>
        </w:tc>
        <w:tc>
          <w:tcPr>
            <w:tcW w:w="133"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20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68" w:name="xdx_983_eus-gaap--DerivativeLiabilitiesC"/>
            <w:bookmarkEnd w:id="368"/>
          </w:p>
        </w:tc>
        <w:tc>
          <w:tcPr>
            <w:tcW w:w="1453" w:type="dxa"/>
            <w:tcBorders>
              <w:bottom w:val="double" w:sz="6" w:space="0" w:color="000000"/>
            </w:tcBorders>
            <w:shd w:fill="EEEEEE" w:val="clear"/>
            <w:tcMar>
              <w:bottom w:w="28" w:type="dxa"/>
            </w:tcMar>
            <w:vAlign w:val="center"/>
          </w:tcPr>
          <w:p>
            <w:pPr>
              <w:pStyle w:val="TableContents"/>
              <w:bidi w:val="0"/>
              <w:spacing w:before="0" w:after="283"/>
              <w:jc w:val="right"/>
              <w:rPr/>
            </w:pPr>
            <w:r>
              <w:rPr/>
              <w:t>1,264,600</w:t>
            </w:r>
          </w:p>
        </w:tc>
        <w:tc>
          <w:tcPr>
            <w:tcW w:w="118" w:type="dxa"/>
            <w:tcBorders/>
            <w:shd w:fill="EEEEEE" w:val="clear"/>
            <w:vAlign w:val="center"/>
          </w:tcPr>
          <w:p>
            <w:pPr>
              <w:pStyle w:val="TableContents"/>
              <w:bidi w:val="0"/>
              <w:spacing w:before="0" w:after="283"/>
              <w:jc w:val="left"/>
              <w:rPr/>
            </w:pPr>
            <w:r>
              <w:rPr/>
              <w:t> </w:t>
            </w:r>
          </w:p>
        </w:tc>
      </w:tr>
      <w:tr>
        <w:trPr/>
        <w:tc>
          <w:tcPr>
            <w:tcW w:w="4867" w:type="dxa"/>
            <w:tcBorders/>
            <w:shd w:fill="FFFFFF" w:val="clear"/>
            <w:vAlign w:val="center"/>
          </w:tcPr>
          <w:p>
            <w:pPr>
              <w:pStyle w:val="TableContents"/>
              <w:bidi w:val="0"/>
              <w:spacing w:before="0" w:after="283"/>
              <w:jc w:val="left"/>
              <w:rPr/>
            </w:pPr>
            <w:r>
              <w:rPr/>
              <w:t>Total recurring fair value measurements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69" w:name="xdx_987_eus-gaap--LiabilitiesFairValueDi"/>
            <w:bookmarkEnd w:id="369"/>
          </w:p>
        </w:tc>
        <w:tc>
          <w:tcPr>
            <w:tcW w:w="1453" w:type="dxa"/>
            <w:tcBorders>
              <w:bottom w:val="double" w:sz="6" w:space="0" w:color="000000"/>
            </w:tcBorders>
            <w:shd w:fill="FFFFFF" w:val="clear"/>
            <w:tcMar>
              <w:bottom w:w="28" w:type="dxa"/>
            </w:tcMar>
            <w:vAlign w:val="center"/>
          </w:tcPr>
          <w:p>
            <w:pPr>
              <w:pStyle w:val="TableContents"/>
              <w:bidi w:val="0"/>
              <w:spacing w:before="0" w:after="283"/>
              <w:jc w:val="right"/>
              <w:rPr/>
            </w:pPr>
            <w:r>
              <w:rPr/>
              <w:t>1,264,600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70" w:name="xdx_980_eus-gaap--LiabilitiesFairValueDi"/>
            <w:bookmarkEnd w:id="370"/>
          </w:p>
        </w:tc>
        <w:tc>
          <w:tcPr>
            <w:tcW w:w="30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3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71" w:name="xdx_981_eus-gaap--LiabilitiesFairValueDi"/>
            <w:bookmarkEnd w:id="371"/>
          </w:p>
        </w:tc>
        <w:tc>
          <w:tcPr>
            <w:tcW w:w="30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3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72" w:name="xdx_988_eus-gaap--LiabilitiesFairValueDi"/>
            <w:bookmarkEnd w:id="372"/>
          </w:p>
        </w:tc>
        <w:tc>
          <w:tcPr>
            <w:tcW w:w="1453" w:type="dxa"/>
            <w:tcBorders>
              <w:bottom w:val="double" w:sz="6" w:space="0" w:color="000000"/>
            </w:tcBorders>
            <w:shd w:fill="FFFFFF" w:val="clear"/>
            <w:tcMar>
              <w:bottom w:w="28" w:type="dxa"/>
            </w:tcMar>
            <w:vAlign w:val="center"/>
          </w:tcPr>
          <w:p>
            <w:pPr>
              <w:pStyle w:val="TableContents"/>
              <w:bidi w:val="0"/>
              <w:spacing w:before="0" w:after="283"/>
              <w:jc w:val="right"/>
              <w:rPr/>
            </w:pPr>
            <w:r>
              <w:rPr/>
              <w:t>1,264,600</w:t>
            </w:r>
          </w:p>
        </w:tc>
        <w:tc>
          <w:tcPr>
            <w:tcW w:w="11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3" w:name="xdx_8A5_zACEc9kMHyL1"/>
      <w:bookmarkEnd w:id="373"/>
      <w:r>
        <w:rPr>
          <w:caps w:val="false"/>
          <w:smallCaps w:val="false"/>
        </w:rPr>
        <w:t> </w:t>
      </w:r>
    </w:p>
    <w:p>
      <w:pPr>
        <w:pStyle w:val="TextBody"/>
        <w:bidi w:val="0"/>
        <w:spacing w:before="0" w:after="0"/>
        <w:ind w:left="0" w:right="0" w:hanging="0"/>
        <w:jc w:val="both"/>
        <w:rPr>
          <w:caps w:val="false"/>
          <w:smallCaps w:val="false"/>
        </w:rPr>
      </w:pPr>
      <w:bookmarkStart w:id="374" w:name="xdx_23D_zzHigUa10DC7"/>
      <w:bookmarkEnd w:id="374"/>
      <w:r>
        <w:rPr>
          <w:caps w:val="false"/>
          <w:smallCaps w:val="false"/>
        </w:rPr>
        <w:t> </w:t>
      </w:r>
    </w:p>
    <w:p>
      <w:pPr>
        <w:pStyle w:val="TextBody"/>
        <w:bidi w:val="0"/>
        <w:spacing w:before="0" w:after="0"/>
        <w:ind w:left="0" w:right="0" w:hanging="0"/>
        <w:jc w:val="both"/>
        <w:rPr>
          <w:caps w:val="false"/>
          <w:smallCaps w:val="false"/>
        </w:rPr>
      </w:pPr>
      <w:bookmarkStart w:id="375" w:name="xdx_235_zlWw6ns0OiA7"/>
      <w:bookmarkEnd w:id="375"/>
      <w:r>
        <w:rPr>
          <w:caps w:val="false"/>
          <w:smallCaps w:val="false"/>
        </w:rPr>
        <w:t> </w:t>
      </w:r>
    </w:p>
    <w:p>
      <w:pPr>
        <w:pStyle w:val="TextBody"/>
        <w:bidi w:val="0"/>
        <w:spacing w:before="0" w:after="0"/>
        <w:ind w:left="0" w:right="0" w:hanging="0"/>
        <w:jc w:val="both"/>
        <w:rPr>
          <w:caps w:val="false"/>
          <w:smallCaps w:val="false"/>
        </w:rPr>
      </w:pPr>
      <w:bookmarkStart w:id="376" w:name="xdx_23A_zfsHQUcRjwA"/>
      <w:bookmarkEnd w:id="37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77" w:name="xdx_86F_z6qidbreTk8d"/>
      <w:bookmarkStart w:id="378" w:name="xdx_841_eus-gaap--RevenueFromContractWit"/>
      <w:bookmarkEnd w:id="377"/>
      <w:bookmarkEnd w:id="378"/>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prior to the delivery of goods to customers are recorded as customer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79" w:name="xdx_863_zWPa5rmNMQH2"/>
      <w:bookmarkStart w:id="380" w:name="xdx_84A_eus-gaap--RevenueRecognitionSale"/>
      <w:bookmarkEnd w:id="379"/>
      <w:bookmarkEnd w:id="380"/>
      <w:r>
        <w:rPr>
          <w:rFonts w:ascii="Times New Roman;Times;Serif" w:hAnsi="Times New Roman;Times;Serif"/>
          <w:b w:val="false"/>
          <w:i w:val="false"/>
          <w:caps w:val="false"/>
          <w:smallCaps w:val="false"/>
          <w:sz w:val="20"/>
          <w:u w:val="single"/>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mainly consists of costs for purchases of products, net of purchase discounts and rebates, and related inbound freight and delivery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81" w:name="xdx_863_zRAU6bnLLqfk"/>
      <w:bookmarkStart w:id="382" w:name="xdx_84E_ecustom--OperatingExpensesPolicy"/>
      <w:bookmarkEnd w:id="381"/>
      <w:bookmarkEnd w:id="382"/>
      <w:r>
        <w:rPr>
          <w:rFonts w:ascii="Times New Roman;Times;Serif" w:hAnsi="Times New Roman;Times;Serif"/>
          <w:b w:val="false"/>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which consist of selling and fulfillment and general and administrative expenses, including inventory reserves, are expensed as incurred. Vendor warranty credits resulting from refund of returns on quality issues are recorded to offset merchant selling fees. During the nine months ended March 31, 2026 and 2025, the Company did not have any vendor credits. Outbound freight costs related to shipping costs to customers are considered periodic costs and are reflected in selling and fulfillment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Total advertising and promotional costs included in selling and fulfillment expenses for the three and nine months ended March 31, 2026 and 2025 were as following. </w:t>
      </w:r>
    </w:p>
    <w:p>
      <w:pPr>
        <w:pStyle w:val="Normal"/>
        <w:bidi w:val="0"/>
        <w:spacing w:before="0" w:after="0"/>
        <w:jc w:val="left"/>
        <w:rPr>
          <w:sz w:val="4"/>
          <w:szCs w:val="4"/>
        </w:rPr>
      </w:pPr>
      <w:r>
        <w:rPr>
          <w:sz w:val="4"/>
          <w:szCs w:val="4"/>
        </w:rPr>
      </w:r>
      <w:bookmarkStart w:id="383" w:name="xdx_895_ecustom--ScheduleOfAdvertisingCo"/>
      <w:bookmarkStart w:id="384" w:name="xdx_895_ecustom--ScheduleOfAdvertisingCo"/>
      <w:bookmarkEnd w:id="384"/>
    </w:p>
    <w:tbl>
      <w:tblPr>
        <w:tblW w:w="7095" w:type="dxa"/>
        <w:jc w:val="left"/>
        <w:tblInd w:w="0" w:type="dxa"/>
        <w:tblLayout w:type="fixed"/>
        <w:tblCellMar>
          <w:top w:w="0" w:type="dxa"/>
          <w:left w:w="0" w:type="dxa"/>
          <w:bottom w:w="0" w:type="dxa"/>
          <w:right w:w="0" w:type="dxa"/>
        </w:tblCellMar>
      </w:tblPr>
      <w:tblGrid>
        <w:gridCol w:w="2780"/>
        <w:gridCol w:w="60"/>
        <w:gridCol w:w="140"/>
        <w:gridCol w:w="680"/>
        <w:gridCol w:w="60"/>
        <w:gridCol w:w="60"/>
        <w:gridCol w:w="140"/>
        <w:gridCol w:w="800"/>
        <w:gridCol w:w="60"/>
        <w:gridCol w:w="60"/>
        <w:gridCol w:w="140"/>
        <w:gridCol w:w="800"/>
        <w:gridCol w:w="60"/>
        <w:gridCol w:w="60"/>
        <w:gridCol w:w="140"/>
        <w:gridCol w:w="980"/>
        <w:gridCol w:w="75"/>
      </w:tblGrid>
      <w:tr>
        <w:trPr/>
        <w:tc>
          <w:tcPr>
            <w:tcW w:w="2780" w:type="dxa"/>
            <w:tcBorders/>
            <w:vAlign w:val="center"/>
          </w:tcPr>
          <w:p>
            <w:pPr>
              <w:pStyle w:val="TableContents"/>
              <w:bidi w:val="0"/>
              <w:spacing w:before="0" w:after="283"/>
              <w:jc w:val="left"/>
              <w:rPr/>
            </w:pPr>
            <w:bookmarkStart w:id="385" w:name="xdx_8B0_zPCEe9QNv6pa"/>
            <w:bookmarkEnd w:id="385"/>
            <w:r>
              <w:rPr/>
              <w:t>Schedule of advertising costs</w:t>
            </w:r>
          </w:p>
        </w:tc>
        <w:tc>
          <w:tcPr>
            <w:tcW w:w="60" w:type="dxa"/>
            <w:tcBorders/>
            <w:vAlign w:val="center"/>
          </w:tcPr>
          <w:p>
            <w:pPr>
              <w:pStyle w:val="TableContents"/>
              <w:bidi w:val="0"/>
              <w:spacing w:before="0" w:after="283"/>
              <w:jc w:val="left"/>
              <w:rPr/>
            </w:pPr>
            <w:r>
              <w:rPr/>
              <w:t> </w:t>
            </w:r>
          </w:p>
        </w:tc>
        <w:tc>
          <w:tcPr>
            <w:tcW w:w="88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3"/>
            <w:tcBorders/>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0" w:type="dxa"/>
            <w:gridSpan w:val="7"/>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2255" w:type="dxa"/>
            <w:gridSpan w:val="7"/>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r>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2780" w:type="dxa"/>
            <w:tcBorders/>
            <w:shd w:fill="EEEEEE" w:val="clear"/>
            <w:vAlign w:val="center"/>
          </w:tcPr>
          <w:p>
            <w:pPr>
              <w:pStyle w:val="TableContents"/>
              <w:bidi w:val="0"/>
              <w:spacing w:before="0" w:after="283"/>
              <w:jc w:val="left"/>
              <w:rPr/>
            </w:pPr>
            <w:r>
              <w:rPr/>
              <w:t>Advertising and promotion</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86" w:name="xdx_98F_eus-gaap--AdvertisingExpense_c20"/>
            <w:bookmarkEnd w:id="386"/>
          </w:p>
        </w:tc>
        <w:tc>
          <w:tcPr>
            <w:tcW w:w="680" w:type="dxa"/>
            <w:tcBorders>
              <w:bottom w:val="double" w:sz="6" w:space="0" w:color="000000"/>
            </w:tcBorders>
            <w:shd w:fill="EEEEEE" w:val="clear"/>
            <w:tcMar>
              <w:bottom w:w="28" w:type="dxa"/>
            </w:tcMar>
            <w:vAlign w:val="center"/>
          </w:tcPr>
          <w:p>
            <w:pPr>
              <w:pStyle w:val="TableContents"/>
              <w:bidi w:val="0"/>
              <w:spacing w:before="0" w:after="283"/>
              <w:jc w:val="right"/>
              <w:rPr/>
            </w:pPr>
            <w:r>
              <w:rPr/>
              <w:t>37,212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87" w:name="xdx_985_eus-gaap--AdvertisingExpense_c20"/>
            <w:bookmarkEnd w:id="387"/>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696,148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88" w:name="xdx_984_eus-gaap--AdvertisingExpense_c20"/>
            <w:bookmarkEnd w:id="388"/>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516,829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89" w:name="xdx_98F_eus-gaap--AdvertisingExpense_c20"/>
            <w:bookmarkEnd w:id="389"/>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1,978,228</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0" w:name="xdx_8AD_zo1WJwZi2ca4"/>
      <w:bookmarkEnd w:id="390"/>
      <w:r>
        <w:rPr>
          <w:caps w:val="false"/>
          <w:smallCaps w:val="false"/>
        </w:rPr>
        <w:t> </w:t>
      </w:r>
    </w:p>
    <w:p>
      <w:pPr>
        <w:pStyle w:val="TextBody"/>
        <w:bidi w:val="0"/>
        <w:spacing w:before="0" w:after="0"/>
        <w:ind w:left="0" w:right="0" w:hanging="0"/>
        <w:jc w:val="both"/>
        <w:rPr>
          <w:caps w:val="false"/>
          <w:smallCaps w:val="false"/>
        </w:rPr>
      </w:pPr>
      <w:bookmarkStart w:id="391" w:name="xdx_237_ztPEBVk5fSXa"/>
      <w:bookmarkEnd w:id="391"/>
      <w:r>
        <w:rPr>
          <w:caps w:val="false"/>
          <w:smallCaps w:val="false"/>
        </w:rPr>
        <w:t> </w:t>
      </w:r>
    </w:p>
    <w:p>
      <w:pPr>
        <w:pStyle w:val="TextBody"/>
        <w:bidi w:val="0"/>
        <w:spacing w:before="0" w:after="0"/>
        <w:ind w:left="0" w:right="0" w:hanging="0"/>
        <w:jc w:val="both"/>
        <w:rPr>
          <w:caps w:val="false"/>
          <w:smallCaps w:val="false"/>
        </w:rPr>
      </w:pPr>
      <w:bookmarkStart w:id="392" w:name="xdx_23E_zK2F9fP31dR3"/>
      <w:bookmarkEnd w:id="39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93" w:name="xdx_869_zhhmfLEbO5Qg"/>
      <w:bookmarkStart w:id="394" w:name="xdx_84B_eus-gaap--InventoryPolicyTextBlo"/>
      <w:bookmarkEnd w:id="393"/>
      <w:bookmarkEnd w:id="394"/>
      <w:r>
        <w:rPr>
          <w:rFonts w:ascii="Times New Roman;Times;Serif" w:hAnsi="Times New Roman;Times;Serif"/>
          <w:b w:val="false"/>
          <w:i w:val="false"/>
          <w:caps w:val="false"/>
          <w:smallCaps w:val="false"/>
          <w:sz w:val="20"/>
          <w:u w:val="single"/>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The Company regularly reviews inventory and considers forecasts of future demand, market conditions and product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95" w:name="xdx_86C_zygs6TqcEkTe"/>
      <w:bookmarkStart w:id="396" w:name="xdx_84A_ecustom--DebtIssuanceCostsPolicy"/>
      <w:bookmarkEnd w:id="395"/>
      <w:bookmarkEnd w:id="396"/>
      <w:r>
        <w:rPr>
          <w:rFonts w:ascii="Times New Roman;Times;Serif" w:hAnsi="Times New Roman;Times;Serif"/>
          <w:b w:val="false"/>
          <w:i w:val="false"/>
          <w:caps w:val="false"/>
          <w:smallCaps w:val="false"/>
          <w:sz w:val="20"/>
          <w:u w:val="single"/>
        </w:rPr>
        <w:t>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connection with the issuance of debt are deferred and amortized as interest expense over the term of the related debt using the effective interest method. To the extent that the debt is outstanding, these amounts are reflected in the unaudited condensed consolidated balance sheets as direct deductions from the carrying amount of the outstanding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97" w:name="xdx_86B_zUnz5LgXOaua"/>
      <w:bookmarkStart w:id="398" w:name="xdx_84E_ecustom--EquityOfferingCostsPoli"/>
      <w:bookmarkEnd w:id="397"/>
      <w:bookmarkEnd w:id="398"/>
      <w:r>
        <w:rPr>
          <w:rFonts w:ascii="Times New Roman;Times;Serif" w:hAnsi="Times New Roman;Times;Serif"/>
          <w:b w:val="false"/>
          <w:i w:val="false"/>
          <w:caps w:val="false"/>
          <w:smallCaps w:val="false"/>
          <w:sz w:val="20"/>
          <w:u w:val="single"/>
        </w:rPr>
        <w:t>Equity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certain legal, accounting and other third-party fees that are directly related to an equity financing that is probable of successful completion until such financing is consummated. After consummation of an equity financing, these costs are recorded as a reduction of the proceeds received as a result of the offering. Should a planned equity financing be abandoned, terminated or significantly delayed, the deferred offering costs are immediately written off to operating expenses in the consolidated statements of operations and comprehensive income (loss) in the period of determination. As of March 31, 2026 and June 30, 2025, there were no deferred offering costs included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99" w:name="xdx_866_zmlDeftUqmil"/>
      <w:bookmarkStart w:id="400" w:name="xdx_846_eus-gaap--SegmentReportingPolicy"/>
      <w:bookmarkEnd w:id="399"/>
      <w:bookmarkEnd w:id="400"/>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w:t>
      </w:r>
      <w:bookmarkStart w:id="401" w:name="xdx_90A_eus-gaap--NumberOfReportableSegm"/>
      <w:bookmarkEnd w:id="401"/>
      <w:r>
        <w:rPr>
          <w:rFonts w:ascii="Times New Roman;Times;Serif" w:hAnsi="Times New Roman;Times;Serif"/>
          <w:b w:val="false"/>
          <w:i w:val="false"/>
          <w:caps w:val="false"/>
          <w:smallCaps w:val="false"/>
          <w:sz w:val="20"/>
        </w:rPr>
        <w:t xml:space="preserve">one reportable segment. The Company does not distinguish between markets or segments for the purpose of internal reporting. For the nine months ended March 31, 2026 and 2025, sales through Amazon to Canada and other foreign countries were approximately </w:t>
      </w:r>
      <w:bookmarkStart w:id="402" w:name="xdx_905_eus-gaap--ConcentrationRiskPerce"/>
      <w:bookmarkEnd w:id="402"/>
      <w:r>
        <w:rPr>
          <w:rFonts w:ascii="Times New Roman;Times;Serif" w:hAnsi="Times New Roman;Times;Serif"/>
          <w:b w:val="false"/>
          <w:i w:val="false"/>
          <w:caps w:val="false"/>
          <w:smallCaps w:val="false"/>
          <w:sz w:val="20"/>
        </w:rPr>
        <w:t xml:space="preserve">2.5% and </w:t>
      </w:r>
      <w:bookmarkStart w:id="403" w:name="xdx_909_eus-gaap--ConcentrationRiskPerce"/>
      <w:bookmarkEnd w:id="403"/>
      <w:r>
        <w:rPr>
          <w:rFonts w:ascii="Times New Roman;Times;Serif" w:hAnsi="Times New Roman;Times;Serif"/>
          <w:b w:val="false"/>
          <w:i w:val="false"/>
          <w:caps w:val="false"/>
          <w:smallCaps w:val="false"/>
          <w:sz w:val="20"/>
        </w:rPr>
        <w:t xml:space="preserve">6.3% of the Company’s total sales, respectively. During the nine months ended March 31, 2026, sales of hydroponic products, including ventilation and grow light systems, were approximately </w:t>
      </w:r>
      <w:bookmarkStart w:id="404" w:name="xdx_900_eus-gaap--ConcentrationRiskPerce"/>
      <w:bookmarkEnd w:id="404"/>
      <w:r>
        <w:rPr>
          <w:rFonts w:ascii="Times New Roman;Times;Serif" w:hAnsi="Times New Roman;Times;Serif"/>
          <w:b w:val="false"/>
          <w:i w:val="false"/>
          <w:caps w:val="false"/>
          <w:smallCaps w:val="false"/>
          <w:sz w:val="20"/>
        </w:rPr>
        <w:t xml:space="preserve">9.2% of the Company’s total sales and the remaining </w:t>
      </w:r>
      <w:bookmarkStart w:id="405" w:name="xdx_90E_eus-gaap--ConcentrationRiskPerce"/>
      <w:bookmarkEnd w:id="405"/>
      <w:r>
        <w:rPr>
          <w:rFonts w:ascii="Times New Roman;Times;Serif" w:hAnsi="Times New Roman;Times;Serif"/>
          <w:b w:val="false"/>
          <w:i w:val="false"/>
          <w:caps w:val="false"/>
          <w:smallCaps w:val="false"/>
          <w:sz w:val="20"/>
        </w:rPr>
        <w:t xml:space="preserve">90.8% consisted of general gardening, home goods, and other products and accessories. During the nine months ended March 31, 2025, sales of hydroponic products, including ventilation and grow light systems, were approximately </w:t>
      </w:r>
      <w:bookmarkStart w:id="406" w:name="xdx_907_eus-gaap--ConcentrationRiskPerce"/>
      <w:bookmarkEnd w:id="406"/>
      <w:r>
        <w:rPr>
          <w:rFonts w:ascii="Times New Roman;Times;Serif" w:hAnsi="Times New Roman;Times;Serif"/>
          <w:b w:val="false"/>
          <w:i w:val="false"/>
          <w:caps w:val="false"/>
          <w:smallCaps w:val="false"/>
          <w:sz w:val="20"/>
        </w:rPr>
        <w:t>15.9% of the Company’s total sales and the remaining 84.1% consisted of general gardening, home goods, and other products and accessories. As of March 31, 2026 and June 30, 2025, the Company had approximately $</w:t>
      </w:r>
      <w:bookmarkStart w:id="407" w:name="xdx_900_eus-gaap--InventoryGross_iI_pn4n"/>
      <w:bookmarkEnd w:id="407"/>
      <w:r>
        <w:rPr>
          <w:rFonts w:ascii="Times New Roman;Times;Serif" w:hAnsi="Times New Roman;Times;Serif"/>
          <w:b w:val="false"/>
          <w:i w:val="false"/>
          <w:caps w:val="false"/>
          <w:smallCaps w:val="false"/>
          <w:sz w:val="20"/>
        </w:rPr>
        <w:t>0.01 million and $</w:t>
      </w:r>
      <w:bookmarkStart w:id="408" w:name="xdx_90A_eus-gaap--InventoryGross_iI_pn6n"/>
      <w:bookmarkEnd w:id="408"/>
      <w:r>
        <w:rPr>
          <w:rFonts w:ascii="Times New Roman;Times;Serif" w:hAnsi="Times New Roman;Times;Serif"/>
          <w:b w:val="false"/>
          <w:i w:val="false"/>
          <w:caps w:val="false"/>
          <w:smallCaps w:val="false"/>
          <w:sz w:val="20"/>
        </w:rPr>
        <w:t>1.0 million of inventory stored in China, respectively. The Company’s majority of long-lived assets are located in California, United States, majority of the deferred tax assets are US related, and a majority of the Company’s revenues are derived from within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09" w:name="xdx_86E_zqgnHjIuEKm"/>
      <w:bookmarkStart w:id="410" w:name="xdx_849_eus-gaap--LesseeLeasesPolicyText"/>
      <w:bookmarkEnd w:id="409"/>
      <w:bookmarkEnd w:id="410"/>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right-of-use (“ROU”) assets and related lease obligations on our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pStyle w:val="TextBody"/>
        <w:bidi w:val="0"/>
        <w:spacing w:before="0" w:after="0"/>
        <w:ind w:left="0" w:right="0" w:hanging="0"/>
        <w:jc w:val="both"/>
        <w:rPr>
          <w:caps w:val="false"/>
          <w:smallCaps w:val="false"/>
        </w:rPr>
      </w:pPr>
      <w:bookmarkStart w:id="411" w:name="xdx_23B_zTrV45PRoU1g"/>
      <w:bookmarkEnd w:id="411"/>
      <w:r>
        <w:rPr>
          <w:caps w:val="false"/>
          <w:smallCaps w:val="false"/>
        </w:rPr>
        <w:t> </w:t>
      </w:r>
    </w:p>
    <w:p>
      <w:pPr>
        <w:pStyle w:val="TextBody"/>
        <w:bidi w:val="0"/>
        <w:spacing w:before="0" w:after="0"/>
        <w:ind w:left="0" w:right="0" w:hanging="0"/>
        <w:jc w:val="both"/>
        <w:rPr>
          <w:caps w:val="false"/>
          <w:smallCaps w:val="false"/>
        </w:rPr>
      </w:pPr>
      <w:bookmarkStart w:id="412" w:name="xdx_232_z7xrP1DvtSgj"/>
      <w:bookmarkEnd w:id="41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13" w:name="xdx_861_z35Ha0ZSBD8k"/>
      <w:bookmarkStart w:id="414" w:name="xdx_844_eus-gaap--ShareBasedCompensation"/>
      <w:bookmarkEnd w:id="413"/>
      <w:bookmarkEnd w:id="414"/>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costs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costs related to the award should not be recognized (or should be reversed) because the vesting condition in the award has not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forfeitures of such equity-based compensation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15" w:name="xdx_869_z45KKFYDybpi"/>
      <w:bookmarkStart w:id="416" w:name="xdx_84F_eus-gaap--IncomeTaxPolicyTextBlo"/>
      <w:bookmarkEnd w:id="415"/>
      <w:bookmarkEnd w:id="416"/>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A valuation allowance must be established for deferred tax assets when it is more-likely-than-not (a probability level of more than 50%) that they will not be realized. Valuation allowances are recorded,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17" w:name="xdx_86E_zvS1scYh3BAl"/>
      <w:bookmarkStart w:id="418" w:name="xdx_848_eus-gaap--CommitmentsAndContinge"/>
      <w:bookmarkEnd w:id="417"/>
      <w:bookmarkEnd w:id="418"/>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pStyle w:val="TextBody"/>
        <w:bidi w:val="0"/>
        <w:spacing w:before="0" w:after="0"/>
        <w:ind w:left="0" w:right="0" w:hanging="0"/>
        <w:jc w:val="both"/>
        <w:rPr>
          <w:caps w:val="false"/>
          <w:smallCaps w:val="false"/>
        </w:rPr>
      </w:pPr>
      <w:bookmarkStart w:id="419" w:name="xdx_231_zSyqW812Lu48"/>
      <w:bookmarkEnd w:id="419"/>
      <w:r>
        <w:rPr>
          <w:caps w:val="false"/>
          <w:smallCaps w:val="false"/>
        </w:rPr>
        <w:t> </w:t>
      </w:r>
    </w:p>
    <w:p>
      <w:pPr>
        <w:pStyle w:val="TextBody"/>
        <w:bidi w:val="0"/>
        <w:spacing w:before="0" w:after="0"/>
        <w:ind w:left="0" w:right="0" w:hanging="0"/>
        <w:jc w:val="both"/>
        <w:rPr>
          <w:caps w:val="false"/>
          <w:smallCaps w:val="false"/>
        </w:rPr>
      </w:pPr>
      <w:bookmarkStart w:id="420" w:name="xdx_237_zSFzeBxHzG5e"/>
      <w:bookmarkEnd w:id="420"/>
      <w:r>
        <w:rPr>
          <w:caps w:val="false"/>
          <w:smallCaps w:val="false"/>
        </w:rPr>
        <w:t> </w:t>
      </w:r>
    </w:p>
    <w:p>
      <w:pPr>
        <w:pStyle w:val="TextBody"/>
        <w:bidi w:val="0"/>
        <w:spacing w:before="0" w:after="0"/>
        <w:ind w:left="0" w:right="0" w:hanging="0"/>
        <w:jc w:val="both"/>
        <w:rPr>
          <w:caps w:val="false"/>
          <w:smallCaps w:val="false"/>
        </w:rPr>
      </w:pPr>
      <w:bookmarkStart w:id="421" w:name="xdx_239_zV1QKo364hu9"/>
      <w:bookmarkEnd w:id="42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22" w:name="xdx_867_zrADSGPYiqa5"/>
      <w:bookmarkStart w:id="423" w:name="xdx_848_eus-gaap--EarningsPerSharePolicy"/>
      <w:bookmarkEnd w:id="422"/>
      <w:bookmarkEnd w:id="423"/>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is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24" w:name="xdx_867_zRu3bt1XgFp4"/>
      <w:bookmarkStart w:id="425" w:name="xdx_84B_eus-gaap--NewAccountingPronounce"/>
      <w:bookmarkEnd w:id="424"/>
      <w:bookmarkEnd w:id="425"/>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The ASU provides a practical expedient and accounting policy election for measuring expected credit losses on certain trade receivables and contract assets arising under ASC 606. The amendments are effective for fiscal years beginning after December 15, 2025, and interim periods within those fiscal years, with early adoption permitted. The Company is currently evaluating the impact of this ASU on its measurement of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2023-08, “Intangibles—Goodwill and Other—Crypto Assets (Subtopic 350-60): Accounting for and Disclosure of Crypto Assets,” which requires certain crypto assets to be measured at fair value in the statement of operations, with gains and losses from changes in the fair value of such crypto assets recognized in net income each reporting period. ASU 2023-08 also requires certain interim and annual disclosures for crypto assets within the scope of the standard. ASU 2023-08 is effective for annual periods beginning after December 15, 2024, including interim periods within those fiscal years. The Company adopted ASU 2023-08 on July 1, 2025. The adoption of ASU 2023-08 did not have a material impact on the Company’s interim unaudited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adoption of this standard did not have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are: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adoption of this standard did not have a material impact on its consolidated financial statements.</w:t>
      </w:r>
    </w:p>
    <w:p>
      <w:pPr>
        <w:pStyle w:val="TextBody"/>
        <w:bidi w:val="0"/>
        <w:spacing w:before="0" w:after="0"/>
        <w:ind w:left="0" w:right="0" w:hanging="0"/>
        <w:jc w:val="both"/>
        <w:rPr>
          <w:caps w:val="false"/>
          <w:smallCaps w:val="false"/>
        </w:rPr>
      </w:pPr>
      <w:bookmarkStart w:id="426" w:name="xdx_239_zMgNwvxaUHhh"/>
      <w:bookmarkEnd w:id="426"/>
      <w:r>
        <w:rPr>
          <w:caps w:val="false"/>
          <w:smallCaps w:val="false"/>
        </w:rPr>
        <w:t> </w:t>
      </w:r>
    </w:p>
    <w:p>
      <w:pPr>
        <w:pStyle w:val="TextBody"/>
        <w:bidi w:val="0"/>
        <w:spacing w:before="0" w:after="0"/>
        <w:ind w:left="0" w:right="0" w:hanging="0"/>
        <w:jc w:val="both"/>
        <w:rPr>
          <w:caps w:val="false"/>
          <w:smallCaps w:val="false"/>
        </w:rPr>
      </w:pPr>
      <w:bookmarkStart w:id="427" w:name="xdx_237_zvJBvvS8XKbh"/>
      <w:bookmarkEnd w:id="427"/>
      <w:r>
        <w:rPr>
          <w:caps w:val="false"/>
          <w:smallCaps w:val="false"/>
        </w:rPr>
        <w:t> </w:t>
      </w:r>
    </w:p>
    <w:p>
      <w:pPr>
        <w:pStyle w:val="TextBody"/>
        <w:bidi w:val="0"/>
        <w:spacing w:before="0" w:after="0"/>
        <w:ind w:left="0" w:right="0" w:hanging="0"/>
        <w:jc w:val="both"/>
        <w:rPr>
          <w:caps w:val="false"/>
          <w:smallCaps w:val="false"/>
        </w:rPr>
      </w:pPr>
      <w:bookmarkStart w:id="428" w:name="xdx_23B_zdIQ6xCAo4df"/>
      <w:bookmarkEnd w:id="42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adoption of this standard did not have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adoption of this standard did not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adoption of this standard did not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but not yet effective accounting standards, if currently adopted, would have a material effect on the consolidated financial position, statements of operations and cash flows.</w:t>
      </w:r>
    </w:p>
    <w:p>
      <w:pPr>
        <w:pStyle w:val="TextBody"/>
        <w:bidi w:val="0"/>
        <w:spacing w:before="0" w:after="0"/>
        <w:ind w:left="0" w:right="0" w:hanging="0"/>
        <w:jc w:val="both"/>
        <w:rPr>
          <w:caps w:val="false"/>
          <w:smallCaps w:val="false"/>
        </w:rPr>
      </w:pPr>
      <w:bookmarkStart w:id="429" w:name="xdx_239_znzZ4WKDVQ87"/>
      <w:bookmarkEnd w:id="429"/>
      <w:r>
        <w:rPr>
          <w:caps w:val="false"/>
          <w:smallCaps w:val="false"/>
        </w:rPr>
        <w:t> </w:t>
      </w:r>
    </w:p>
    <w:p>
      <w:pPr>
        <w:pStyle w:val="TextBody"/>
        <w:bidi w:val="0"/>
        <w:spacing w:before="0" w:after="0"/>
        <w:ind w:left="0" w:right="0" w:hanging="0"/>
        <w:jc w:val="both"/>
        <w:rPr>
          <w:caps w:val="false"/>
          <w:smallCaps w:val="false"/>
        </w:rPr>
      </w:pPr>
      <w:bookmarkStart w:id="430" w:name="xdx_237_zlhFSZuGpqJ8"/>
      <w:bookmarkEnd w:id="430"/>
      <w:r>
        <w:rPr>
          <w:caps w:val="false"/>
          <w:smallCaps w:val="false"/>
        </w:rPr>
        <w:t> </w:t>
      </w:r>
    </w:p>
    <w:p>
      <w:pPr>
        <w:pStyle w:val="TextBody"/>
        <w:bidi w:val="0"/>
        <w:spacing w:before="0" w:after="0"/>
        <w:ind w:left="0" w:right="0" w:hanging="0"/>
        <w:jc w:val="both"/>
        <w:rPr>
          <w:caps w:val="false"/>
          <w:smallCaps w:val="false"/>
        </w:rPr>
      </w:pPr>
      <w:bookmarkStart w:id="431" w:name="xdx_23E_z6LXCsbVMQq1"/>
      <w:bookmarkEnd w:id="43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2" w:name="xdx_808_ecustom--JointVenturesFormationT"/>
      <w:bookmarkEnd w:id="432"/>
      <w:r>
        <w:rPr>
          <w:rFonts w:ascii="Times New Roman;Times;Serif" w:hAnsi="Times New Roman;Times;Serif"/>
          <w:b/>
          <w:i w:val="false"/>
          <w:caps w:val="false"/>
          <w:smallCaps w:val="false"/>
          <w:sz w:val="20"/>
        </w:rPr>
        <w:t xml:space="preserve">Note 3 - </w:t>
      </w:r>
      <w:bookmarkStart w:id="433" w:name="xdx_82E_zMN4gzuMEJc1"/>
      <w:bookmarkEnd w:id="433"/>
      <w:r>
        <w:rPr>
          <w:rFonts w:ascii="Times New Roman;Times;Serif" w:hAnsi="Times New Roman;Times;Serif"/>
          <w:b/>
          <w:i w:val="false"/>
          <w:caps w:val="false"/>
          <w:smallCaps w:val="false"/>
          <w:sz w:val="20"/>
        </w:rPr>
        <w:t>Joint Ventures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Box Harmony,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In January 2023, TPA and Xiao transferred their 60% equity units to a third party without consideration as the LLC was still in the development stage and did not have significant operations. The transfer of equity did not have any impact on the LLC’s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the Company owns </w:t>
      </w:r>
      <w:bookmarkStart w:id="434" w:name="xdx_90E_eus-gaap--EquityMethodInvestment"/>
      <w:bookmarkEnd w:id="434"/>
      <w:r>
        <w:rPr>
          <w:rFonts w:ascii="Times New Roman;Times;Serif" w:hAnsi="Times New Roman;Times;Serif"/>
          <w:b w:val="false"/>
          <w:i w:val="false"/>
          <w:caps w:val="false"/>
          <w:smallCaps w:val="false"/>
          <w:sz w:val="20"/>
        </w:rPr>
        <w:t>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 As of March 31, 2026 and June 30, 2025, the carrying value of the investment in Box Harmony was $</w:t>
      </w:r>
      <w:bookmarkStart w:id="435" w:name="xdx_90D_eus-gaap--EquityMethodInvestment"/>
      <w:bookmarkEnd w:id="435"/>
      <w:r>
        <w:rPr>
          <w:rFonts w:ascii="Times New Roman;Times;Serif" w:hAnsi="Times New Roman;Times;Serif"/>
          <w:b w:val="false"/>
          <w:i w:val="false"/>
          <w:caps w:val="false"/>
          <w:smallCaps w:val="false"/>
          <w:sz w:val="20"/>
        </w:rPr>
        <w:t>13,264 and $</w:t>
      </w:r>
      <w:bookmarkStart w:id="436" w:name="xdx_908_eus-gaap--EquityMethodInvestment"/>
      <w:bookmarkEnd w:id="436"/>
      <w:r>
        <w:rPr>
          <w:rFonts w:ascii="Times New Roman;Times;Serif" w:hAnsi="Times New Roman;Times;Serif"/>
          <w:b w:val="false"/>
          <w:i w:val="false"/>
          <w:caps w:val="false"/>
          <w:smallCaps w:val="false"/>
          <w:sz w:val="20"/>
        </w:rPr>
        <w:t>13,264,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Social Media,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pStyle w:val="TextBody"/>
        <w:bidi w:val="0"/>
        <w:spacing w:before="0" w:after="0"/>
        <w:ind w:left="0" w:right="0" w:hanging="0"/>
        <w:jc w:val="left"/>
        <w:rPr>
          <w:caps w:val="false"/>
          <w:smallCaps w:val="false"/>
        </w:rPr>
      </w:pPr>
      <w:bookmarkStart w:id="437" w:name="xdx_236_z7AgmtcE2ZU6"/>
      <w:bookmarkEnd w:id="437"/>
      <w:r>
        <w:rPr>
          <w:caps w:val="false"/>
          <w:smallCaps w:val="false"/>
        </w:rPr>
        <w:t> </w:t>
      </w:r>
    </w:p>
    <w:p>
      <w:pPr>
        <w:pStyle w:val="TextBody"/>
        <w:bidi w:val="0"/>
        <w:spacing w:before="0" w:after="0"/>
        <w:ind w:left="0" w:right="0" w:hanging="0"/>
        <w:jc w:val="left"/>
        <w:rPr>
          <w:caps w:val="false"/>
          <w:smallCaps w:val="false"/>
        </w:rPr>
      </w:pPr>
      <w:bookmarkStart w:id="438" w:name="xdx_236_zWYqOr6pSD1d"/>
      <w:bookmarkEnd w:id="438"/>
      <w:r>
        <w:rPr>
          <w:caps w:val="false"/>
          <w:smallCaps w:val="false"/>
        </w:rPr>
        <w:t> </w:t>
      </w:r>
    </w:p>
    <w:p>
      <w:pPr>
        <w:pStyle w:val="TextBody"/>
        <w:bidi w:val="0"/>
        <w:spacing w:before="0" w:after="0"/>
        <w:ind w:left="0" w:right="0" w:hanging="0"/>
        <w:jc w:val="left"/>
        <w:rPr>
          <w:caps w:val="false"/>
          <w:smallCaps w:val="false"/>
        </w:rPr>
      </w:pPr>
      <w:bookmarkStart w:id="439" w:name="xdx_230_zPHl0SYjFls8"/>
      <w:bookmarkEnd w:id="43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members had not completed the capital contributions and no receivables were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Agreements, the Company owns </w:t>
      </w:r>
      <w:bookmarkStart w:id="440" w:name="xdx_901_eus-gaap--EquityMethodInvestment"/>
      <w:bookmarkEnd w:id="440"/>
      <w:r>
        <w:rPr>
          <w:rFonts w:ascii="Times New Roman;Times;Serif" w:hAnsi="Times New Roman;Times;Serif"/>
          <w:b w:val="false"/>
          <w:i w:val="false"/>
          <w:caps w:val="false"/>
          <w:smallCaps w:val="false"/>
          <w:sz w:val="20"/>
        </w:rPr>
        <w:t>60% of the equity interest in GSM and control of GSM’s operations. Based on ASU 2015-02, the Company consolidates GSM into its financial statements due to its majority equity ownership and control over operations. For the nine months ended March 31, 2026 and 2025, the impact of GSM’s activities were immaterial to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Package NV,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Custom Cup Factory, Inc., a California corporation (“CCF”), and Yi Yang (“Yang”) entered into the limited liability company operating agreement (the “Operating Agreement”) of United Package NV, LLC, a Nevada limited liability corporation (“United Package”).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Package focuses on the domestic production of packaging materials to serve the rapidly growing demands of U.S. businesses seeking reliable, sustainable, and cost-effective supply chain solutions without reliance on offshore manufacturing. Pursuant to the terms of the Operating Agreement, the Company owns 2,280 Class A Voting Units (as defined in the Operating Agreement) of United Package in consideration for the Company’s contribution of equipment and facility, Yang owns 1,140 Class A Voting Units of United Package in consideration for Yang’s commitment to manage the business of United Package and CCF owns 1,710 Class A Voting Units of United Package in consideration for CCF’s contribution of its marketing expertise, existing sales channel and customer list.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the Company owns approximately 44% of the equity interest in United Package with significant influence but does not own a majority equity interest or otherwise control of United Package. The Company accounts for its ownership interest in United Package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 On October 15, 2025, pursuant to the Restructuring Agreement, the Company transferred its ownership in United Package to GPM. As of March 31, 2026 and June 30, 2025, the Company had investment total of $0 and $371,917 to United Package,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41" w:name="xdx_807_eus-gaap--VariableInterestEntity"/>
      <w:bookmarkEnd w:id="441"/>
      <w:r>
        <w:rPr>
          <w:rFonts w:ascii="Times New Roman;Times;Serif" w:hAnsi="Times New Roman;Times;Serif"/>
          <w:b/>
          <w:i w:val="false"/>
          <w:caps w:val="false"/>
          <w:smallCaps w:val="false"/>
          <w:sz w:val="20"/>
        </w:rPr>
        <w:t xml:space="preserve">Note 4 – </w:t>
      </w:r>
      <w:bookmarkStart w:id="442" w:name="xdx_825_zHoRjtyOsR69"/>
      <w:bookmarkEnd w:id="442"/>
      <w:r>
        <w:rPr>
          <w:rFonts w:ascii="Times New Roman;Times;Serif" w:hAnsi="Times New Roman;Times;Serif"/>
          <w:b/>
          <w:i w:val="false"/>
          <w:caps w:val="false"/>
          <w:smallCaps w:val="false"/>
          <w:sz w:val="20"/>
        </w:rPr>
        <w:t>Variable Interest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February 15, 2022, upon acquisition of Anivia, the Company assumed the contractual arrangements between the WFOE and DHS through a variable interest operating entity structure. On September 26, 2024, Mr. Zanyu Li, the equity owner of DHS, transferred his shares to Ms. Xiaoyun Liu. Ms. Liu has become the Manager and Legal Representative of DHS and assumed all responsibilities and obligations of Mr. Zanyu Li. The transfer of equity ownership did not change the control the Company had on the VIE, therefore there was no impact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provide financial or other support to the VIE for the periods presented where the Company was not otherwise contractually required to provide such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2025, the Company entered into a VIE Contract Termination Agreement with the VIE, pursuant to which all VIE agreements were terminated. As a result, the Company no longer has a controlling financial interest in the VIE. In accordance with ASC 810-10-40, </w:t>
      </w:r>
      <w:r>
        <w:rPr>
          <w:rFonts w:ascii="Times New Roman;Times;Serif" w:hAnsi="Times New Roman;Times;Serif"/>
          <w:b w:val="false"/>
          <w:i/>
          <w:caps w:val="false"/>
          <w:smallCaps w:val="false"/>
          <w:sz w:val="20"/>
        </w:rPr>
        <w:t>Consolidation — Deconsolidation of a Subsidiary or Derecognition of a Group of Assets</w:t>
      </w:r>
      <w:r>
        <w:rPr>
          <w:rFonts w:ascii="Times New Roman;Times;Serif" w:hAnsi="Times New Roman;Times;Serif"/>
          <w:b w:val="false"/>
          <w:i w:val="false"/>
          <w:caps w:val="false"/>
          <w:smallCaps w:val="false"/>
          <w:sz w:val="20"/>
        </w:rPr>
        <w:t>, the Company deconsolidated the VIE as of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deconsolidation, the Company derecognized all assets and liabilities of the VIE from its consolidated balance sheet. Because the Company retains no ownership interest or continuing involvement in the VIE following the termination of the agreements, no retained interest was recognized.</w:t>
      </w:r>
    </w:p>
    <w:p>
      <w:pPr>
        <w:pStyle w:val="TextBody"/>
        <w:bidi w:val="0"/>
        <w:spacing w:before="0" w:after="0"/>
        <w:ind w:left="0" w:right="0" w:hanging="0"/>
        <w:jc w:val="both"/>
        <w:rPr>
          <w:caps w:val="false"/>
          <w:smallCaps w:val="false"/>
        </w:rPr>
      </w:pPr>
      <w:bookmarkStart w:id="443" w:name="xdx_235_zfKyBalz6E3a"/>
      <w:bookmarkEnd w:id="443"/>
      <w:r>
        <w:rPr>
          <w:caps w:val="false"/>
          <w:smallCaps w:val="false"/>
        </w:rPr>
        <w:t> </w:t>
      </w:r>
    </w:p>
    <w:p>
      <w:pPr>
        <w:pStyle w:val="TextBody"/>
        <w:bidi w:val="0"/>
        <w:spacing w:before="0" w:after="0"/>
        <w:ind w:left="0" w:right="0" w:hanging="0"/>
        <w:jc w:val="both"/>
        <w:rPr>
          <w:caps w:val="false"/>
          <w:smallCaps w:val="false"/>
        </w:rPr>
      </w:pPr>
      <w:bookmarkStart w:id="444" w:name="xdx_239_zLyRjzeiUgsl"/>
      <w:bookmarkEnd w:id="444"/>
      <w:r>
        <w:rPr>
          <w:caps w:val="false"/>
          <w:smallCaps w:val="false"/>
        </w:rPr>
        <w:t> </w:t>
      </w:r>
    </w:p>
    <w:p>
      <w:pPr>
        <w:pStyle w:val="TextBody"/>
        <w:bidi w:val="0"/>
        <w:spacing w:before="0" w:after="0"/>
        <w:ind w:left="0" w:right="0" w:hanging="0"/>
        <w:jc w:val="both"/>
        <w:rPr>
          <w:caps w:val="false"/>
          <w:smallCaps w:val="false"/>
        </w:rPr>
      </w:pPr>
      <w:bookmarkStart w:id="445" w:name="xdx_239_z5vVA7YJ6WI5"/>
      <w:bookmarkEnd w:id="44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Comparative information for the prior period has not been adjusted, as the deconsolidation does not represent a discontinued operation under ASC 205-20.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there was no pledge or collateralization of the VIE assets that would be used to settle obligations of the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carrying amounts of the VIE’s assets and liabilities derecognized as of August 4, 2025 and the carrying amount of the VIE’s assets and liabilities as of June 30, 2025: </w:t>
      </w:r>
    </w:p>
    <w:p>
      <w:pPr>
        <w:pStyle w:val="Normal"/>
        <w:bidi w:val="0"/>
        <w:spacing w:before="0" w:after="0"/>
        <w:jc w:val="left"/>
        <w:rPr>
          <w:sz w:val="4"/>
          <w:szCs w:val="4"/>
        </w:rPr>
      </w:pPr>
      <w:r>
        <w:rPr>
          <w:sz w:val="4"/>
          <w:szCs w:val="4"/>
        </w:rPr>
      </w:r>
      <w:bookmarkStart w:id="446" w:name="xdx_899_eus-gaap--ScheduleOfVariableInte"/>
      <w:bookmarkStart w:id="447" w:name="xdx_899_eus-gaap--ScheduleOfVariableInte"/>
      <w:bookmarkEnd w:id="447"/>
    </w:p>
    <w:tbl>
      <w:tblPr>
        <w:tblW w:w="6884" w:type="dxa"/>
        <w:jc w:val="left"/>
        <w:tblInd w:w="0" w:type="dxa"/>
        <w:tblLayout w:type="fixed"/>
        <w:tblCellMar>
          <w:top w:w="0" w:type="dxa"/>
          <w:left w:w="0" w:type="dxa"/>
          <w:bottom w:w="0" w:type="dxa"/>
          <w:right w:w="0" w:type="dxa"/>
        </w:tblCellMar>
      </w:tblPr>
      <w:tblGrid>
        <w:gridCol w:w="3695"/>
        <w:gridCol w:w="60"/>
        <w:gridCol w:w="229"/>
        <w:gridCol w:w="1312"/>
        <w:gridCol w:w="99"/>
        <w:gridCol w:w="60"/>
        <w:gridCol w:w="197"/>
        <w:gridCol w:w="1127"/>
        <w:gridCol w:w="105"/>
      </w:tblGrid>
      <w:tr>
        <w:trPr/>
        <w:tc>
          <w:tcPr>
            <w:tcW w:w="3695" w:type="dxa"/>
            <w:tcBorders/>
            <w:vAlign w:val="center"/>
          </w:tcPr>
          <w:p>
            <w:pPr>
              <w:pStyle w:val="TableContents"/>
              <w:bidi w:val="0"/>
              <w:spacing w:before="0" w:after="283"/>
              <w:jc w:val="left"/>
              <w:rPr/>
            </w:pPr>
            <w:bookmarkStart w:id="448" w:name="xdx_8B4_zTEYtTDUbfN4"/>
            <w:bookmarkEnd w:id="448"/>
            <w:r>
              <w:rPr/>
              <w:t>Schedule of VIE’s assets and liabilities</w:t>
            </w:r>
          </w:p>
        </w:tc>
        <w:tc>
          <w:tcPr>
            <w:tcW w:w="60" w:type="dxa"/>
            <w:tcBorders/>
            <w:vAlign w:val="center"/>
          </w:tcPr>
          <w:p>
            <w:pPr>
              <w:pStyle w:val="TableContents"/>
              <w:bidi w:val="0"/>
              <w:spacing w:before="0" w:after="283"/>
              <w:jc w:val="left"/>
              <w:rPr/>
            </w:pPr>
            <w:r>
              <w:rPr/>
              <w:t> </w:t>
            </w:r>
            <w:bookmarkStart w:id="449" w:name="xdx_497_20250804__srt--ConsolidatedEntit"/>
            <w:bookmarkEnd w:id="449"/>
          </w:p>
        </w:tc>
        <w:tc>
          <w:tcPr>
            <w:tcW w:w="164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50" w:name="xdx_49C_20250630__srt--ConsolidatedEntit"/>
            <w:bookmarkEnd w:id="450"/>
          </w:p>
        </w:tc>
        <w:tc>
          <w:tcPr>
            <w:tcW w:w="1429" w:type="dxa"/>
            <w:gridSpan w:val="3"/>
            <w:tcBorders/>
            <w:vAlign w:val="center"/>
          </w:tcPr>
          <w:p>
            <w:pPr>
              <w:pStyle w:val="TableContents"/>
              <w:bidi w:val="0"/>
              <w:spacing w:before="0" w:after="283"/>
              <w:jc w:val="center"/>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Deconsolidation</w:t>
            </w:r>
          </w:p>
        </w:tc>
        <w:tc>
          <w:tcPr>
            <w:tcW w:w="60" w:type="dxa"/>
            <w:tcBorders/>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2025</w:t>
            </w:r>
            <w:bookmarkStart w:id="451" w:name="xdx_40F_eus-gaap--Cash_iI_zmazfmMlGPec"/>
            <w:bookmarkEnd w:id="451"/>
          </w:p>
        </w:tc>
      </w:tr>
      <w:tr>
        <w:trPr/>
        <w:tc>
          <w:tcPr>
            <w:tcW w:w="3695" w:type="dxa"/>
            <w:tcBorders/>
            <w:shd w:fill="EEEEEE" w:val="clear"/>
            <w:vAlign w:val="center"/>
          </w:tcPr>
          <w:p>
            <w:pPr>
              <w:pStyle w:val="TableContents"/>
              <w:bidi w:val="0"/>
              <w:spacing w:before="0" w:after="283"/>
              <w:jc w:val="left"/>
              <w:rPr/>
            </w:pPr>
            <w:r>
              <w:rPr/>
              <w:t>Cash in bank</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312" w:type="dxa"/>
            <w:tcBorders/>
            <w:shd w:fill="EEEEEE" w:val="clear"/>
            <w:vAlign w:val="center"/>
          </w:tcPr>
          <w:p>
            <w:pPr>
              <w:pStyle w:val="TableContents"/>
              <w:bidi w:val="0"/>
              <w:spacing w:before="0" w:after="283"/>
              <w:jc w:val="right"/>
              <w:rPr/>
            </w:pPr>
            <w:r>
              <w:rPr/>
              <w:t>165,243</w:t>
            </w:r>
          </w:p>
        </w:tc>
        <w:tc>
          <w:tcPr>
            <w:tcW w:w="9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p>
        </w:tc>
        <w:tc>
          <w:tcPr>
            <w:tcW w:w="1127" w:type="dxa"/>
            <w:tcBorders/>
            <w:shd w:fill="EEEEEE" w:val="clear"/>
            <w:vAlign w:val="center"/>
          </w:tcPr>
          <w:p>
            <w:pPr>
              <w:pStyle w:val="TableContents"/>
              <w:bidi w:val="0"/>
              <w:spacing w:before="0" w:after="283"/>
              <w:jc w:val="right"/>
              <w:rPr/>
            </w:pPr>
            <w:r>
              <w:rPr/>
              <w:t>311,852</w:t>
            </w:r>
          </w:p>
        </w:tc>
        <w:tc>
          <w:tcPr>
            <w:tcW w:w="105" w:type="dxa"/>
            <w:tcBorders/>
            <w:shd w:fill="EEEEEE" w:val="clear"/>
            <w:vAlign w:val="center"/>
          </w:tcPr>
          <w:p>
            <w:pPr>
              <w:pStyle w:val="TableContents"/>
              <w:bidi w:val="0"/>
              <w:spacing w:before="0" w:after="283"/>
              <w:jc w:val="left"/>
              <w:rPr/>
            </w:pPr>
            <w:r>
              <w:rPr/>
              <w:t> </w:t>
            </w:r>
            <w:bookmarkStart w:id="452" w:name="xdx_404_eus-gaap--PrepaidExpenseAndOther"/>
            <w:bookmarkEnd w:id="452"/>
          </w:p>
        </w:tc>
      </w:tr>
      <w:tr>
        <w:trPr/>
        <w:tc>
          <w:tcPr>
            <w:tcW w:w="3695" w:type="dxa"/>
            <w:tcBorders/>
            <w:shd w:fill="FFFFFF" w:val="clear"/>
            <w:vAlign w:val="center"/>
          </w:tcPr>
          <w:p>
            <w:pPr>
              <w:pStyle w:val="TableContents"/>
              <w:bidi w:val="0"/>
              <w:spacing w:before="0" w:after="283"/>
              <w:jc w:val="left"/>
              <w:rPr/>
            </w:pPr>
            <w:r>
              <w:rPr/>
              <w:t>Prepayments and other receivables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312" w:type="dxa"/>
            <w:tcBorders/>
            <w:shd w:fill="FFFFFF" w:val="clear"/>
            <w:vAlign w:val="center"/>
          </w:tcPr>
          <w:p>
            <w:pPr>
              <w:pStyle w:val="TableContents"/>
              <w:bidi w:val="0"/>
              <w:spacing w:before="0" w:after="283"/>
              <w:jc w:val="right"/>
              <w:rPr/>
            </w:pPr>
            <w:r>
              <w:rPr/>
              <w:t>290</w:t>
            </w:r>
          </w:p>
        </w:tc>
        <w:tc>
          <w:tcPr>
            <w:tcW w:w="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1127" w:type="dxa"/>
            <w:tcBorders/>
            <w:shd w:fill="FFFFFF" w:val="clear"/>
            <w:vAlign w:val="center"/>
          </w:tcPr>
          <w:p>
            <w:pPr>
              <w:pStyle w:val="TableContents"/>
              <w:bidi w:val="0"/>
              <w:spacing w:before="0" w:after="283"/>
              <w:jc w:val="right"/>
              <w:rPr/>
            </w:pPr>
            <w:r>
              <w:rPr/>
              <w:t>279</w:t>
            </w:r>
          </w:p>
        </w:tc>
        <w:tc>
          <w:tcPr>
            <w:tcW w:w="105" w:type="dxa"/>
            <w:tcBorders/>
            <w:shd w:fill="FFFFFF" w:val="clear"/>
            <w:vAlign w:val="center"/>
          </w:tcPr>
          <w:p>
            <w:pPr>
              <w:pStyle w:val="TableContents"/>
              <w:bidi w:val="0"/>
              <w:spacing w:before="0" w:after="283"/>
              <w:jc w:val="left"/>
              <w:rPr/>
            </w:pPr>
            <w:r>
              <w:rPr/>
              <w:t> </w:t>
            </w:r>
            <w:bookmarkStart w:id="453" w:name="xdx_407_eus-gaap--DepositsAssetsCurrent_"/>
            <w:bookmarkEnd w:id="453"/>
          </w:p>
        </w:tc>
      </w:tr>
      <w:tr>
        <w:trPr/>
        <w:tc>
          <w:tcPr>
            <w:tcW w:w="3695" w:type="dxa"/>
            <w:tcBorders/>
            <w:shd w:fill="EEEEEE" w:val="clear"/>
            <w:vAlign w:val="center"/>
          </w:tcPr>
          <w:p>
            <w:pPr>
              <w:pStyle w:val="TableContents"/>
              <w:bidi w:val="0"/>
              <w:spacing w:before="0" w:after="283"/>
              <w:jc w:val="left"/>
              <w:rPr/>
            </w:pPr>
            <w:r>
              <w:rPr/>
              <w:t>Rent deposit</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312" w:type="dxa"/>
            <w:tcBorders/>
            <w:shd w:fill="EEEEEE" w:val="clear"/>
            <w:vAlign w:val="center"/>
          </w:tcPr>
          <w:p>
            <w:pPr>
              <w:pStyle w:val="TableContents"/>
              <w:bidi w:val="0"/>
              <w:spacing w:before="0" w:after="283"/>
              <w:jc w:val="right"/>
              <w:rPr/>
            </w:pPr>
            <w:r>
              <w:rPr/>
              <w:t>–</w:t>
            </w:r>
          </w:p>
        </w:tc>
        <w:tc>
          <w:tcPr>
            <w:tcW w:w="9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p>
        </w:tc>
        <w:tc>
          <w:tcPr>
            <w:tcW w:w="1127" w:type="dxa"/>
            <w:tcBorders/>
            <w:shd w:fill="EEEEEE" w:val="clear"/>
            <w:vAlign w:val="center"/>
          </w:tcPr>
          <w:p>
            <w:pPr>
              <w:pStyle w:val="TableContents"/>
              <w:bidi w:val="0"/>
              <w:spacing w:before="0" w:after="283"/>
              <w:jc w:val="right"/>
              <w:rPr/>
            </w:pPr>
            <w:r>
              <w:rPr/>
              <w:t>9,772</w:t>
            </w:r>
          </w:p>
        </w:tc>
        <w:tc>
          <w:tcPr>
            <w:tcW w:w="105" w:type="dxa"/>
            <w:tcBorders/>
            <w:shd w:fill="EEEEEE" w:val="clear"/>
            <w:vAlign w:val="center"/>
          </w:tcPr>
          <w:p>
            <w:pPr>
              <w:pStyle w:val="TableContents"/>
              <w:bidi w:val="0"/>
              <w:spacing w:before="0" w:after="283"/>
              <w:jc w:val="left"/>
              <w:rPr/>
            </w:pPr>
            <w:r>
              <w:rPr/>
              <w:t> </w:t>
            </w:r>
            <w:bookmarkStart w:id="454" w:name="xdx_406_eus-gaap--PropertyPlantAndEquipm"/>
            <w:bookmarkEnd w:id="454"/>
          </w:p>
        </w:tc>
      </w:tr>
      <w:tr>
        <w:trPr/>
        <w:tc>
          <w:tcPr>
            <w:tcW w:w="3695" w:type="dxa"/>
            <w:tcBorders/>
            <w:shd w:fill="FFFFFF" w:val="clear"/>
            <w:vAlign w:val="center"/>
          </w:tcPr>
          <w:p>
            <w:pPr>
              <w:pStyle w:val="TableContents"/>
              <w:bidi w:val="0"/>
              <w:spacing w:before="0" w:after="283"/>
              <w:jc w:val="left"/>
              <w:rPr/>
            </w:pPr>
            <w:r>
              <w:rPr/>
              <w:t>Office equipment, net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312" w:type="dxa"/>
            <w:tcBorders/>
            <w:shd w:fill="FFFFFF" w:val="clear"/>
            <w:vAlign w:val="center"/>
          </w:tcPr>
          <w:p>
            <w:pPr>
              <w:pStyle w:val="TableContents"/>
              <w:bidi w:val="0"/>
              <w:spacing w:before="0" w:after="283"/>
              <w:jc w:val="right"/>
              <w:rPr/>
            </w:pPr>
            <w:r>
              <w:rPr/>
              <w:t>3,652</w:t>
            </w:r>
          </w:p>
        </w:tc>
        <w:tc>
          <w:tcPr>
            <w:tcW w:w="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1127" w:type="dxa"/>
            <w:tcBorders/>
            <w:shd w:fill="FFFFFF" w:val="clear"/>
            <w:vAlign w:val="center"/>
          </w:tcPr>
          <w:p>
            <w:pPr>
              <w:pStyle w:val="TableContents"/>
              <w:bidi w:val="0"/>
              <w:spacing w:before="0" w:after="283"/>
              <w:jc w:val="right"/>
              <w:rPr/>
            </w:pPr>
            <w:r>
              <w:rPr/>
              <w:t>3,562</w:t>
            </w:r>
          </w:p>
        </w:tc>
        <w:tc>
          <w:tcPr>
            <w:tcW w:w="105" w:type="dxa"/>
            <w:tcBorders/>
            <w:shd w:fill="FFFFFF" w:val="clear"/>
            <w:vAlign w:val="center"/>
          </w:tcPr>
          <w:p>
            <w:pPr>
              <w:pStyle w:val="TableContents"/>
              <w:bidi w:val="0"/>
              <w:spacing w:before="0" w:after="283"/>
              <w:jc w:val="left"/>
              <w:rPr/>
            </w:pPr>
            <w:r>
              <w:rPr/>
              <w:t> </w:t>
            </w:r>
            <w:bookmarkStart w:id="455" w:name="xdx_404_eus-gaap--AccountsPayableCurrent"/>
            <w:bookmarkEnd w:id="455"/>
          </w:p>
        </w:tc>
      </w:tr>
      <w:tr>
        <w:trPr/>
        <w:tc>
          <w:tcPr>
            <w:tcW w:w="3695" w:type="dxa"/>
            <w:tcBorders/>
            <w:shd w:fill="EEEEEE" w:val="clear"/>
            <w:vAlign w:val="center"/>
          </w:tcPr>
          <w:p>
            <w:pPr>
              <w:pStyle w:val="TableContents"/>
              <w:bidi w:val="0"/>
              <w:spacing w:before="0" w:after="283"/>
              <w:jc w:val="left"/>
              <w:rPr/>
            </w:pPr>
            <w:r>
              <w:rPr/>
              <w:t>Accounts payable</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312" w:type="dxa"/>
            <w:tcBorders/>
            <w:shd w:fill="EEEEEE" w:val="clear"/>
            <w:vAlign w:val="center"/>
          </w:tcPr>
          <w:p>
            <w:pPr>
              <w:pStyle w:val="TableContents"/>
              <w:bidi w:val="0"/>
              <w:spacing w:before="0" w:after="283"/>
              <w:jc w:val="right"/>
              <w:rPr/>
            </w:pPr>
            <w:r>
              <w:rPr/>
              <w:t>103,377</w:t>
            </w:r>
          </w:p>
        </w:tc>
        <w:tc>
          <w:tcPr>
            <w:tcW w:w="9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p>
        </w:tc>
        <w:tc>
          <w:tcPr>
            <w:tcW w:w="1127" w:type="dxa"/>
            <w:tcBorders/>
            <w:shd w:fill="EEEEEE" w:val="clear"/>
            <w:vAlign w:val="center"/>
          </w:tcPr>
          <w:p>
            <w:pPr>
              <w:pStyle w:val="TableContents"/>
              <w:bidi w:val="0"/>
              <w:spacing w:before="0" w:after="283"/>
              <w:jc w:val="right"/>
              <w:rPr/>
            </w:pPr>
            <w:r>
              <w:rPr/>
              <w:t>99,544</w:t>
            </w:r>
          </w:p>
        </w:tc>
        <w:tc>
          <w:tcPr>
            <w:tcW w:w="105" w:type="dxa"/>
            <w:tcBorders/>
            <w:shd w:fill="EEEEEE" w:val="clear"/>
            <w:vAlign w:val="center"/>
          </w:tcPr>
          <w:p>
            <w:pPr>
              <w:pStyle w:val="TableContents"/>
              <w:bidi w:val="0"/>
              <w:spacing w:before="0" w:after="283"/>
              <w:jc w:val="left"/>
              <w:rPr/>
            </w:pPr>
            <w:r>
              <w:rPr/>
              <w:t> </w:t>
            </w:r>
            <w:bookmarkStart w:id="456" w:name="xdx_401_eus-gaap--TaxesPayableCurrent_iI"/>
            <w:bookmarkEnd w:id="456"/>
          </w:p>
        </w:tc>
      </w:tr>
      <w:tr>
        <w:trPr/>
        <w:tc>
          <w:tcPr>
            <w:tcW w:w="3695"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312"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1127" w:type="dxa"/>
            <w:tcBorders/>
            <w:shd w:fill="FFFFFF" w:val="clear"/>
            <w:vAlign w:val="center"/>
          </w:tcPr>
          <w:p>
            <w:pPr>
              <w:pStyle w:val="TableContents"/>
              <w:bidi w:val="0"/>
              <w:spacing w:before="0" w:after="283"/>
              <w:jc w:val="right"/>
              <w:rPr/>
            </w:pPr>
            <w:r>
              <w:rPr/>
              <w:t>280,155</w:t>
            </w:r>
          </w:p>
        </w:tc>
        <w:tc>
          <w:tcPr>
            <w:tcW w:w="105" w:type="dxa"/>
            <w:tcBorders/>
            <w:shd w:fill="FFFFFF" w:val="clear"/>
            <w:vAlign w:val="center"/>
          </w:tcPr>
          <w:p>
            <w:pPr>
              <w:pStyle w:val="TableContents"/>
              <w:bidi w:val="0"/>
              <w:spacing w:before="0" w:after="283"/>
              <w:jc w:val="left"/>
              <w:rPr/>
            </w:pPr>
            <w:r>
              <w:rPr/>
              <w:t> </w:t>
            </w:r>
            <w:bookmarkStart w:id="457" w:name="xdx_40A_eus-gaap--AccountsPayableAndOthe"/>
            <w:bookmarkEnd w:id="457"/>
          </w:p>
        </w:tc>
      </w:tr>
      <w:tr>
        <w:trPr/>
        <w:tc>
          <w:tcPr>
            <w:tcW w:w="3695" w:type="dxa"/>
            <w:tcBorders/>
            <w:shd w:fill="EEEEEE" w:val="clear"/>
            <w:vAlign w:val="center"/>
          </w:tcPr>
          <w:p>
            <w:pPr>
              <w:pStyle w:val="TableContents"/>
              <w:bidi w:val="0"/>
              <w:spacing w:before="0" w:after="283"/>
              <w:jc w:val="left"/>
              <w:rPr/>
            </w:pPr>
            <w:r>
              <w:rPr/>
              <w:t>Other payables and accrued liabilities</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312" w:type="dxa"/>
            <w:tcBorders/>
            <w:shd w:fill="EEEEEE" w:val="clear"/>
            <w:vAlign w:val="center"/>
          </w:tcPr>
          <w:p>
            <w:pPr>
              <w:pStyle w:val="TableContents"/>
              <w:bidi w:val="0"/>
              <w:spacing w:before="0" w:after="283"/>
              <w:jc w:val="right"/>
              <w:rPr/>
            </w:pPr>
            <w:r>
              <w:rPr/>
              <w:t>24,915</w:t>
            </w:r>
          </w:p>
        </w:tc>
        <w:tc>
          <w:tcPr>
            <w:tcW w:w="9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p>
        </w:tc>
        <w:tc>
          <w:tcPr>
            <w:tcW w:w="1127" w:type="dxa"/>
            <w:tcBorders/>
            <w:shd w:fill="EEEEEE" w:val="clear"/>
            <w:vAlign w:val="center"/>
          </w:tcPr>
          <w:p>
            <w:pPr>
              <w:pStyle w:val="TableContents"/>
              <w:bidi w:val="0"/>
              <w:spacing w:before="0" w:after="283"/>
              <w:jc w:val="right"/>
              <w:rPr/>
            </w:pPr>
            <w:r>
              <w:rPr/>
              <w:t>465,990</w:t>
            </w:r>
          </w:p>
        </w:tc>
        <w:tc>
          <w:tcPr>
            <w:tcW w:w="10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8" w:name="xdx_8AD_zWXyfkI5gA3d"/>
      <w:bookmarkEnd w:id="45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w:t>
      </w:r>
      <w:bookmarkStart w:id="459" w:name="xdx_905_eus-gaap--DeconsolidationGainOrL"/>
      <w:bookmarkEnd w:id="459"/>
      <w:r>
        <w:rPr>
          <w:rFonts w:ascii="Times New Roman;Times;Serif" w:hAnsi="Times New Roman;Times;Serif"/>
          <w:b w:val="false"/>
          <w:i w:val="false"/>
          <w:caps w:val="false"/>
          <w:smallCaps w:val="false"/>
          <w:sz w:val="20"/>
        </w:rPr>
        <w:t>40,893 loss on deconsolidation of VIE for the nine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the VIE were as follows for the nine months ended March 31, 2026 and 2025:</w:t>
      </w:r>
    </w:p>
    <w:p>
      <w:pPr>
        <w:pStyle w:val="Normal"/>
        <w:bidi w:val="0"/>
        <w:spacing w:before="0" w:after="0"/>
        <w:ind w:left="0" w:right="0" w:hanging="0"/>
        <w:jc w:val="left"/>
        <w:rPr>
          <w:sz w:val="4"/>
          <w:szCs w:val="4"/>
        </w:rPr>
      </w:pPr>
      <w:r>
        <w:rPr>
          <w:sz w:val="4"/>
          <w:szCs w:val="4"/>
        </w:rPr>
      </w:r>
      <w:bookmarkStart w:id="460" w:name="xdx_89A_ecustom--ScheduleOfOperatingResu"/>
      <w:bookmarkStart w:id="461" w:name="xdx_89A_ecustom--ScheduleOfOperatingResu"/>
      <w:bookmarkEnd w:id="461"/>
    </w:p>
    <w:tbl>
      <w:tblPr>
        <w:tblW w:w="9345" w:type="dxa"/>
        <w:jc w:val="left"/>
        <w:tblInd w:w="0" w:type="dxa"/>
        <w:tblLayout w:type="fixed"/>
        <w:tblCellMar>
          <w:top w:w="0" w:type="dxa"/>
          <w:left w:w="0" w:type="dxa"/>
          <w:bottom w:w="0" w:type="dxa"/>
          <w:right w:w="0" w:type="dxa"/>
        </w:tblCellMar>
      </w:tblPr>
      <w:tblGrid>
        <w:gridCol w:w="6065"/>
        <w:gridCol w:w="60"/>
        <w:gridCol w:w="140"/>
        <w:gridCol w:w="1355"/>
        <w:gridCol w:w="60"/>
        <w:gridCol w:w="60"/>
        <w:gridCol w:w="140"/>
        <w:gridCol w:w="1355"/>
        <w:gridCol w:w="110"/>
      </w:tblGrid>
      <w:tr>
        <w:trPr/>
        <w:tc>
          <w:tcPr>
            <w:tcW w:w="6065" w:type="dxa"/>
            <w:tcBorders/>
            <w:vAlign w:val="center"/>
          </w:tcPr>
          <w:p>
            <w:pPr>
              <w:pStyle w:val="TableContents"/>
              <w:bidi w:val="0"/>
              <w:spacing w:before="0" w:after="283"/>
              <w:jc w:val="left"/>
              <w:rPr/>
            </w:pPr>
            <w:bookmarkStart w:id="462" w:name="xdx_8B7_zFQWtM6ODxg6"/>
            <w:bookmarkEnd w:id="462"/>
            <w:r>
              <w:rPr/>
              <w:t>Schedule of operating results of the VIE</w:t>
            </w:r>
          </w:p>
        </w:tc>
        <w:tc>
          <w:tcPr>
            <w:tcW w:w="60" w:type="dxa"/>
            <w:tcBorders/>
            <w:vAlign w:val="center"/>
          </w:tcPr>
          <w:p>
            <w:pPr>
              <w:pStyle w:val="TableContents"/>
              <w:bidi w:val="0"/>
              <w:spacing w:before="0" w:after="283"/>
              <w:jc w:val="left"/>
              <w:rPr/>
            </w:pPr>
            <w:r>
              <w:rPr/>
              <w:t> </w:t>
            </w:r>
            <w:bookmarkStart w:id="463" w:name="xdx_490_20250701__20260331__srt--Consoli"/>
            <w:bookmarkEnd w:id="463"/>
          </w:p>
        </w:tc>
        <w:tc>
          <w:tcPr>
            <w:tcW w:w="155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64" w:name="xdx_49B_20240701__20250331__srt--Consoli"/>
            <w:bookmarkEnd w:id="464"/>
          </w:p>
        </w:tc>
        <w:tc>
          <w:tcPr>
            <w:tcW w:w="1605" w:type="dxa"/>
            <w:gridSpan w:val="3"/>
            <w:tcBorders/>
            <w:vAlign w:val="center"/>
          </w:tcPr>
          <w:p>
            <w:pPr>
              <w:pStyle w:val="TableContents"/>
              <w:bidi w:val="0"/>
              <w:spacing w:before="0" w:after="283"/>
              <w:jc w:val="center"/>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For the nine months ended</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2025</w:t>
            </w:r>
          </w:p>
        </w:tc>
        <w:tc>
          <w:tcPr>
            <w:tcW w:w="110" w:type="dxa"/>
            <w:tcBorders/>
            <w:vAlign w:val="center"/>
          </w:tcPr>
          <w:p>
            <w:pPr>
              <w:pStyle w:val="TableContents"/>
              <w:bidi w:val="0"/>
              <w:spacing w:before="0" w:after="283"/>
              <w:jc w:val="left"/>
              <w:rPr/>
            </w:pPr>
            <w:r>
              <w:rPr/>
              <w:t> </w:t>
            </w:r>
            <w:bookmarkStart w:id="465" w:name="xdx_404_eus-gaap--Revenues_d0_zF6IJ3CMQ3"/>
            <w:bookmarkEnd w:id="465"/>
          </w:p>
        </w:tc>
      </w:tr>
      <w:tr>
        <w:trPr/>
        <w:tc>
          <w:tcPr>
            <w:tcW w:w="6065" w:type="dxa"/>
            <w:tcBorders/>
            <w:shd w:fill="EEEEEE" w:val="clear"/>
            <w:vAlign w:val="center"/>
          </w:tcPr>
          <w:p>
            <w:pPr>
              <w:pStyle w:val="TableContents"/>
              <w:bidi w:val="0"/>
              <w:spacing w:before="0" w:after="283"/>
              <w:jc w:val="left"/>
              <w:rPr/>
            </w:pPr>
            <w:r>
              <w:rPr/>
              <w:t>Revenue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355"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355"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bookmarkStart w:id="466" w:name="xdx_40C_eus-gaap--NetIncomeLoss_pp0p0_zE"/>
            <w:bookmarkEnd w:id="466"/>
          </w:p>
        </w:tc>
      </w:tr>
      <w:tr>
        <w:trPr/>
        <w:tc>
          <w:tcPr>
            <w:tcW w:w="6065" w:type="dxa"/>
            <w:tcBorders/>
            <w:shd w:fill="FFFFFF" w:val="clear"/>
            <w:vAlign w:val="center"/>
          </w:tcPr>
          <w:p>
            <w:pPr>
              <w:pStyle w:val="TableContents"/>
              <w:bidi w:val="0"/>
              <w:spacing w:before="0" w:after="283"/>
              <w:jc w:val="left"/>
              <w:rPr/>
            </w:pPr>
            <w:r>
              <w:rPr/>
              <w:t>Net income (loss) after elimination of intercompany transactions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55" w:type="dxa"/>
            <w:tcBorders/>
            <w:shd w:fill="FFFFFF" w:val="clear"/>
            <w:vAlign w:val="center"/>
          </w:tcPr>
          <w:p>
            <w:pPr>
              <w:pStyle w:val="TableContents"/>
              <w:bidi w:val="0"/>
              <w:spacing w:before="0" w:after="283"/>
              <w:jc w:val="right"/>
              <w:rPr/>
            </w:pPr>
            <w:r>
              <w:rPr/>
              <w:t>650,250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55" w:type="dxa"/>
            <w:tcBorders/>
            <w:shd w:fill="FFFFFF" w:val="clear"/>
            <w:vAlign w:val="center"/>
          </w:tcPr>
          <w:p>
            <w:pPr>
              <w:pStyle w:val="TableContents"/>
              <w:bidi w:val="0"/>
              <w:spacing w:before="0" w:after="283"/>
              <w:jc w:val="right"/>
              <w:rPr/>
            </w:pPr>
            <w:r>
              <w:rPr/>
              <w:t>(669,296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467" w:name="xdx_8A3_zvEHZeo5gE9i"/>
      <w:bookmarkEnd w:id="46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68" w:name="xdx_804_eus-gaap--DisposalGroupsIncludin"/>
      <w:bookmarkEnd w:id="468"/>
      <w:r>
        <w:rPr>
          <w:rFonts w:ascii="Times New Roman;Times;Serif" w:hAnsi="Times New Roman;Times;Serif"/>
          <w:b/>
          <w:i w:val="false"/>
          <w:caps w:val="false"/>
          <w:smallCaps w:val="false"/>
          <w:sz w:val="20"/>
        </w:rPr>
        <w:t xml:space="preserve">Note 5 – </w:t>
      </w:r>
      <w:bookmarkStart w:id="469" w:name="xdx_822_zMajaNDZiLBf"/>
      <w:bookmarkEnd w:id="469"/>
      <w:r>
        <w:rPr>
          <w:rFonts w:ascii="Times New Roman;Times;Serif" w:hAnsi="Times New Roman;Times;Serif"/>
          <w:b/>
          <w:i w:val="false"/>
          <w:caps w:val="false"/>
          <w:smallCaps w:val="false"/>
          <w:sz w:val="20"/>
        </w:rPr>
        <w:t>Discontinued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the Company assumed all outstanding vendor payables related to the Software Assets. In addition, the Software Asset Transfer Agreement granted GPM a non-exclusive worldwide, perpetual, irrevocable and royalty free license to use, reproduce and modify the licensed software, thus allowing the Company and GPM to collaborate in the software development on a going forward basis. Further, in the event GPM resells the Original Software code (as defined in the agreement), GPM shall pay the Company 50% of the proceeds received in relation to such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on February 1, 2026, the Company entered into a stock purchase agreement (the “SPA”) with ETTS AI Investment LLC, a Nevada limited liability company (“ETTS AI”), pursuant to which the Company sold its equity interest in GPM and its underlying entities to ETTS AI in exchange for a $</w:t>
      </w:r>
      <w:bookmarkStart w:id="470" w:name="xdx_902_eus-gaap--EquityMethodInvestment"/>
      <w:bookmarkEnd w:id="470"/>
      <w:r>
        <w:rPr>
          <w:rFonts w:ascii="Times New Roman;Times;Serif" w:hAnsi="Times New Roman;Times;Serif"/>
          <w:b w:val="false"/>
          <w:i w:val="false"/>
          <w:caps w:val="false"/>
          <w:smallCaps w:val="false"/>
          <w:sz w:val="20"/>
        </w:rPr>
        <w:t>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pStyle w:val="TextBody"/>
        <w:bidi w:val="0"/>
        <w:spacing w:before="0" w:after="0"/>
        <w:ind w:left="0" w:right="0" w:hanging="0"/>
        <w:jc w:val="both"/>
        <w:rPr>
          <w:caps w:val="false"/>
          <w:smallCaps w:val="false"/>
        </w:rPr>
      </w:pPr>
      <w:bookmarkStart w:id="471" w:name="xdx_235_zHzErApI2cg"/>
      <w:bookmarkEnd w:id="471"/>
      <w:r>
        <w:rPr>
          <w:caps w:val="false"/>
          <w:smallCaps w:val="false"/>
        </w:rPr>
        <w:t> </w:t>
      </w:r>
    </w:p>
    <w:p>
      <w:pPr>
        <w:pStyle w:val="TextBody"/>
        <w:bidi w:val="0"/>
        <w:spacing w:before="0" w:after="0"/>
        <w:ind w:left="0" w:right="0" w:hanging="0"/>
        <w:jc w:val="both"/>
        <w:rPr>
          <w:caps w:val="false"/>
          <w:smallCaps w:val="false"/>
        </w:rPr>
      </w:pPr>
      <w:bookmarkStart w:id="472" w:name="xdx_239_zYc8cDf4poU6"/>
      <w:bookmarkEnd w:id="472"/>
      <w:r>
        <w:rPr>
          <w:caps w:val="false"/>
          <w:smallCaps w:val="false"/>
        </w:rPr>
        <w:t> </w:t>
      </w:r>
    </w:p>
    <w:p>
      <w:pPr>
        <w:pStyle w:val="TextBody"/>
        <w:bidi w:val="0"/>
        <w:spacing w:before="0" w:after="0"/>
        <w:ind w:left="0" w:right="0" w:hanging="0"/>
        <w:jc w:val="both"/>
        <w:rPr>
          <w:caps w:val="false"/>
          <w:smallCaps w:val="false"/>
        </w:rPr>
      </w:pPr>
      <w:bookmarkStart w:id="473" w:name="xdx_234_zHEFiNMb17T7"/>
      <w:bookmarkEnd w:id="47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Supply and Distribution Agreement, the Company and GPM agreed that the Company will act as exclusive supplier in the United States, Canada and Mexico for all existing SKUs that have historically been distributed from the Company to GPM, thus allowing the Company to continue in its role of supplier to GPM while divesting of the cost center associated with GPM’s sales function. As distributor, The Company will charge GPM, as supplier, a price mutually agreed on for each product and has the right to add up to 15% margin on top of the net cost. In addition, GPM will charge the Company a cooperative marketing fee, which will be defined in a subsequent agreement between the parties. Under the Supply and Distribution Agreement, payment on all purchase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two-year terms, unless 90 days’ notice is provided prior to the expiration of such term. In addition, the Supply and Distribution Agreement contains standard limitation on liability, indemnification and other provisions standard for an agreement of this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GPM represents a strategic shift that will have a major effect on the Company’s operations and financial results. Due to this shift, for all periods presented, the consolidated financial statements reflect GPM’s financial results as discontinued operations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carrying amounts of GPM’s assets and liabilities and loss on disposal as of February 1, 2026: </w:t>
      </w:r>
    </w:p>
    <w:p>
      <w:pPr>
        <w:pStyle w:val="Normal"/>
        <w:bidi w:val="0"/>
        <w:spacing w:before="0" w:after="0"/>
        <w:jc w:val="left"/>
        <w:rPr>
          <w:sz w:val="4"/>
          <w:szCs w:val="4"/>
        </w:rPr>
      </w:pPr>
      <w:r>
        <w:rPr>
          <w:sz w:val="4"/>
          <w:szCs w:val="4"/>
        </w:rPr>
      </w:r>
      <w:bookmarkStart w:id="474" w:name="xdx_888_eus-gaap--ScheduleOfDisposalGrou"/>
      <w:bookmarkStart w:id="475" w:name="xdx_888_eus-gaap--ScheduleOfDisposalGrou"/>
      <w:bookmarkEnd w:id="475"/>
    </w:p>
    <w:tbl>
      <w:tblPr>
        <w:tblW w:w="4505" w:type="dxa"/>
        <w:jc w:val="left"/>
        <w:tblInd w:w="0" w:type="dxa"/>
        <w:tblLayout w:type="fixed"/>
        <w:tblCellMar>
          <w:top w:w="0" w:type="dxa"/>
          <w:left w:w="0" w:type="dxa"/>
          <w:bottom w:w="0" w:type="dxa"/>
          <w:right w:w="0" w:type="dxa"/>
        </w:tblCellMar>
      </w:tblPr>
      <w:tblGrid>
        <w:gridCol w:w="3320"/>
        <w:gridCol w:w="60"/>
        <w:gridCol w:w="125"/>
        <w:gridCol w:w="905"/>
        <w:gridCol w:w="95"/>
      </w:tblGrid>
      <w:tr>
        <w:trPr/>
        <w:tc>
          <w:tcPr>
            <w:tcW w:w="3320" w:type="dxa"/>
            <w:tcBorders/>
            <w:vAlign w:val="center"/>
          </w:tcPr>
          <w:p>
            <w:pPr>
              <w:pStyle w:val="TableContents"/>
              <w:bidi w:val="0"/>
              <w:spacing w:before="0" w:after="283"/>
              <w:jc w:val="left"/>
              <w:rPr/>
            </w:pPr>
            <w:bookmarkStart w:id="476" w:name="xdx_8BB_zauXsSpPAVLi"/>
            <w:bookmarkEnd w:id="476"/>
            <w:r>
              <w:rPr/>
              <w:t>‘</w:t>
            </w:r>
            <w:r>
              <w:rPr>
                <w:b/>
                <w:sz w:val="20"/>
              </w:rPr>
              <w:t>Schedule of VIE’s assets and liabilities</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95" w:type="dxa"/>
            <w:tcBorders/>
            <w:vAlign w:val="center"/>
          </w:tcPr>
          <w:p>
            <w:pPr>
              <w:pStyle w:val="TableContents"/>
              <w:bidi w:val="0"/>
              <w:spacing w:before="0" w:after="283"/>
              <w:jc w:val="left"/>
              <w:rPr/>
            </w:pPr>
            <w:r>
              <w:rPr/>
              <w:t> </w:t>
            </w:r>
          </w:p>
        </w:tc>
      </w:tr>
      <w:tr>
        <w:trPr/>
        <w:tc>
          <w:tcPr>
            <w:tcW w:w="3320" w:type="dxa"/>
            <w:tcBorders/>
            <w:shd w:fill="EEEEEE" w:val="clear"/>
            <w:vAlign w:val="center"/>
          </w:tcPr>
          <w:p>
            <w:pPr>
              <w:pStyle w:val="TableContents"/>
              <w:bidi w:val="0"/>
              <w:spacing w:before="0" w:after="283"/>
              <w:jc w:val="left"/>
              <w:rPr>
                <w:sz w:val="20"/>
              </w:rPr>
            </w:pPr>
            <w:r>
              <w:rPr>
                <w:sz w:val="20"/>
              </w:rPr>
              <w:t>Total assets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bookmarkStart w:id="477" w:name="xdx_983_eus-gaap--AssetsOfDisposalGroupI"/>
            <w:bookmarkEnd w:id="477"/>
          </w:p>
        </w:tc>
        <w:tc>
          <w:tcPr>
            <w:tcW w:w="905" w:type="dxa"/>
            <w:tcBorders/>
            <w:shd w:fill="EEEEEE" w:val="clear"/>
            <w:vAlign w:val="center"/>
          </w:tcPr>
          <w:p>
            <w:pPr>
              <w:pStyle w:val="TableContents"/>
              <w:bidi w:val="0"/>
              <w:spacing w:before="0" w:after="283"/>
              <w:jc w:val="right"/>
              <w:rPr>
                <w:sz w:val="20"/>
              </w:rPr>
            </w:pPr>
            <w:r>
              <w:rPr>
                <w:sz w:val="20"/>
              </w:rPr>
              <w:t>4,209,577</w:t>
            </w:r>
          </w:p>
        </w:tc>
        <w:tc>
          <w:tcPr>
            <w:tcW w:w="95" w:type="dxa"/>
            <w:tcBorders/>
            <w:shd w:fill="EEEEEE"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sz w:val="20"/>
              </w:rPr>
            </w:pPr>
            <w:r>
              <w:rPr>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8" w:name="xdx_98D_eus-gaap--LiabilitiesOfDisposalG"/>
            <w:bookmarkEnd w:id="478"/>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(92,159</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320" w:type="dxa"/>
            <w:tcBorders/>
            <w:shd w:fill="EEEEEE" w:val="clear"/>
            <w:vAlign w:val="center"/>
          </w:tcPr>
          <w:p>
            <w:pPr>
              <w:pStyle w:val="TableContents"/>
              <w:bidi w:val="0"/>
              <w:spacing w:before="0" w:after="283"/>
              <w:jc w:val="left"/>
              <w:rPr>
                <w:sz w:val="20"/>
              </w:rPr>
            </w:pPr>
            <w:r>
              <w:rPr>
                <w:sz w:val="20"/>
              </w:rPr>
              <w:t>Net assets disposed</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bookmarkStart w:id="479" w:name="xdx_987_ecustom--AssetsOfDisposalGroupIn"/>
            <w:bookmarkEnd w:id="479"/>
          </w:p>
        </w:tc>
        <w:tc>
          <w:tcPr>
            <w:tcW w:w="905" w:type="dxa"/>
            <w:tcBorders/>
            <w:shd w:fill="EEEEEE" w:val="clear"/>
            <w:vAlign w:val="center"/>
          </w:tcPr>
          <w:p>
            <w:pPr>
              <w:pStyle w:val="TableContents"/>
              <w:bidi w:val="0"/>
              <w:spacing w:before="0" w:after="283"/>
              <w:jc w:val="right"/>
              <w:rPr>
                <w:sz w:val="20"/>
              </w:rPr>
            </w:pPr>
            <w:r>
              <w:rPr>
                <w:sz w:val="20"/>
              </w:rPr>
              <w:t>4,117,418</w:t>
            </w:r>
          </w:p>
        </w:tc>
        <w:tc>
          <w:tcPr>
            <w:tcW w:w="95" w:type="dxa"/>
            <w:tcBorders/>
            <w:shd w:fill="EEEEEE"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sz w:val="20"/>
              </w:rPr>
            </w:pPr>
            <w:r>
              <w:rPr>
                <w:sz w:val="20"/>
              </w:rPr>
              <w:t>Total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0" w:name="xdx_980_eus-gaap--DisposalGroupIncluding"/>
            <w:bookmarkEnd w:id="480"/>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2,300,000</w:t>
            </w:r>
          </w:p>
        </w:tc>
        <w:tc>
          <w:tcPr>
            <w:tcW w:w="95" w:type="dxa"/>
            <w:tcBorders/>
            <w:shd w:fill="FFFFFF" w:val="clear"/>
            <w:vAlign w:val="center"/>
          </w:tcPr>
          <w:p>
            <w:pPr>
              <w:pStyle w:val="TableContents"/>
              <w:bidi w:val="0"/>
              <w:spacing w:before="0" w:after="283"/>
              <w:jc w:val="left"/>
              <w:rPr/>
            </w:pPr>
            <w:r>
              <w:rPr/>
              <w:t> </w:t>
            </w:r>
          </w:p>
        </w:tc>
      </w:tr>
      <w:tr>
        <w:trPr/>
        <w:tc>
          <w:tcPr>
            <w:tcW w:w="3320" w:type="dxa"/>
            <w:tcBorders/>
            <w:shd w:fill="EEEEEE" w:val="clear"/>
            <w:vAlign w:val="center"/>
          </w:tcPr>
          <w:p>
            <w:pPr>
              <w:pStyle w:val="TableContents"/>
              <w:bidi w:val="0"/>
              <w:spacing w:before="0" w:after="283"/>
              <w:jc w:val="left"/>
              <w:rPr>
                <w:sz w:val="20"/>
              </w:rPr>
            </w:pPr>
            <w:r>
              <w:rPr>
                <w:sz w:val="20"/>
              </w:rPr>
              <w:t>Loss on disposal</w:t>
            </w:r>
          </w:p>
        </w:tc>
        <w:tc>
          <w:tcPr>
            <w:tcW w:w="60" w:type="dxa"/>
            <w:tcBorders/>
            <w:shd w:fill="EEEEEE" w:val="clear"/>
            <w:vAlign w:val="center"/>
          </w:tcPr>
          <w:p>
            <w:pPr>
              <w:pStyle w:val="TableContents"/>
              <w:bidi w:val="0"/>
              <w:spacing w:before="0" w:after="283"/>
              <w:jc w:val="left"/>
              <w:rPr/>
            </w:pPr>
            <w:r>
              <w:rPr/>
              <w:t> </w:t>
            </w:r>
          </w:p>
        </w:tc>
        <w:tc>
          <w:tcPr>
            <w:tcW w:w="125"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bookmarkStart w:id="481" w:name="xdx_982_eus-gaap--DiscontinuedOperationG"/>
            <w:bookmarkEnd w:id="481"/>
          </w:p>
        </w:tc>
        <w:tc>
          <w:tcPr>
            <w:tcW w:w="905"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(1,817,418</w:t>
            </w:r>
          </w:p>
        </w:tc>
        <w:tc>
          <w:tcPr>
            <w:tcW w:w="95" w:type="dxa"/>
            <w:tcBorders/>
            <w:shd w:fill="EEEEEE"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components of discontinued operations, net of tax for the three and nine months ended March 31, 2026 and 2025:</w:t>
      </w:r>
    </w:p>
    <w:p>
      <w:pPr>
        <w:pStyle w:val="Normal"/>
        <w:bidi w:val="0"/>
        <w:spacing w:before="0" w:after="0"/>
        <w:jc w:val="left"/>
        <w:rPr>
          <w:sz w:val="4"/>
          <w:szCs w:val="4"/>
        </w:rPr>
      </w:pPr>
      <w:r>
        <w:rPr>
          <w:sz w:val="4"/>
          <w:szCs w:val="4"/>
        </w:rPr>
      </w:r>
      <w:bookmarkStart w:id="482" w:name="xdx_886_ecustom--ScheduleOfDisposalGroup"/>
      <w:bookmarkStart w:id="483" w:name="xdx_886_ecustom--ScheduleOfDisposalGroup"/>
      <w:bookmarkEnd w:id="483"/>
    </w:p>
    <w:tbl>
      <w:tblPr>
        <w:tblW w:w="9090" w:type="dxa"/>
        <w:jc w:val="left"/>
        <w:tblInd w:w="0" w:type="dxa"/>
        <w:tblLayout w:type="fixed"/>
        <w:tblCellMar>
          <w:top w:w="0" w:type="dxa"/>
          <w:left w:w="0" w:type="dxa"/>
          <w:bottom w:w="0" w:type="dxa"/>
          <w:right w:w="0" w:type="dxa"/>
        </w:tblCellMar>
      </w:tblPr>
      <w:tblGrid>
        <w:gridCol w:w="4115"/>
        <w:gridCol w:w="60"/>
        <w:gridCol w:w="140"/>
        <w:gridCol w:w="980"/>
        <w:gridCol w:w="60"/>
        <w:gridCol w:w="60"/>
        <w:gridCol w:w="140"/>
        <w:gridCol w:w="980"/>
        <w:gridCol w:w="60"/>
        <w:gridCol w:w="60"/>
        <w:gridCol w:w="140"/>
        <w:gridCol w:w="980"/>
        <w:gridCol w:w="60"/>
        <w:gridCol w:w="60"/>
        <w:gridCol w:w="140"/>
        <w:gridCol w:w="980"/>
        <w:gridCol w:w="75"/>
      </w:tblGrid>
      <w:tr>
        <w:trPr/>
        <w:tc>
          <w:tcPr>
            <w:tcW w:w="4115" w:type="dxa"/>
            <w:tcBorders/>
            <w:shd w:fill="FFFFFF" w:val="clear"/>
            <w:vAlign w:val="center"/>
          </w:tcPr>
          <w:p>
            <w:pPr>
              <w:pStyle w:val="TableContents"/>
              <w:bidi w:val="0"/>
              <w:spacing w:before="0" w:after="283"/>
              <w:jc w:val="left"/>
              <w:rPr/>
            </w:pPr>
            <w:bookmarkStart w:id="484" w:name="xdx_8B0_zUiXeqIxdC5c"/>
            <w:bookmarkEnd w:id="484"/>
            <w:r>
              <w:rPr/>
              <w:t>Schedule of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5" w:name="xdx_491_20260101__20260331__us-gaap--Sta"/>
            <w:bookmarkEnd w:id="485"/>
          </w:p>
        </w:tc>
        <w:tc>
          <w:tcPr>
            <w:tcW w:w="9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6" w:name="xdx_493_20250101__20250331__us-gaap--Sta"/>
            <w:bookmarkEnd w:id="486"/>
          </w:p>
        </w:tc>
        <w:tc>
          <w:tcPr>
            <w:tcW w:w="9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7" w:name="xdx_492_20250701__20260331__us-gaap--Sta"/>
            <w:bookmarkEnd w:id="487"/>
          </w:p>
        </w:tc>
        <w:tc>
          <w:tcPr>
            <w:tcW w:w="9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8" w:name="xdx_490_20240701__20250331__us-gaap--Sta"/>
            <w:bookmarkEnd w:id="488"/>
          </w:p>
        </w:tc>
        <w:tc>
          <w:tcPr>
            <w:tcW w:w="98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bottom w:val="single" w:sz="8" w:space="0" w:color="000000"/>
            </w:tcBorders>
            <w:tcMar>
              <w:bottom w:w="28" w:type="dxa"/>
            </w:tcMar>
            <w:vAlign w:val="center"/>
          </w:tcPr>
          <w:p>
            <w:pPr>
              <w:pStyle w:val="TableContents"/>
              <w:bidi w:val="0"/>
              <w:spacing w:before="0" w:after="283"/>
              <w:jc w:val="center"/>
              <w:rPr>
                <w:b/>
              </w:rPr>
            </w:pPr>
            <w:r>
              <w:rPr>
                <w:b/>
              </w:rPr>
              <w:t>Component</w:t>
            </w:r>
          </w:p>
        </w:tc>
        <w:tc>
          <w:tcPr>
            <w:tcW w:w="60" w:type="dxa"/>
            <w:tcBorders/>
            <w:vAlign w:val="center"/>
          </w:tcPr>
          <w:p>
            <w:pPr>
              <w:pStyle w:val="TableContents"/>
              <w:bidi w:val="0"/>
              <w:spacing w:before="0" w:after="283"/>
              <w:jc w:val="left"/>
              <w:rPr/>
            </w:pPr>
            <w:r>
              <w:rPr/>
              <w:t> </w:t>
            </w:r>
          </w:p>
        </w:tc>
        <w:tc>
          <w:tcPr>
            <w:tcW w:w="242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243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Nine Months Ended</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b/>
              </w:rPr>
            </w:pPr>
            <w:r>
              <w:rPr>
                <w:b/>
              </w:rPr>
              <w:t>3/31/26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b/>
              </w:rPr>
            </w:pPr>
            <w:r>
              <w:rPr>
                <w:b/>
              </w:rPr>
              <w:t>3/31/2025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b/>
              </w:rPr>
            </w:pPr>
            <w:r>
              <w:rPr>
                <w:b/>
              </w:rPr>
              <w:t>3/31/2026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b/>
              </w:rPr>
            </w:pPr>
            <w:r>
              <w:rPr>
                <w:b/>
              </w:rPr>
              <w:t>3/31/2025</w:t>
            </w:r>
          </w:p>
        </w:tc>
        <w:tc>
          <w:tcPr>
            <w:tcW w:w="75" w:type="dxa"/>
            <w:tcBorders/>
            <w:vAlign w:val="center"/>
          </w:tcPr>
          <w:p>
            <w:pPr>
              <w:pStyle w:val="TableContents"/>
              <w:bidi w:val="0"/>
              <w:spacing w:before="0" w:after="283"/>
              <w:jc w:val="center"/>
              <w:rPr/>
            </w:pPr>
            <w:r>
              <w:rPr/>
              <w:t> </w:t>
            </w:r>
            <w:bookmarkStart w:id="489" w:name="xdx_403_eus-gaap--DiscontinuedOperationI"/>
            <w:bookmarkEnd w:id="489"/>
          </w:p>
        </w:tc>
      </w:tr>
      <w:tr>
        <w:trPr/>
        <w:tc>
          <w:tcPr>
            <w:tcW w:w="4115" w:type="dxa"/>
            <w:tcBorders/>
            <w:shd w:fill="EEEEEE" w:val="clear"/>
            <w:vAlign w:val="center"/>
          </w:tcPr>
          <w:p>
            <w:pPr>
              <w:pStyle w:val="TableContents"/>
              <w:bidi w:val="0"/>
              <w:spacing w:before="0" w:after="283"/>
              <w:jc w:val="left"/>
              <w:rPr/>
            </w:pPr>
            <w:r>
              <w:rPr/>
              <w:t>Income from discontinued operations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295,426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65,861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108,724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493,044</w:t>
            </w:r>
          </w:p>
        </w:tc>
        <w:tc>
          <w:tcPr>
            <w:tcW w:w="75" w:type="dxa"/>
            <w:tcBorders/>
            <w:shd w:fill="EEEEEE" w:val="clear"/>
            <w:vAlign w:val="center"/>
          </w:tcPr>
          <w:p>
            <w:pPr>
              <w:pStyle w:val="TableContents"/>
              <w:bidi w:val="0"/>
              <w:spacing w:before="0" w:after="283"/>
              <w:jc w:val="left"/>
              <w:rPr/>
            </w:pPr>
            <w:r>
              <w:rPr/>
              <w:t> </w:t>
            </w:r>
            <w:bookmarkStart w:id="490" w:name="xdx_40F_ecustom--GainOnDispositionOfSubs"/>
            <w:bookmarkEnd w:id="490"/>
          </w:p>
        </w:tc>
      </w:tr>
      <w:tr>
        <w:trPr/>
        <w:tc>
          <w:tcPr>
            <w:tcW w:w="4115" w:type="dxa"/>
            <w:tcBorders/>
            <w:shd w:fill="FFFFFF" w:val="clear"/>
            <w:vAlign w:val="center"/>
          </w:tcPr>
          <w:p>
            <w:pPr>
              <w:pStyle w:val="TableContents"/>
              <w:bidi w:val="0"/>
              <w:spacing w:before="0" w:after="283"/>
              <w:jc w:val="left"/>
              <w:rPr/>
            </w:pPr>
            <w:r>
              <w:rPr/>
              <w:t>Gain on disposition of subsidiaries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91" w:name="xdx_40B_eus-gaap--DiscontinuedOperationT"/>
            <w:bookmarkEnd w:id="491"/>
          </w:p>
        </w:tc>
      </w:tr>
      <w:tr>
        <w:trPr/>
        <w:tc>
          <w:tcPr>
            <w:tcW w:w="4115" w:type="dxa"/>
            <w:tcBorders/>
            <w:shd w:fill="EEEEEE" w:val="clear"/>
            <w:vAlign w:val="center"/>
          </w:tcPr>
          <w:p>
            <w:pPr>
              <w:pStyle w:val="TableContents"/>
              <w:bidi w:val="0"/>
              <w:spacing w:before="0" w:after="283"/>
              <w:jc w:val="left"/>
              <w:rPr/>
            </w:pPr>
            <w:r>
              <w:rPr/>
              <w:t>Income tax expenses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82,866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19,653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312,146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147,124</w:t>
            </w:r>
          </w:p>
        </w:tc>
        <w:tc>
          <w:tcPr>
            <w:tcW w:w="75" w:type="dxa"/>
            <w:tcBorders/>
            <w:shd w:fill="EEEEEE" w:val="clear"/>
            <w:vAlign w:val="center"/>
          </w:tcPr>
          <w:p>
            <w:pPr>
              <w:pStyle w:val="TableContents"/>
              <w:bidi w:val="0"/>
              <w:spacing w:before="0" w:after="283"/>
              <w:jc w:val="left"/>
              <w:rPr/>
            </w:pPr>
            <w:r>
              <w:rPr/>
              <w:t> </w:t>
            </w:r>
            <w:bookmarkStart w:id="492" w:name="xdx_409_eus-gaap--IncomeLossFromDisconti"/>
            <w:bookmarkEnd w:id="492"/>
          </w:p>
        </w:tc>
      </w:tr>
      <w:tr>
        <w:trPr/>
        <w:tc>
          <w:tcPr>
            <w:tcW w:w="4115" w:type="dxa"/>
            <w:tcBorders/>
            <w:shd w:fill="FFFFFF" w:val="clear"/>
            <w:vAlign w:val="center"/>
          </w:tcPr>
          <w:p>
            <w:pPr>
              <w:pStyle w:val="TableContents"/>
              <w:bidi w:val="0"/>
              <w:spacing w:before="0" w:after="283"/>
              <w:jc w:val="left"/>
              <w:rPr>
                <w:b/>
              </w:rPr>
            </w:pPr>
            <w:r>
              <w:rPr>
                <w:b/>
              </w:rPr>
              <w:t>Total discontinued operations, net of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1,826,496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1,410,514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345,920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items from discontinued operations for the nine months ended March 31, 2026 and 2025 included within the consolidated statements of cash flows, including adjustments to reconcile net earnings to cash provided by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93" w:name="xdx_88A_ecustom--ScheduleOfDisposalGroup"/>
      <w:bookmarkStart w:id="494" w:name="xdx_88A_ecustom--ScheduleOfDisposalGroup"/>
      <w:bookmarkEnd w:id="494"/>
    </w:p>
    <w:tbl>
      <w:tblPr>
        <w:tblW w:w="5440" w:type="dxa"/>
        <w:jc w:val="left"/>
        <w:tblInd w:w="0" w:type="dxa"/>
        <w:tblLayout w:type="fixed"/>
        <w:tblCellMar>
          <w:top w:w="0" w:type="dxa"/>
          <w:left w:w="0" w:type="dxa"/>
          <w:bottom w:w="0" w:type="dxa"/>
          <w:right w:w="0" w:type="dxa"/>
        </w:tblCellMar>
      </w:tblPr>
      <w:tblGrid>
        <w:gridCol w:w="3185"/>
        <w:gridCol w:w="60"/>
        <w:gridCol w:w="125"/>
        <w:gridCol w:w="875"/>
        <w:gridCol w:w="60"/>
        <w:gridCol w:w="60"/>
        <w:gridCol w:w="125"/>
        <w:gridCol w:w="875"/>
        <w:gridCol w:w="75"/>
      </w:tblGrid>
      <w:tr>
        <w:trPr/>
        <w:tc>
          <w:tcPr>
            <w:tcW w:w="3185" w:type="dxa"/>
            <w:tcBorders/>
            <w:vAlign w:val="center"/>
          </w:tcPr>
          <w:p>
            <w:pPr>
              <w:pStyle w:val="TableContents"/>
              <w:bidi w:val="0"/>
              <w:spacing w:before="0" w:after="283"/>
              <w:jc w:val="left"/>
              <w:rPr>
                <w:b/>
                <w:sz w:val="20"/>
              </w:rPr>
            </w:pPr>
            <w:bookmarkStart w:id="495" w:name="xdx_8BC_zTU95lzf6rkd"/>
            <w:bookmarkEnd w:id="495"/>
            <w:r>
              <w:rPr>
                <w:b/>
                <w:sz w:val="20"/>
              </w:rPr>
              <w:t>Income from discontinued operations</w:t>
            </w:r>
          </w:p>
        </w:tc>
        <w:tc>
          <w:tcPr>
            <w:tcW w:w="60" w:type="dxa"/>
            <w:tcBorders/>
            <w:vAlign w:val="center"/>
          </w:tcPr>
          <w:p>
            <w:pPr>
              <w:pStyle w:val="TableContents"/>
              <w:bidi w:val="0"/>
              <w:spacing w:before="0" w:after="283"/>
              <w:jc w:val="left"/>
              <w:rPr/>
            </w:pPr>
            <w:r>
              <w:rPr/>
              <w:t> </w:t>
            </w:r>
          </w:p>
        </w:tc>
        <w:tc>
          <w:tcPr>
            <w:tcW w:w="212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Nine Months Ended</w:t>
            </w:r>
          </w:p>
        </w:tc>
        <w:tc>
          <w:tcPr>
            <w:tcW w:w="75" w:type="dxa"/>
            <w:tcBorders/>
            <w:vAlign w:val="center"/>
          </w:tcPr>
          <w:p>
            <w:pPr>
              <w:pStyle w:val="TableContents"/>
              <w:bidi w:val="0"/>
              <w:spacing w:before="0" w:after="283"/>
              <w:jc w:val="left"/>
              <w:rPr/>
            </w:pPr>
            <w:r>
              <w:rPr/>
              <w:t> </w:t>
            </w:r>
          </w:p>
        </w:tc>
      </w:tr>
      <w:tr>
        <w:trPr/>
        <w:tc>
          <w:tcPr>
            <w:tcW w:w="31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EEEEEE" w:val="clear"/>
            <w:tcMar>
              <w:bottom w:w="28" w:type="dxa"/>
            </w:tcMar>
            <w:vAlign w:val="center"/>
          </w:tcPr>
          <w:p>
            <w:pPr>
              <w:pStyle w:val="TableContents"/>
              <w:bidi w:val="0"/>
              <w:spacing w:before="0" w:after="283"/>
              <w:jc w:val="right"/>
              <w:rPr>
                <w:b/>
                <w:sz w:val="20"/>
              </w:rPr>
            </w:pPr>
            <w:r>
              <w:rPr>
                <w:b/>
                <w:sz w:val="20"/>
              </w:rPr>
              <w:t>3/31/2026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EEEEEE" w:val="clear"/>
            <w:tcMar>
              <w:bottom w:w="28" w:type="dxa"/>
            </w:tcMar>
            <w:vAlign w:val="center"/>
          </w:tcPr>
          <w:p>
            <w:pPr>
              <w:pStyle w:val="TableContents"/>
              <w:bidi w:val="0"/>
              <w:spacing w:before="0" w:after="283"/>
              <w:jc w:val="right"/>
              <w:rPr>
                <w:b/>
                <w:sz w:val="20"/>
              </w:rPr>
            </w:pPr>
            <w:r>
              <w:rPr>
                <w:b/>
                <w:sz w:val="20"/>
              </w:rPr>
              <w:t>3/31/2025</w:t>
            </w:r>
          </w:p>
        </w:tc>
        <w:tc>
          <w:tcPr>
            <w:tcW w:w="75" w:type="dxa"/>
            <w:tcBorders/>
            <w:shd w:fill="EEEEEE"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sz w:val="20"/>
              </w:rPr>
            </w:pPr>
            <w:r>
              <w:rPr>
                <w:sz w:val="20"/>
              </w:rPr>
              <w:t>Income from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75" w:type="dxa"/>
            <w:tcBorders/>
            <w:shd w:fill="FFFFFF" w:val="clear"/>
            <w:vAlign w:val="center"/>
          </w:tcPr>
          <w:p>
            <w:pPr>
              <w:pStyle w:val="TableContents"/>
              <w:bidi w:val="0"/>
              <w:spacing w:before="0" w:after="283"/>
              <w:jc w:val="right"/>
              <w:rPr>
                <w:sz w:val="20"/>
              </w:rPr>
            </w:pPr>
            <w:bookmarkStart w:id="496" w:name="xdx_90E_eus-gaap--DiscontinuedOperationI"/>
            <w:bookmarkEnd w:id="496"/>
            <w:r>
              <w:rPr>
                <w:sz w:val="20"/>
              </w:rPr>
              <w:t>108,724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75" w:type="dxa"/>
            <w:tcBorders/>
            <w:shd w:fill="FFFFFF" w:val="clear"/>
            <w:vAlign w:val="center"/>
          </w:tcPr>
          <w:p>
            <w:pPr>
              <w:pStyle w:val="TableContents"/>
              <w:bidi w:val="0"/>
              <w:spacing w:before="0" w:after="283"/>
              <w:jc w:val="right"/>
              <w:rPr>
                <w:sz w:val="20"/>
              </w:rPr>
            </w:pPr>
            <w:bookmarkStart w:id="497" w:name="xdx_90B_eus-gaap--DiscontinuedOperationI"/>
            <w:bookmarkEnd w:id="497"/>
            <w:r>
              <w:rPr>
                <w:sz w:val="20"/>
              </w:rPr>
              <w:t>493,044</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EEEEEE" w:val="clear"/>
            <w:vAlign w:val="center"/>
          </w:tcPr>
          <w:p>
            <w:pPr>
              <w:pStyle w:val="TableContents"/>
              <w:bidi w:val="0"/>
              <w:spacing w:before="0" w:after="283"/>
              <w:jc w:val="left"/>
              <w:rPr>
                <w:sz w:val="20"/>
              </w:rPr>
            </w:pPr>
            <w:r>
              <w:rPr>
                <w:sz w:val="20"/>
              </w:rPr>
              <w:t>Gain on disposition of subsidiaries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sz w:val="20"/>
              </w:rPr>
            </w:pPr>
            <w:bookmarkStart w:id="498" w:name="xdx_90A_ecustom--GainOnDispositionOfSubs"/>
            <w:bookmarkEnd w:id="498"/>
            <w:r>
              <w:rPr>
                <w:sz w:val="20"/>
              </w:rPr>
              <w:t>1,613,936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bookmarkStart w:id="499" w:name="xdx_90F_ecustom--GainOnDispositionOfSubs"/>
            <w:bookmarkEnd w:id="499"/>
            <w:r>
              <w:rPr/>
              <w:t>–</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investing activities, financing activities, or non-cash items related to discontinued operations included in the consolidated statements of cash flows for the nine months ended March 31, 2026 and 2025.</w:t>
      </w:r>
    </w:p>
    <w:p>
      <w:pPr>
        <w:pStyle w:val="TextBody"/>
        <w:bidi w:val="0"/>
        <w:spacing w:before="0" w:after="0"/>
        <w:ind w:left="0" w:right="0" w:hanging="0"/>
        <w:jc w:val="left"/>
        <w:rPr>
          <w:caps w:val="false"/>
          <w:smallCaps w:val="false"/>
        </w:rPr>
      </w:pPr>
      <w:bookmarkStart w:id="500" w:name="xdx_238_z43yp73U8Hg2"/>
      <w:bookmarkEnd w:id="500"/>
      <w:r>
        <w:rPr>
          <w:caps w:val="false"/>
          <w:smallCaps w:val="false"/>
        </w:rPr>
        <w:t> </w:t>
      </w:r>
    </w:p>
    <w:p>
      <w:pPr>
        <w:pStyle w:val="TextBody"/>
        <w:bidi w:val="0"/>
        <w:spacing w:before="0" w:after="0"/>
        <w:ind w:left="0" w:right="0" w:hanging="0"/>
        <w:jc w:val="left"/>
        <w:rPr>
          <w:caps w:val="false"/>
          <w:smallCaps w:val="false"/>
        </w:rPr>
      </w:pPr>
      <w:bookmarkStart w:id="501" w:name="xdx_238_zYJ9A4kZe7v"/>
      <w:bookmarkEnd w:id="501"/>
      <w:r>
        <w:rPr>
          <w:caps w:val="false"/>
          <w:smallCaps w:val="false"/>
        </w:rPr>
        <w:t> </w:t>
      </w:r>
    </w:p>
    <w:p>
      <w:pPr>
        <w:pStyle w:val="TextBody"/>
        <w:bidi w:val="0"/>
        <w:spacing w:before="0" w:after="0"/>
        <w:ind w:left="0" w:right="0" w:hanging="0"/>
        <w:jc w:val="left"/>
        <w:rPr>
          <w:caps w:val="false"/>
          <w:smallCaps w:val="false"/>
        </w:rPr>
      </w:pPr>
      <w:bookmarkStart w:id="502" w:name="xdx_235_zip81MpxsmZ"/>
      <w:bookmarkEnd w:id="50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3" w:name="xdx_808_eus-gaap--LoansNotesTradeAndOthe"/>
      <w:bookmarkEnd w:id="503"/>
      <w:r>
        <w:rPr>
          <w:rFonts w:ascii="Times New Roman;Times;Serif" w:hAnsi="Times New Roman;Times;Serif"/>
          <w:b/>
          <w:i w:val="false"/>
          <w:caps w:val="false"/>
          <w:smallCaps w:val="false"/>
          <w:sz w:val="20"/>
        </w:rPr>
        <w:t xml:space="preserve">Note 6 – </w:t>
      </w:r>
      <w:bookmarkStart w:id="504" w:name="xdx_82E_zyEotIrHkvXa"/>
      <w:bookmarkEnd w:id="504"/>
      <w:r>
        <w:rPr>
          <w:rFonts w:ascii="Times New Roman;Times;Serif" w:hAnsi="Times New Roman;Times;Serif"/>
          <w:b/>
          <w:i w:val="false"/>
          <w:caps w:val="false"/>
          <w:smallCaps w:val="false"/>
          <w:sz w:val="20"/>
        </w:rPr>
        <w:t>Accounts Receivable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for the Company consisted of the following as of the dates indicated below: </w:t>
      </w:r>
    </w:p>
    <w:p>
      <w:pPr>
        <w:pStyle w:val="Normal"/>
        <w:bidi w:val="0"/>
        <w:spacing w:before="0" w:after="0"/>
        <w:jc w:val="left"/>
        <w:rPr>
          <w:sz w:val="4"/>
          <w:szCs w:val="4"/>
        </w:rPr>
      </w:pPr>
      <w:r>
        <w:rPr>
          <w:sz w:val="4"/>
          <w:szCs w:val="4"/>
        </w:rPr>
      </w:r>
      <w:bookmarkStart w:id="505" w:name="xdx_891_eus-gaap--ScheduleOfAccountsNote"/>
      <w:bookmarkStart w:id="506" w:name="xdx_891_eus-gaap--ScheduleOfAccountsNote"/>
      <w:bookmarkEnd w:id="506"/>
    </w:p>
    <w:tbl>
      <w:tblPr>
        <w:tblW w:w="6237" w:type="dxa"/>
        <w:jc w:val="left"/>
        <w:tblInd w:w="0" w:type="dxa"/>
        <w:tblLayout w:type="fixed"/>
        <w:tblCellMar>
          <w:top w:w="0" w:type="dxa"/>
          <w:left w:w="0" w:type="dxa"/>
          <w:bottom w:w="0" w:type="dxa"/>
          <w:right w:w="0" w:type="dxa"/>
        </w:tblCellMar>
      </w:tblPr>
      <w:tblGrid>
        <w:gridCol w:w="3080"/>
        <w:gridCol w:w="60"/>
        <w:gridCol w:w="174"/>
        <w:gridCol w:w="1316"/>
        <w:gridCol w:w="118"/>
        <w:gridCol w:w="60"/>
        <w:gridCol w:w="153"/>
        <w:gridCol w:w="1156"/>
        <w:gridCol w:w="120"/>
      </w:tblGrid>
      <w:tr>
        <w:trPr/>
        <w:tc>
          <w:tcPr>
            <w:tcW w:w="3080" w:type="dxa"/>
            <w:tcBorders/>
            <w:vAlign w:val="center"/>
          </w:tcPr>
          <w:p>
            <w:pPr>
              <w:pStyle w:val="TableContents"/>
              <w:bidi w:val="0"/>
              <w:spacing w:before="0" w:after="283"/>
              <w:jc w:val="left"/>
              <w:rPr/>
            </w:pPr>
            <w:bookmarkStart w:id="507" w:name="xdx_8BE_zJ6EdtJzbwZf"/>
            <w:bookmarkEnd w:id="507"/>
            <w:r>
              <w:rPr/>
              <w:t>Schedule of accounts receivable</w:t>
            </w:r>
          </w:p>
        </w:tc>
        <w:tc>
          <w:tcPr>
            <w:tcW w:w="60" w:type="dxa"/>
            <w:tcBorders/>
            <w:vAlign w:val="center"/>
          </w:tcPr>
          <w:p>
            <w:pPr>
              <w:pStyle w:val="TableContents"/>
              <w:bidi w:val="0"/>
              <w:spacing w:before="0" w:after="283"/>
              <w:jc w:val="left"/>
              <w:rPr/>
            </w:pPr>
            <w:r>
              <w:rPr/>
              <w:t> </w:t>
            </w:r>
            <w:bookmarkStart w:id="508" w:name="xdx_493_20260331_ztBGJnf02qyf"/>
            <w:bookmarkEnd w:id="508"/>
          </w:p>
        </w:tc>
        <w:tc>
          <w:tcPr>
            <w:tcW w:w="160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9" w:name="xdx_49F_20250630_zs49gfklZYB1"/>
            <w:bookmarkEnd w:id="509"/>
          </w:p>
        </w:tc>
        <w:tc>
          <w:tcPr>
            <w:tcW w:w="1429" w:type="dxa"/>
            <w:gridSpan w:val="3"/>
            <w:tcBorders/>
            <w:vAlign w:val="center"/>
          </w:tcPr>
          <w:p>
            <w:pPr>
              <w:pStyle w:val="TableContents"/>
              <w:bidi w:val="0"/>
              <w:spacing w:before="0" w:after="283"/>
              <w:jc w:val="center"/>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2025</w:t>
            </w:r>
            <w:bookmarkStart w:id="510" w:name="xdx_406_eus-gaap--AccountsReceivableGros"/>
            <w:bookmarkEnd w:id="510"/>
          </w:p>
        </w:tc>
      </w:tr>
      <w:tr>
        <w:trPr/>
        <w:tc>
          <w:tcPr>
            <w:tcW w:w="3080" w:type="dxa"/>
            <w:tcBorders/>
            <w:shd w:fill="EEEEEE" w:val="clear"/>
            <w:vAlign w:val="center"/>
          </w:tcPr>
          <w:p>
            <w:pPr>
              <w:pStyle w:val="TableContents"/>
              <w:bidi w:val="0"/>
              <w:spacing w:before="0" w:after="283"/>
              <w:jc w:val="left"/>
              <w:rPr/>
            </w:pPr>
            <w:r>
              <w:rPr/>
              <w:t>Accounts receivable</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w:t>
            </w:r>
          </w:p>
        </w:tc>
        <w:tc>
          <w:tcPr>
            <w:tcW w:w="1316" w:type="dxa"/>
            <w:tcBorders/>
            <w:shd w:fill="EEEEEE" w:val="clear"/>
            <w:vAlign w:val="center"/>
          </w:tcPr>
          <w:p>
            <w:pPr>
              <w:pStyle w:val="TableContents"/>
              <w:bidi w:val="0"/>
              <w:spacing w:before="0" w:after="283"/>
              <w:jc w:val="right"/>
              <w:rPr/>
            </w:pPr>
            <w:r>
              <w:rPr/>
              <w:t>9,038,319</w:t>
            </w:r>
          </w:p>
        </w:tc>
        <w:tc>
          <w:tcPr>
            <w:tcW w:w="11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w:t>
            </w:r>
          </w:p>
        </w:tc>
        <w:tc>
          <w:tcPr>
            <w:tcW w:w="1156" w:type="dxa"/>
            <w:tcBorders/>
            <w:shd w:fill="EEEEEE" w:val="clear"/>
            <w:vAlign w:val="center"/>
          </w:tcPr>
          <w:p>
            <w:pPr>
              <w:pStyle w:val="TableContents"/>
              <w:bidi w:val="0"/>
              <w:spacing w:before="0" w:after="283"/>
              <w:jc w:val="right"/>
              <w:rPr/>
            </w:pPr>
            <w:r>
              <w:rPr/>
              <w:t>8,048,425</w:t>
            </w:r>
          </w:p>
        </w:tc>
        <w:tc>
          <w:tcPr>
            <w:tcW w:w="120" w:type="dxa"/>
            <w:tcBorders/>
            <w:shd w:fill="EEEEEE" w:val="clear"/>
            <w:vAlign w:val="center"/>
          </w:tcPr>
          <w:p>
            <w:pPr>
              <w:pStyle w:val="TableContents"/>
              <w:bidi w:val="0"/>
              <w:spacing w:before="0" w:after="283"/>
              <w:jc w:val="left"/>
              <w:rPr/>
            </w:pPr>
            <w:r>
              <w:rPr/>
              <w:t> </w:t>
            </w:r>
            <w:bookmarkStart w:id="511" w:name="xdx_404_eus-gaap--AllowanceForDoubtfulAc"/>
            <w:bookmarkEnd w:id="511"/>
          </w:p>
        </w:tc>
      </w:tr>
      <w:tr>
        <w:trPr/>
        <w:tc>
          <w:tcPr>
            <w:tcW w:w="30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single" w:sz="8" w:space="0" w:color="000000"/>
            </w:tcBorders>
            <w:shd w:fill="FFFFFF" w:val="clear"/>
            <w:tcMar>
              <w:bottom w:w="28" w:type="dxa"/>
            </w:tcMar>
            <w:vAlign w:val="center"/>
          </w:tcPr>
          <w:p>
            <w:pPr>
              <w:pStyle w:val="TableContents"/>
              <w:bidi w:val="0"/>
              <w:spacing w:before="0" w:after="283"/>
              <w:jc w:val="right"/>
              <w:rPr/>
            </w:pPr>
            <w:r>
              <w:rPr/>
              <w:t>(1,974,130</w:t>
            </w:r>
          </w:p>
        </w:tc>
        <w:tc>
          <w:tcPr>
            <w:tcW w:w="11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(1,924,417</w:t>
            </w:r>
          </w:p>
        </w:tc>
        <w:tc>
          <w:tcPr>
            <w:tcW w:w="120" w:type="dxa"/>
            <w:tcBorders/>
            <w:shd w:fill="FFFFFF" w:val="clear"/>
            <w:vAlign w:val="center"/>
          </w:tcPr>
          <w:p>
            <w:pPr>
              <w:pStyle w:val="TableContents"/>
              <w:bidi w:val="0"/>
              <w:spacing w:before="0" w:after="283"/>
              <w:jc w:val="left"/>
              <w:rPr/>
            </w:pPr>
            <w:r>
              <w:rPr/>
              <w:t>)</w:t>
            </w:r>
            <w:bookmarkStart w:id="512" w:name="xdx_407_eus-gaap--AccountsReceivableNetC"/>
            <w:bookmarkEnd w:id="512"/>
          </w:p>
        </w:tc>
      </w:tr>
      <w:tr>
        <w:trPr/>
        <w:tc>
          <w:tcPr>
            <w:tcW w:w="3080" w:type="dxa"/>
            <w:tcBorders/>
            <w:shd w:fill="EEEEEE" w:val="clear"/>
            <w:vAlign w:val="center"/>
          </w:tcPr>
          <w:p>
            <w:pPr>
              <w:pStyle w:val="TableContents"/>
              <w:bidi w:val="0"/>
              <w:spacing w:before="0" w:after="283"/>
              <w:jc w:val="left"/>
              <w:rPr/>
            </w:pPr>
            <w:r>
              <w:rPr/>
              <w:t>Total accounts receivable</w:t>
            </w:r>
          </w:p>
        </w:tc>
        <w:tc>
          <w:tcPr>
            <w:tcW w:w="60" w:type="dxa"/>
            <w:tcBorders/>
            <w:shd w:fill="EEEEEE" w:val="clear"/>
            <w:vAlign w:val="center"/>
          </w:tcPr>
          <w:p>
            <w:pPr>
              <w:pStyle w:val="TableContents"/>
              <w:bidi w:val="0"/>
              <w:spacing w:before="0" w:after="283"/>
              <w:jc w:val="left"/>
              <w:rPr/>
            </w:pPr>
            <w:r>
              <w:rPr/>
              <w:t> </w:t>
            </w:r>
          </w:p>
        </w:tc>
        <w:tc>
          <w:tcPr>
            <w:tcW w:w="174"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16" w:type="dxa"/>
            <w:tcBorders>
              <w:bottom w:val="double" w:sz="6" w:space="0" w:color="000000"/>
            </w:tcBorders>
            <w:shd w:fill="EEEEEE" w:val="clear"/>
            <w:tcMar>
              <w:bottom w:w="28" w:type="dxa"/>
            </w:tcMar>
            <w:vAlign w:val="center"/>
          </w:tcPr>
          <w:p>
            <w:pPr>
              <w:pStyle w:val="TableContents"/>
              <w:bidi w:val="0"/>
              <w:spacing w:before="0" w:after="283"/>
              <w:jc w:val="right"/>
              <w:rPr/>
            </w:pPr>
            <w:r>
              <w:rPr/>
              <w:t>7,064,189</w:t>
            </w:r>
          </w:p>
        </w:tc>
        <w:tc>
          <w:tcPr>
            <w:tcW w:w="11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EEEEEE" w:val="clear"/>
            <w:tcMar>
              <w:bottom w:w="28" w:type="dxa"/>
            </w:tcMar>
            <w:vAlign w:val="center"/>
          </w:tcPr>
          <w:p>
            <w:pPr>
              <w:pStyle w:val="TableContents"/>
              <w:bidi w:val="0"/>
              <w:spacing w:before="0" w:after="283"/>
              <w:jc w:val="right"/>
              <w:rPr/>
            </w:pPr>
            <w:r>
              <w:rPr/>
              <w:t>6,124,008</w:t>
            </w:r>
          </w:p>
        </w:tc>
        <w:tc>
          <w:tcPr>
            <w:tcW w:w="12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3" w:name="xdx_8A2_zw1aJY4hXCv8"/>
      <w:bookmarkEnd w:id="51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allowance for credit losses on accounts receivable are summarized below: </w:t>
      </w:r>
    </w:p>
    <w:p>
      <w:pPr>
        <w:pStyle w:val="Normal"/>
        <w:bidi w:val="0"/>
        <w:spacing w:before="0" w:after="0"/>
        <w:jc w:val="left"/>
        <w:rPr>
          <w:sz w:val="4"/>
          <w:szCs w:val="4"/>
        </w:rPr>
      </w:pPr>
      <w:r>
        <w:rPr>
          <w:sz w:val="4"/>
          <w:szCs w:val="4"/>
        </w:rPr>
      </w:r>
      <w:bookmarkStart w:id="514" w:name="xdx_897_eus-gaap--AllowanceForCreditLoss"/>
      <w:bookmarkStart w:id="515" w:name="xdx_897_eus-gaap--AllowanceForCreditLoss"/>
      <w:bookmarkEnd w:id="515"/>
    </w:p>
    <w:tbl>
      <w:tblPr>
        <w:tblW w:w="8558" w:type="dxa"/>
        <w:jc w:val="left"/>
        <w:tblInd w:w="0" w:type="dxa"/>
        <w:tblLayout w:type="fixed"/>
        <w:tblCellMar>
          <w:top w:w="0" w:type="dxa"/>
          <w:left w:w="0" w:type="dxa"/>
          <w:bottom w:w="0" w:type="dxa"/>
          <w:right w:w="0" w:type="dxa"/>
        </w:tblCellMar>
      </w:tblPr>
      <w:tblGrid>
        <w:gridCol w:w="6980"/>
        <w:gridCol w:w="60"/>
        <w:gridCol w:w="81"/>
        <w:gridCol w:w="1335"/>
        <w:gridCol w:w="102"/>
      </w:tblGrid>
      <w:tr>
        <w:trPr/>
        <w:tc>
          <w:tcPr>
            <w:tcW w:w="6980" w:type="dxa"/>
            <w:tcBorders/>
            <w:vAlign w:val="center"/>
          </w:tcPr>
          <w:p>
            <w:pPr>
              <w:pStyle w:val="TableContents"/>
              <w:bidi w:val="0"/>
              <w:spacing w:before="0" w:after="283"/>
              <w:jc w:val="left"/>
              <w:rPr/>
            </w:pPr>
            <w:bookmarkStart w:id="516" w:name="xdx_8B5_zY4RlyT29K5f"/>
            <w:bookmarkEnd w:id="516"/>
            <w:r>
              <w:rPr/>
              <w:t>Schedule of changes in allowance for credit losses on accounts receivable</w:t>
            </w:r>
          </w:p>
        </w:tc>
        <w:tc>
          <w:tcPr>
            <w:tcW w:w="60" w:type="dxa"/>
            <w:tcBorders/>
            <w:vAlign w:val="center"/>
          </w:tcPr>
          <w:p>
            <w:pPr>
              <w:pStyle w:val="TableContents"/>
              <w:bidi w:val="0"/>
              <w:spacing w:before="0" w:after="283"/>
              <w:jc w:val="left"/>
              <w:rPr/>
            </w:pPr>
            <w:r>
              <w:rPr/>
              <w:t> </w:t>
            </w:r>
          </w:p>
        </w:tc>
        <w:tc>
          <w:tcPr>
            <w:tcW w:w="1518" w:type="dxa"/>
            <w:gridSpan w:val="3"/>
            <w:tcBorders/>
            <w:vAlign w:val="center"/>
          </w:tcPr>
          <w:p>
            <w:pPr>
              <w:pStyle w:val="TableContents"/>
              <w:bidi w:val="0"/>
              <w:spacing w:before="0" w:after="283"/>
              <w:jc w:val="right"/>
              <w:rPr/>
            </w:pPr>
            <w:r>
              <w:rPr/>
              <w:t> </w:t>
            </w:r>
          </w:p>
        </w:tc>
      </w:tr>
      <w:tr>
        <w:trPr/>
        <w:tc>
          <w:tcPr>
            <w:tcW w:w="6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Credit Losses</w:t>
            </w:r>
          </w:p>
        </w:tc>
      </w:tr>
      <w:tr>
        <w:trPr/>
        <w:tc>
          <w:tcPr>
            <w:tcW w:w="698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June 30, 2025</w:t>
            </w:r>
          </w:p>
        </w:tc>
        <w:tc>
          <w:tcPr>
            <w:tcW w:w="60"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bookmarkStart w:id="517" w:name="xdx_984_eus-gaap--AllowanceForDoubtfulAc"/>
            <w:bookmarkEnd w:id="517"/>
          </w:p>
        </w:tc>
        <w:tc>
          <w:tcPr>
            <w:tcW w:w="1335" w:type="dxa"/>
            <w:tcBorders/>
            <w:shd w:fill="EEEEEE" w:val="clear"/>
            <w:vAlign w:val="center"/>
          </w:tcPr>
          <w:p>
            <w:pPr>
              <w:pStyle w:val="TableContents"/>
              <w:bidi w:val="0"/>
              <w:spacing w:before="0" w:after="283"/>
              <w:jc w:val="right"/>
              <w:rPr/>
            </w:pPr>
            <w:r>
              <w:rPr/>
              <w:t>1,924,417</w:t>
            </w:r>
          </w:p>
        </w:tc>
        <w:tc>
          <w:tcPr>
            <w:tcW w:w="102" w:type="dxa"/>
            <w:tcBorders/>
            <w:shd w:fill="EEEEEE"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Allowance recorded during the three months ended September 30, 2025</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8" w:name="xdx_98E_eus-gaap--AllowanceForDoubtfulAc"/>
            <w:bookmarkEnd w:id="518"/>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pPr>
            <w:r>
              <w:rPr/>
              <w:t>49,713</w:t>
            </w:r>
          </w:p>
        </w:tc>
        <w:tc>
          <w:tcPr>
            <w:tcW w:w="102" w:type="dxa"/>
            <w:tcBorders/>
            <w:shd w:fill="FFFFFF" w:val="clear"/>
            <w:vAlign w:val="center"/>
          </w:tcPr>
          <w:p>
            <w:pPr>
              <w:pStyle w:val="TableContents"/>
              <w:bidi w:val="0"/>
              <w:spacing w:before="0" w:after="283"/>
              <w:jc w:val="left"/>
              <w:rPr/>
            </w:pPr>
            <w:r>
              <w:rPr/>
              <w:t> </w:t>
            </w:r>
          </w:p>
        </w:tc>
      </w:tr>
      <w:tr>
        <w:trPr/>
        <w:tc>
          <w:tcPr>
            <w:tcW w:w="698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September 30, 2025</w:t>
            </w:r>
          </w:p>
        </w:tc>
        <w:tc>
          <w:tcPr>
            <w:tcW w:w="60"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bookmarkStart w:id="519" w:name="xdx_981_eus-gaap--AllowanceForDoubtfulAc"/>
            <w:bookmarkEnd w:id="519"/>
          </w:p>
        </w:tc>
        <w:tc>
          <w:tcPr>
            <w:tcW w:w="1335" w:type="dxa"/>
            <w:tcBorders/>
            <w:shd w:fill="EEEEEE" w:val="clear"/>
            <w:vAlign w:val="center"/>
          </w:tcPr>
          <w:p>
            <w:pPr>
              <w:pStyle w:val="TableContents"/>
              <w:bidi w:val="0"/>
              <w:spacing w:before="0" w:after="283"/>
              <w:jc w:val="right"/>
              <w:rPr/>
            </w:pPr>
            <w:r>
              <w:rPr/>
              <w:t>1,974,130</w:t>
            </w:r>
          </w:p>
        </w:tc>
        <w:tc>
          <w:tcPr>
            <w:tcW w:w="102" w:type="dxa"/>
            <w:tcBorders/>
            <w:shd w:fill="EEEEEE"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Allowance recorded during the three months ended December 31, 2025</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0" w:name="xdx_988_eus-gaap--AllowanceForDoubtfulAc"/>
            <w:bookmarkEnd w:id="520"/>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r>
      <w:tr>
        <w:trPr/>
        <w:tc>
          <w:tcPr>
            <w:tcW w:w="698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December 31, 2025</w:t>
            </w:r>
          </w:p>
        </w:tc>
        <w:tc>
          <w:tcPr>
            <w:tcW w:w="60"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bookmarkStart w:id="521" w:name="xdx_981_eus-gaap--AllowanceForDoubtfulAc"/>
            <w:bookmarkEnd w:id="521"/>
          </w:p>
        </w:tc>
        <w:tc>
          <w:tcPr>
            <w:tcW w:w="1335" w:type="dxa"/>
            <w:tcBorders/>
            <w:shd w:fill="EEEEEE" w:val="clear"/>
            <w:vAlign w:val="center"/>
          </w:tcPr>
          <w:p>
            <w:pPr>
              <w:pStyle w:val="TableContents"/>
              <w:bidi w:val="0"/>
              <w:spacing w:before="0" w:after="283"/>
              <w:jc w:val="right"/>
              <w:rPr/>
            </w:pPr>
            <w:r>
              <w:rPr/>
              <w:t>1,974,130</w:t>
            </w:r>
          </w:p>
        </w:tc>
        <w:tc>
          <w:tcPr>
            <w:tcW w:w="102" w:type="dxa"/>
            <w:tcBorders/>
            <w:shd w:fill="EEEEEE"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Allowance recorded during the three months ended March 31, 2026</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2" w:name="xdx_986_eus-gaap--AllowanceForDoubtfulAc"/>
            <w:bookmarkEnd w:id="522"/>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r>
      <w:tr>
        <w:trPr/>
        <w:tc>
          <w:tcPr>
            <w:tcW w:w="698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March 31, 2026</w:t>
            </w:r>
          </w:p>
        </w:tc>
        <w:tc>
          <w:tcPr>
            <w:tcW w:w="60" w:type="dxa"/>
            <w:tcBorders/>
            <w:shd w:fill="EEEEEE" w:val="clear"/>
            <w:vAlign w:val="center"/>
          </w:tcPr>
          <w:p>
            <w:pPr>
              <w:pStyle w:val="TableContents"/>
              <w:bidi w:val="0"/>
              <w:spacing w:before="0" w:after="283"/>
              <w:jc w:val="left"/>
              <w:rPr/>
            </w:pPr>
            <w:r>
              <w:rPr/>
              <w:t> </w:t>
            </w:r>
          </w:p>
        </w:tc>
        <w:tc>
          <w:tcPr>
            <w:tcW w:w="81"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523" w:name="xdx_987_eus-gaap--AllowanceForDoubtfulAc"/>
            <w:bookmarkEnd w:id="523"/>
          </w:p>
        </w:tc>
        <w:tc>
          <w:tcPr>
            <w:tcW w:w="1335" w:type="dxa"/>
            <w:tcBorders>
              <w:bottom w:val="double" w:sz="6" w:space="0" w:color="000000"/>
            </w:tcBorders>
            <w:shd w:fill="EEEEEE" w:val="clear"/>
            <w:tcMar>
              <w:bottom w:w="28" w:type="dxa"/>
            </w:tcMar>
            <w:vAlign w:val="center"/>
          </w:tcPr>
          <w:p>
            <w:pPr>
              <w:pStyle w:val="TableContents"/>
              <w:bidi w:val="0"/>
              <w:spacing w:before="0" w:after="283"/>
              <w:jc w:val="right"/>
              <w:rPr/>
            </w:pPr>
            <w:r>
              <w:rPr/>
              <w:t>1,974,130</w:t>
            </w:r>
          </w:p>
        </w:tc>
        <w:tc>
          <w:tcPr>
            <w:tcW w:w="102"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4" w:name="xdx_8A6_z5jQVaMpLJag"/>
      <w:bookmarkEnd w:id="52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5" w:name="xdx_80F_eus-gaap--InventoryDisclosureTex"/>
      <w:bookmarkEnd w:id="525"/>
      <w:r>
        <w:rPr>
          <w:rFonts w:ascii="Times New Roman;Times;Serif" w:hAnsi="Times New Roman;Times;Serif"/>
          <w:b/>
          <w:i w:val="false"/>
          <w:caps w:val="false"/>
          <w:smallCaps w:val="false"/>
          <w:sz w:val="20"/>
        </w:rPr>
        <w:t xml:space="preserve">Note 7 – </w:t>
      </w:r>
      <w:bookmarkStart w:id="526" w:name="xdx_823_zum0R7hlUtAd"/>
      <w:bookmarkEnd w:id="526"/>
      <w:r>
        <w:rPr>
          <w:rFonts w:ascii="Times New Roman;Times;Serif" w:hAnsi="Times New Roman;Times;Serif"/>
          <w:b/>
          <w:i w:val="false"/>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June 30, 2025, inventories consisting of finished goods ready for sale, net of allowance for obsolescence, amounted to $</w:t>
      </w:r>
      <w:bookmarkStart w:id="527" w:name="xdx_909_eus-gaap--InventoryNet_iI_pp0p0_"/>
      <w:bookmarkEnd w:id="527"/>
      <w:r>
        <w:rPr>
          <w:rFonts w:ascii="Times New Roman;Times;Serif" w:hAnsi="Times New Roman;Times;Serif"/>
          <w:b w:val="false"/>
          <w:i w:val="false"/>
          <w:caps w:val="false"/>
          <w:smallCaps w:val="false"/>
          <w:sz w:val="20"/>
        </w:rPr>
        <w:t>2,536,961 and $</w:t>
      </w:r>
      <w:bookmarkStart w:id="528" w:name="xdx_902_eus-gaap--InventoryNet_pp0p0_c20"/>
      <w:bookmarkEnd w:id="528"/>
      <w:r>
        <w:rPr>
          <w:rFonts w:ascii="Times New Roman;Times;Serif" w:hAnsi="Times New Roman;Times;Serif"/>
          <w:b w:val="false"/>
          <w:i w:val="false"/>
          <w:caps w:val="false"/>
          <w:smallCaps w:val="false"/>
          <w:sz w:val="20"/>
        </w:rPr>
        <w:t>8,131,203,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March 31, 2026, the Company recorded inventory reserve expense of $</w:t>
      </w:r>
      <w:bookmarkStart w:id="529" w:name="xdx_90F_eus-gaap--InventoryLIFOReservePe"/>
      <w:bookmarkEnd w:id="529"/>
      <w:r>
        <w:rPr>
          <w:rFonts w:ascii="Times New Roman;Times;Serif" w:hAnsi="Times New Roman;Times;Serif"/>
          <w:b w:val="false"/>
          <w:i w:val="false"/>
          <w:caps w:val="false"/>
          <w:smallCaps w:val="false"/>
          <w:sz w:val="20"/>
        </w:rPr>
        <w:t>0 and $</w:t>
      </w:r>
      <w:bookmarkStart w:id="530" w:name="xdx_904_eus-gaap--InventoryLIFOReservePe"/>
      <w:bookmarkEnd w:id="530"/>
      <w:r>
        <w:rPr>
          <w:rFonts w:ascii="Times New Roman;Times;Serif" w:hAnsi="Times New Roman;Times;Serif"/>
          <w:b w:val="false"/>
          <w:i w:val="false"/>
          <w:caps w:val="false"/>
          <w:smallCaps w:val="false"/>
          <w:sz w:val="20"/>
        </w:rPr>
        <w:t>58,453, respectively. For the three and nine months ended March 31, 2025, the Company recorded inventory reserve expense of $</w:t>
      </w:r>
      <w:bookmarkStart w:id="531" w:name="xdx_908_eus-gaap--InventoryLIFOReservePe"/>
      <w:bookmarkEnd w:id="531"/>
      <w:r>
        <w:rPr>
          <w:rFonts w:ascii="Times New Roman;Times;Serif" w:hAnsi="Times New Roman;Times;Serif"/>
          <w:b w:val="false"/>
          <w:i w:val="false"/>
          <w:caps w:val="false"/>
          <w:smallCaps w:val="false"/>
          <w:sz w:val="20"/>
        </w:rPr>
        <w:t>0 and $</w:t>
      </w:r>
      <w:bookmarkStart w:id="532" w:name="xdx_902_eus-gaap--InventoryLIFOReservePe"/>
      <w:bookmarkEnd w:id="532"/>
      <w:r>
        <w:rPr>
          <w:rFonts w:ascii="Times New Roman;Times;Serif" w:hAnsi="Times New Roman;Times;Serif"/>
          <w:b w:val="false"/>
          <w:i w:val="false"/>
          <w:caps w:val="false"/>
          <w:smallCaps w:val="false"/>
          <w:sz w:val="20"/>
        </w:rPr>
        <w:t>288,474, respectively. As of March 31, 2026 and June 30, 2025, allowance for obsolescence was $</w:t>
      </w:r>
      <w:bookmarkStart w:id="533" w:name="xdx_906_eus-gaap--InventoryLIFOReserve_i"/>
      <w:bookmarkEnd w:id="533"/>
      <w:r>
        <w:rPr>
          <w:rFonts w:ascii="Times New Roman;Times;Serif" w:hAnsi="Times New Roman;Times;Serif"/>
          <w:b w:val="false"/>
          <w:i w:val="false"/>
          <w:caps w:val="false"/>
          <w:smallCaps w:val="false"/>
          <w:sz w:val="20"/>
        </w:rPr>
        <w:t>370,921 and $</w:t>
      </w:r>
      <w:bookmarkStart w:id="534" w:name="xdx_904_eus-gaap--InventoryLIFOReserve_i"/>
      <w:bookmarkEnd w:id="534"/>
      <w:r>
        <w:rPr>
          <w:rFonts w:ascii="Times New Roman;Times;Serif" w:hAnsi="Times New Roman;Times;Serif"/>
          <w:b w:val="false"/>
          <w:i w:val="false"/>
          <w:caps w:val="false"/>
          <w:smallCaps w:val="false"/>
          <w:sz w:val="20"/>
        </w:rPr>
        <w:t>312,468,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5" w:name="xdx_807_eus-gaap--OtherCurrentAssetsText"/>
      <w:bookmarkEnd w:id="535"/>
      <w:r>
        <w:rPr>
          <w:rFonts w:ascii="Times New Roman;Times;Serif" w:hAnsi="Times New Roman;Times;Serif"/>
          <w:b/>
          <w:i w:val="false"/>
          <w:caps w:val="false"/>
          <w:smallCaps w:val="false"/>
          <w:sz w:val="20"/>
        </w:rPr>
        <w:t xml:space="preserve">Note 8 – </w:t>
      </w:r>
      <w:bookmarkStart w:id="536" w:name="xdx_820_zlzU74iX3T3d"/>
      <w:bookmarkEnd w:id="536"/>
      <w:r>
        <w:rPr>
          <w:rFonts w:ascii="Times New Roman;Times;Serif" w:hAnsi="Times New Roman;Times;Serif"/>
          <w:b/>
          <w:i w:val="false"/>
          <w:caps w:val="false"/>
          <w:smallCaps w:val="false"/>
          <w:sz w:val="20"/>
        </w:rPr>
        <w:t xml:space="preserve">Prepayments and Other Current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June 30, 2025, prepayments and other current assets consisted of the following: </w:t>
      </w:r>
    </w:p>
    <w:p>
      <w:pPr>
        <w:pStyle w:val="Normal"/>
        <w:bidi w:val="0"/>
        <w:spacing w:before="0" w:after="0"/>
        <w:jc w:val="left"/>
        <w:rPr>
          <w:sz w:val="4"/>
          <w:szCs w:val="4"/>
        </w:rPr>
      </w:pPr>
      <w:r>
        <w:rPr>
          <w:sz w:val="4"/>
          <w:szCs w:val="4"/>
        </w:rPr>
      </w:r>
      <w:bookmarkStart w:id="537" w:name="xdx_886_eus-gaap--DeferredCostsCapitaliz"/>
      <w:bookmarkStart w:id="538" w:name="xdx_886_eus-gaap--DeferredCostsCapitaliz"/>
      <w:bookmarkEnd w:id="538"/>
    </w:p>
    <w:tbl>
      <w:tblPr>
        <w:tblW w:w="7842" w:type="dxa"/>
        <w:jc w:val="left"/>
        <w:tblInd w:w="0" w:type="dxa"/>
        <w:tblLayout w:type="fixed"/>
        <w:tblCellMar>
          <w:top w:w="0" w:type="dxa"/>
          <w:left w:w="0" w:type="dxa"/>
          <w:bottom w:w="0" w:type="dxa"/>
          <w:right w:w="0" w:type="dxa"/>
        </w:tblCellMar>
      </w:tblPr>
      <w:tblGrid>
        <w:gridCol w:w="4685"/>
        <w:gridCol w:w="60"/>
        <w:gridCol w:w="191"/>
        <w:gridCol w:w="1337"/>
        <w:gridCol w:w="81"/>
        <w:gridCol w:w="60"/>
        <w:gridCol w:w="167"/>
        <w:gridCol w:w="1172"/>
        <w:gridCol w:w="89"/>
      </w:tblGrid>
      <w:tr>
        <w:trPr/>
        <w:tc>
          <w:tcPr>
            <w:tcW w:w="4685" w:type="dxa"/>
            <w:tcBorders/>
            <w:vAlign w:val="center"/>
          </w:tcPr>
          <w:p>
            <w:pPr>
              <w:pStyle w:val="TableContents"/>
              <w:bidi w:val="0"/>
              <w:spacing w:before="0" w:after="283"/>
              <w:jc w:val="left"/>
              <w:rPr/>
            </w:pPr>
            <w:bookmarkStart w:id="539" w:name="xdx_8BA_zBlSZyKsdbok"/>
            <w:bookmarkEnd w:id="539"/>
            <w:r>
              <w:rPr/>
              <w:t>Schedule of prepayments and other current assets</w:t>
            </w:r>
          </w:p>
        </w:tc>
        <w:tc>
          <w:tcPr>
            <w:tcW w:w="60" w:type="dxa"/>
            <w:tcBorders/>
            <w:vAlign w:val="center"/>
          </w:tcPr>
          <w:p>
            <w:pPr>
              <w:pStyle w:val="TableContents"/>
              <w:bidi w:val="0"/>
              <w:spacing w:before="0" w:after="283"/>
              <w:jc w:val="left"/>
              <w:rPr/>
            </w:pPr>
            <w:r>
              <w:rPr/>
              <w:t> </w:t>
            </w:r>
          </w:p>
        </w:tc>
        <w:tc>
          <w:tcPr>
            <w:tcW w:w="1609"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jc w:val="righ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142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r>
      <w:tr>
        <w:trPr/>
        <w:tc>
          <w:tcPr>
            <w:tcW w:w="4685" w:type="dxa"/>
            <w:tcBorders/>
            <w:shd w:fill="EEEEEE" w:val="clear"/>
            <w:vAlign w:val="center"/>
          </w:tcPr>
          <w:p>
            <w:pPr>
              <w:pStyle w:val="TableContents"/>
              <w:bidi w:val="0"/>
              <w:spacing w:before="0" w:after="283"/>
              <w:jc w:val="left"/>
              <w:rPr/>
            </w:pPr>
            <w:r>
              <w:rPr/>
              <w:t>Advance to suppliers</w:t>
            </w:r>
          </w:p>
        </w:tc>
        <w:tc>
          <w:tcPr>
            <w:tcW w:w="60"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w:t>
            </w:r>
            <w:bookmarkStart w:id="540" w:name="xdx_98E_eus-gaap--PrepaidExpenseAndOther"/>
            <w:bookmarkEnd w:id="540"/>
          </w:p>
        </w:tc>
        <w:tc>
          <w:tcPr>
            <w:tcW w:w="1337" w:type="dxa"/>
            <w:tcBorders/>
            <w:shd w:fill="EEEEEE" w:val="clear"/>
            <w:vAlign w:val="center"/>
          </w:tcPr>
          <w:p>
            <w:pPr>
              <w:pStyle w:val="TableContents"/>
              <w:bidi w:val="0"/>
              <w:spacing w:before="0" w:after="283"/>
              <w:jc w:val="right"/>
              <w:rPr/>
            </w:pPr>
            <w:r>
              <w:rPr/>
              <w:t>–</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7" w:type="dxa"/>
            <w:tcBorders/>
            <w:shd w:fill="EEEEEE" w:val="clear"/>
            <w:vAlign w:val="center"/>
          </w:tcPr>
          <w:p>
            <w:pPr>
              <w:pStyle w:val="TableContents"/>
              <w:bidi w:val="0"/>
              <w:spacing w:before="0" w:after="283"/>
              <w:jc w:val="left"/>
              <w:rPr/>
            </w:pPr>
            <w:r>
              <w:rPr/>
              <w:t>$</w:t>
            </w:r>
            <w:bookmarkStart w:id="541" w:name="xdx_984_eus-gaap--PrepaidExpenseAndOther"/>
            <w:bookmarkEnd w:id="541"/>
          </w:p>
        </w:tc>
        <w:tc>
          <w:tcPr>
            <w:tcW w:w="1172" w:type="dxa"/>
            <w:tcBorders/>
            <w:shd w:fill="EEEEEE" w:val="clear"/>
            <w:vAlign w:val="center"/>
          </w:tcPr>
          <w:p>
            <w:pPr>
              <w:pStyle w:val="TableContents"/>
              <w:bidi w:val="0"/>
              <w:spacing w:before="0" w:after="283"/>
              <w:jc w:val="right"/>
              <w:rPr/>
            </w:pPr>
            <w:r>
              <w:rPr/>
              <w:t>1,787,296</w:t>
            </w:r>
          </w:p>
        </w:tc>
        <w:tc>
          <w:tcPr>
            <w:tcW w:w="89"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Prepaid income taxes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bookmarkStart w:id="542" w:name="xdx_983_eus-gaap--PrepaidExpenseAndOther"/>
            <w:bookmarkEnd w:id="542"/>
          </w:p>
        </w:tc>
        <w:tc>
          <w:tcPr>
            <w:tcW w:w="1337" w:type="dxa"/>
            <w:tcBorders/>
            <w:shd w:fill="FFFFFF" w:val="clear"/>
            <w:vAlign w:val="center"/>
          </w:tcPr>
          <w:p>
            <w:pPr>
              <w:pStyle w:val="TableContents"/>
              <w:bidi w:val="0"/>
              <w:spacing w:before="0" w:after="283"/>
              <w:jc w:val="right"/>
              <w:rPr/>
            </w:pPr>
            <w:r>
              <w:rPr/>
              <w:t>95,328</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bookmarkStart w:id="543" w:name="xdx_98C_eus-gaap--PrepaidExpenseAndOther"/>
            <w:bookmarkEnd w:id="543"/>
          </w:p>
        </w:tc>
        <w:tc>
          <w:tcPr>
            <w:tcW w:w="1172" w:type="dxa"/>
            <w:tcBorders/>
            <w:shd w:fill="FFFFFF" w:val="clear"/>
            <w:vAlign w:val="center"/>
          </w:tcPr>
          <w:p>
            <w:pPr>
              <w:pStyle w:val="TableContents"/>
              <w:bidi w:val="0"/>
              <w:spacing w:before="0" w:after="283"/>
              <w:jc w:val="right"/>
              <w:rPr/>
            </w:pPr>
            <w:r>
              <w:rPr/>
              <w:t>19,072</w:t>
            </w:r>
          </w:p>
        </w:tc>
        <w:tc>
          <w:tcPr>
            <w:tcW w:w="89"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Prepaid expenses and other receivables</w:t>
            </w:r>
          </w:p>
        </w:tc>
        <w:tc>
          <w:tcPr>
            <w:tcW w:w="60"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 </w:t>
            </w:r>
            <w:bookmarkStart w:id="544" w:name="xdx_982_eus-gaap--PrepaidExpenseAndOther"/>
            <w:bookmarkEnd w:id="544"/>
          </w:p>
        </w:tc>
        <w:tc>
          <w:tcPr>
            <w:tcW w:w="1337" w:type="dxa"/>
            <w:tcBorders/>
            <w:shd w:fill="EEEEEE" w:val="clear"/>
            <w:vAlign w:val="center"/>
          </w:tcPr>
          <w:p>
            <w:pPr>
              <w:pStyle w:val="TableContents"/>
              <w:bidi w:val="0"/>
              <w:spacing w:before="0" w:after="283"/>
              <w:jc w:val="right"/>
              <w:rPr/>
            </w:pPr>
            <w:r>
              <w:rPr/>
              <w:t>1,877,887</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7" w:type="dxa"/>
            <w:tcBorders/>
            <w:shd w:fill="EEEEEE" w:val="clear"/>
            <w:vAlign w:val="center"/>
          </w:tcPr>
          <w:p>
            <w:pPr>
              <w:pStyle w:val="TableContents"/>
              <w:bidi w:val="0"/>
              <w:spacing w:before="0" w:after="283"/>
              <w:jc w:val="left"/>
              <w:rPr/>
            </w:pPr>
            <w:r>
              <w:rPr/>
              <w:t> </w:t>
            </w:r>
            <w:bookmarkStart w:id="545" w:name="xdx_985_eus-gaap--PrepaidExpenseAndOther"/>
            <w:bookmarkEnd w:id="545"/>
          </w:p>
        </w:tc>
        <w:tc>
          <w:tcPr>
            <w:tcW w:w="1172" w:type="dxa"/>
            <w:tcBorders/>
            <w:shd w:fill="EEEEEE" w:val="clear"/>
            <w:vAlign w:val="center"/>
          </w:tcPr>
          <w:p>
            <w:pPr>
              <w:pStyle w:val="TableContents"/>
              <w:bidi w:val="0"/>
              <w:spacing w:before="0" w:after="283"/>
              <w:jc w:val="right"/>
              <w:rPr/>
            </w:pPr>
            <w:r>
              <w:rPr/>
              <w:t>761,338</w:t>
            </w:r>
          </w:p>
        </w:tc>
        <w:tc>
          <w:tcPr>
            <w:tcW w:w="89"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6" w:name="xdx_98F_eus-gaap--AccountsAndFinancingRe"/>
            <w:bookmarkEnd w:id="546"/>
          </w:p>
        </w:tc>
        <w:tc>
          <w:tcPr>
            <w:tcW w:w="13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7" w:name="xdx_98C_eus-gaap--AccountsAndFinancingRe"/>
            <w:bookmarkEnd w:id="547"/>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 </w:t>
            </w:r>
          </w:p>
        </w:tc>
        <w:tc>
          <w:tcPr>
            <w:tcW w:w="1337" w:type="dxa"/>
            <w:tcBorders/>
            <w:shd w:fill="EEEEEE" w:val="clear"/>
            <w:vAlign w:val="center"/>
          </w:tcPr>
          <w:p>
            <w:pPr>
              <w:pStyle w:val="TableContents"/>
              <w:bidi w:val="0"/>
              <w:spacing w:before="0" w:after="283"/>
              <w:jc w:val="right"/>
              <w:rPr/>
            </w:pPr>
            <w:r>
              <w:rPr/>
              <w:t> </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7" w:type="dxa"/>
            <w:tcBorders/>
            <w:shd w:fill="EEEEEE" w:val="clear"/>
            <w:vAlign w:val="center"/>
          </w:tcPr>
          <w:p>
            <w:pPr>
              <w:pStyle w:val="TableContents"/>
              <w:bidi w:val="0"/>
              <w:spacing w:before="0" w:after="283"/>
              <w:jc w:val="left"/>
              <w:rPr/>
            </w:pPr>
            <w:r>
              <w:rPr/>
              <w:t> </w:t>
            </w:r>
          </w:p>
        </w:tc>
        <w:tc>
          <w:tcPr>
            <w:tcW w:w="1172" w:type="dxa"/>
            <w:tcBorders/>
            <w:shd w:fill="EEEEEE" w:val="clear"/>
            <w:vAlign w:val="center"/>
          </w:tcPr>
          <w:p>
            <w:pPr>
              <w:pStyle w:val="TableContents"/>
              <w:bidi w:val="0"/>
              <w:spacing w:before="0" w:after="283"/>
              <w:jc w:val="right"/>
              <w:rPr/>
            </w:pPr>
            <w:r>
              <w:rPr/>
              <w:t> </w:t>
            </w:r>
          </w:p>
        </w:tc>
        <w:tc>
          <w:tcPr>
            <w:tcW w:w="89"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48" w:name="xdx_982_eus-gaap--PrepaidExpenseAndOther"/>
            <w:bookmarkEnd w:id="548"/>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1,973,215</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49" w:name="xdx_988_eus-gaap--PrepaidExpenseAndOther"/>
            <w:bookmarkEnd w:id="549"/>
          </w:p>
        </w:tc>
        <w:tc>
          <w:tcPr>
            <w:tcW w:w="1172" w:type="dxa"/>
            <w:tcBorders>
              <w:bottom w:val="double" w:sz="6" w:space="0" w:color="000000"/>
            </w:tcBorders>
            <w:shd w:fill="FFFFFF" w:val="clear"/>
            <w:tcMar>
              <w:bottom w:w="28" w:type="dxa"/>
            </w:tcMar>
            <w:vAlign w:val="center"/>
          </w:tcPr>
          <w:p>
            <w:pPr>
              <w:pStyle w:val="TableContents"/>
              <w:bidi w:val="0"/>
              <w:spacing w:before="0" w:after="283"/>
              <w:jc w:val="right"/>
              <w:rPr/>
            </w:pPr>
            <w:r>
              <w:rPr/>
              <w:t>2,567,706</w:t>
            </w:r>
          </w:p>
        </w:tc>
        <w:tc>
          <w:tcPr>
            <w:tcW w:w="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50" w:name="xdx_233_zLov7oqkihf3"/>
      <w:bookmarkEnd w:id="550"/>
      <w:r>
        <w:rPr>
          <w:caps w:val="false"/>
          <w:smallCaps w:val="false"/>
        </w:rPr>
        <w:t>  </w:t>
      </w:r>
    </w:p>
    <w:p>
      <w:pPr>
        <w:pStyle w:val="TextBody"/>
        <w:bidi w:val="0"/>
        <w:spacing w:before="0" w:after="0"/>
        <w:ind w:left="0" w:right="0" w:hanging="0"/>
        <w:jc w:val="left"/>
        <w:rPr>
          <w:caps w:val="false"/>
          <w:smallCaps w:val="false"/>
        </w:rPr>
      </w:pPr>
      <w:bookmarkStart w:id="551" w:name="xdx_235_z4YJwgJj6tyi"/>
      <w:bookmarkEnd w:id="551"/>
      <w:r>
        <w:rPr>
          <w:caps w:val="false"/>
          <w:smallCaps w:val="false"/>
        </w:rPr>
        <w:t> </w:t>
      </w:r>
    </w:p>
    <w:p>
      <w:pPr>
        <w:pStyle w:val="TextBody"/>
        <w:bidi w:val="0"/>
        <w:spacing w:before="0" w:after="0"/>
        <w:ind w:left="0" w:right="0" w:hanging="0"/>
        <w:jc w:val="left"/>
        <w:rPr>
          <w:caps w:val="false"/>
          <w:smallCaps w:val="false"/>
        </w:rPr>
      </w:pPr>
      <w:bookmarkStart w:id="552" w:name="xdx_23B_zcaZiZlJFwLl"/>
      <w:bookmarkEnd w:id="552"/>
      <w:r>
        <w:rPr>
          <w:caps w:val="false"/>
          <w:smallCaps w:val="false"/>
        </w:rPr>
        <w:t> </w:t>
      </w:r>
    </w:p>
    <w:p>
      <w:pPr>
        <w:pStyle w:val="TextBody"/>
        <w:bidi w:val="0"/>
        <w:spacing w:before="0" w:after="0"/>
        <w:ind w:left="0" w:right="0" w:hanging="0"/>
        <w:jc w:val="left"/>
        <w:rPr>
          <w:caps w:val="false"/>
          <w:smallCaps w:val="false"/>
        </w:rPr>
      </w:pPr>
      <w:bookmarkStart w:id="553" w:name="xdx_235_zelLlRNripcb"/>
      <w:bookmarkEnd w:id="553"/>
      <w:r>
        <w:rPr>
          <w:caps w:val="false"/>
          <w:smallCaps w:val="false"/>
        </w:rPr>
        <w:t> </w:t>
      </w:r>
    </w:p>
    <w:p>
      <w:pPr>
        <w:pStyle w:val="TextBody"/>
        <w:bidi w:val="0"/>
        <w:spacing w:before="0" w:after="0"/>
        <w:ind w:left="0" w:right="0" w:hanging="0"/>
        <w:jc w:val="left"/>
        <w:rPr>
          <w:caps w:val="false"/>
          <w:smallCaps w:val="false"/>
        </w:rPr>
      </w:pPr>
      <w:bookmarkStart w:id="554" w:name="xdx_23D_zw1lBvkMo3o5"/>
      <w:bookmarkEnd w:id="55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5" w:name="xdx_80C_eus-gaap--CryptoAssetTextBlock_z"/>
      <w:bookmarkEnd w:id="555"/>
      <w:r>
        <w:rPr>
          <w:rFonts w:ascii="Times New Roman;Times;Serif" w:hAnsi="Times New Roman;Times;Serif"/>
          <w:b/>
          <w:i w:val="false"/>
          <w:caps w:val="false"/>
          <w:smallCaps w:val="false"/>
          <w:sz w:val="20"/>
        </w:rPr>
        <w:t xml:space="preserve">Note 9 - </w:t>
      </w:r>
      <w:bookmarkStart w:id="556" w:name="xdx_826_zHJKm7typQ76"/>
      <w:bookmarkEnd w:id="556"/>
      <w:r>
        <w:rPr>
          <w:rFonts w:ascii="Times New Roman;Times;Serif" w:hAnsi="Times New Roman;Times;Serif"/>
          <w:b/>
          <w:i w:val="false"/>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27, 2025, the Company purchased (1) </w:t>
      </w:r>
      <w:bookmarkStart w:id="557" w:name="xdx_906_eus-gaap--CryptoAssetNumberOfUni"/>
      <w:bookmarkEnd w:id="557"/>
      <w:r>
        <w:rPr>
          <w:rFonts w:ascii="Times New Roman;Times;Serif" w:hAnsi="Times New Roman;Times;Serif"/>
          <w:b w:val="false"/>
          <w:i w:val="false"/>
          <w:caps w:val="false"/>
          <w:smallCaps w:val="false"/>
          <w:sz w:val="20"/>
        </w:rPr>
        <w:t>15.12 Bitcoin (BTC) at an average price of $87,686.33 per BTC, for a total amount of approximately $</w:t>
      </w:r>
      <w:bookmarkStart w:id="558" w:name="xdx_901_eus-gaap--CryptoAssetCost_iI_c20"/>
      <w:bookmarkEnd w:id="558"/>
      <w:r>
        <w:rPr>
          <w:rFonts w:ascii="Times New Roman;Times;Serif" w:hAnsi="Times New Roman;Times;Serif"/>
          <w:b w:val="false"/>
          <w:i w:val="false"/>
          <w:caps w:val="false"/>
          <w:smallCaps w:val="false"/>
          <w:sz w:val="20"/>
        </w:rPr>
        <w:t xml:space="preserve">1,325,400 and (2) </w:t>
      </w:r>
      <w:bookmarkStart w:id="559" w:name="xdx_90B_eus-gaap--CryptoAssetNumberOfUni"/>
      <w:bookmarkEnd w:id="559"/>
      <w:r>
        <w:rPr>
          <w:rFonts w:ascii="Times New Roman;Times;Serif" w:hAnsi="Times New Roman;Times;Serif"/>
          <w:b w:val="false"/>
          <w:i w:val="false"/>
          <w:caps w:val="false"/>
          <w:smallCaps w:val="false"/>
          <w:sz w:val="20"/>
        </w:rPr>
        <w:t>301.10 Ethereum (ETH) at an average price of $2,934.67 per ETH, for a total amount of approximately $</w:t>
      </w:r>
      <w:bookmarkStart w:id="560" w:name="xdx_90A_eus-gaap--CryptoAssetCost_iI_c20"/>
      <w:bookmarkEnd w:id="560"/>
      <w:r>
        <w:rPr>
          <w:rFonts w:ascii="Times New Roman;Times;Serif" w:hAnsi="Times New Roman;Times;Serif"/>
          <w:b w:val="false"/>
          <w:i w:val="false"/>
          <w:caps w:val="false"/>
          <w:smallCaps w:val="false"/>
          <w:sz w:val="20"/>
        </w:rPr>
        <w:t>883,600. Pursuant to a Security and Pledge Agreement (the “Security Agreement”) by and among the Company, each of the direct and indirect Subsidiaries (as defined in the Security Agreement) of the Company (the “Guarantors”), and an entity that is an affiliate of the Convertible Note Investor, the Company granted to the Investor, for the ratable benefit of the Investor, a valid, perfected and enforceable first priority security interest in the cryptocurrency assets of the Company and the Guarantors, including without limitation all Crypto Collateral (as defined in the Security Agreement) and related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roll-forward of digital assets measured at fair value on a recurring basis for the nine months ended March 31, 2026: </w:t>
      </w:r>
    </w:p>
    <w:p>
      <w:pPr>
        <w:pStyle w:val="Normal"/>
        <w:bidi w:val="0"/>
        <w:spacing w:before="0" w:after="0"/>
        <w:jc w:val="left"/>
        <w:rPr>
          <w:sz w:val="4"/>
          <w:szCs w:val="4"/>
        </w:rPr>
      </w:pPr>
      <w:r>
        <w:rPr>
          <w:sz w:val="4"/>
          <w:szCs w:val="4"/>
        </w:rPr>
      </w:r>
      <w:bookmarkStart w:id="561" w:name="xdx_894_eus-gaap--CryptoAssetActivityTab"/>
      <w:bookmarkStart w:id="562" w:name="xdx_894_eus-gaap--CryptoAssetActivityTab"/>
      <w:bookmarkEnd w:id="562"/>
    </w:p>
    <w:tbl>
      <w:tblPr>
        <w:tblW w:w="7730" w:type="dxa"/>
        <w:jc w:val="left"/>
        <w:tblInd w:w="0" w:type="dxa"/>
        <w:tblLayout w:type="fixed"/>
        <w:tblCellMar>
          <w:top w:w="0" w:type="dxa"/>
          <w:left w:w="0" w:type="dxa"/>
          <w:bottom w:w="0" w:type="dxa"/>
          <w:right w:w="0" w:type="dxa"/>
        </w:tblCellMar>
      </w:tblPr>
      <w:tblGrid>
        <w:gridCol w:w="6440"/>
        <w:gridCol w:w="60"/>
        <w:gridCol w:w="140"/>
        <w:gridCol w:w="980"/>
        <w:gridCol w:w="110"/>
      </w:tblGrid>
      <w:tr>
        <w:trPr/>
        <w:tc>
          <w:tcPr>
            <w:tcW w:w="6440" w:type="dxa"/>
            <w:tcBorders/>
            <w:vAlign w:val="center"/>
          </w:tcPr>
          <w:p>
            <w:pPr>
              <w:pStyle w:val="TableContents"/>
              <w:bidi w:val="0"/>
              <w:spacing w:before="0" w:after="283"/>
              <w:jc w:val="left"/>
              <w:rPr/>
            </w:pPr>
            <w:bookmarkStart w:id="563" w:name="xdx_8B3_zLruSjj45V52"/>
            <w:bookmarkEnd w:id="563"/>
            <w:r>
              <w:rPr/>
              <w:t>Schedule of digital assets measured at fair value on a recurring basis</w:t>
            </w:r>
          </w:p>
        </w:tc>
        <w:tc>
          <w:tcPr>
            <w:tcW w:w="60" w:type="dxa"/>
            <w:tcBorders/>
            <w:vAlign w:val="center"/>
          </w:tcPr>
          <w:p>
            <w:pPr>
              <w:pStyle w:val="TableContents"/>
              <w:bidi w:val="0"/>
              <w:spacing w:before="0" w:after="283"/>
              <w:jc w:val="left"/>
              <w:rPr/>
            </w:pPr>
            <w:r>
              <w:rPr/>
              <w:t> </w:t>
            </w:r>
          </w:p>
        </w:tc>
        <w:tc>
          <w:tcPr>
            <w:tcW w:w="1230" w:type="dxa"/>
            <w:gridSpan w:val="3"/>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Fair Value</w:t>
            </w:r>
          </w:p>
        </w:tc>
      </w:tr>
      <w:tr>
        <w:trPr/>
        <w:tc>
          <w:tcPr>
            <w:tcW w:w="6440" w:type="dxa"/>
            <w:tcBorders/>
            <w:shd w:fill="EEEEEE" w:val="clear"/>
            <w:vAlign w:val="center"/>
          </w:tcPr>
          <w:p>
            <w:pPr>
              <w:pStyle w:val="TableContents"/>
              <w:bidi w:val="0"/>
              <w:spacing w:before="0" w:after="283"/>
              <w:jc w:val="left"/>
              <w:rPr/>
            </w:pPr>
            <w:r>
              <w:rPr/>
              <w:t>Balance as of June 30, 2025</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564" w:name="xdx_980_eus-gaap--CryptoAssetFairValue_i"/>
            <w:bookmarkEnd w:id="564"/>
          </w:p>
        </w:tc>
        <w:tc>
          <w:tcPr>
            <w:tcW w:w="98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Purchase of BTC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65" w:name="xdx_98C_eus-gaap--CryptoAssetPurchase_c2"/>
            <w:bookmarkEnd w:id="565"/>
          </w:p>
        </w:tc>
        <w:tc>
          <w:tcPr>
            <w:tcW w:w="980" w:type="dxa"/>
            <w:tcBorders/>
            <w:shd w:fill="FFFFFF" w:val="clear"/>
            <w:vAlign w:val="center"/>
          </w:tcPr>
          <w:p>
            <w:pPr>
              <w:pStyle w:val="TableContents"/>
              <w:bidi w:val="0"/>
              <w:spacing w:before="0" w:after="283"/>
              <w:jc w:val="right"/>
              <w:rPr/>
            </w:pPr>
            <w:r>
              <w:rPr/>
              <w:t>1,325,400</w:t>
            </w:r>
          </w:p>
        </w:tc>
        <w:tc>
          <w:tcPr>
            <w:tcW w:w="110" w:type="dxa"/>
            <w:tcBorders/>
            <w:shd w:fill="FFFFFF" w:val="clear"/>
            <w:vAlign w:val="center"/>
          </w:tcPr>
          <w:p>
            <w:pPr>
              <w:pStyle w:val="TableContents"/>
              <w:bidi w:val="0"/>
              <w:spacing w:before="0" w:after="283"/>
              <w:jc w:val="left"/>
              <w:rPr/>
            </w:pPr>
            <w:r>
              <w:rPr/>
              <w:t> </w:t>
            </w:r>
          </w:p>
        </w:tc>
      </w:tr>
      <w:tr>
        <w:trPr/>
        <w:tc>
          <w:tcPr>
            <w:tcW w:w="6440" w:type="dxa"/>
            <w:tcBorders/>
            <w:shd w:fill="EEEEEE" w:val="clear"/>
            <w:vAlign w:val="center"/>
          </w:tcPr>
          <w:p>
            <w:pPr>
              <w:pStyle w:val="TableContents"/>
              <w:bidi w:val="0"/>
              <w:spacing w:before="0" w:after="283"/>
              <w:jc w:val="left"/>
              <w:rPr/>
            </w:pPr>
            <w:r>
              <w:rPr/>
              <w:t>Purchase of ETH</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66" w:name="xdx_980_eus-gaap--CryptoAssetPurchase_c2"/>
            <w:bookmarkEnd w:id="566"/>
          </w:p>
        </w:tc>
        <w:tc>
          <w:tcPr>
            <w:tcW w:w="980" w:type="dxa"/>
            <w:tcBorders/>
            <w:shd w:fill="EEEEEE" w:val="clear"/>
            <w:vAlign w:val="center"/>
          </w:tcPr>
          <w:p>
            <w:pPr>
              <w:pStyle w:val="TableContents"/>
              <w:bidi w:val="0"/>
              <w:spacing w:before="0" w:after="283"/>
              <w:jc w:val="right"/>
              <w:rPr/>
            </w:pPr>
            <w:r>
              <w:rPr/>
              <w:t>883,600</w:t>
            </w:r>
          </w:p>
        </w:tc>
        <w:tc>
          <w:tcPr>
            <w:tcW w:w="110" w:type="dxa"/>
            <w:tcBorders/>
            <w:shd w:fill="EEEEEE"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Sales of BTC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67" w:name="xdx_98A_eus-gaap--CryptoAssetSale_d0_c20"/>
            <w:bookmarkEnd w:id="567"/>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440" w:type="dxa"/>
            <w:tcBorders/>
            <w:shd w:fill="EEEEEE" w:val="clear"/>
            <w:vAlign w:val="center"/>
          </w:tcPr>
          <w:p>
            <w:pPr>
              <w:pStyle w:val="TableContents"/>
              <w:bidi w:val="0"/>
              <w:spacing w:before="0" w:after="283"/>
              <w:jc w:val="left"/>
              <w:rPr/>
            </w:pPr>
            <w:r>
              <w:rPr/>
              <w:t>Sales of ETH</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68" w:name="xdx_98B_eus-gaap--CryptoAssetSale_d0_c20"/>
            <w:bookmarkEnd w:id="568"/>
          </w:p>
        </w:tc>
        <w:tc>
          <w:tcPr>
            <w:tcW w:w="98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Change in fair value of BTC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69" w:name="xdx_98F_eus-gaap--CryptoAssetPeriodIncre"/>
            <w:bookmarkEnd w:id="569"/>
          </w:p>
        </w:tc>
        <w:tc>
          <w:tcPr>
            <w:tcW w:w="980" w:type="dxa"/>
            <w:tcBorders/>
            <w:shd w:fill="FFFFFF" w:val="clear"/>
            <w:vAlign w:val="center"/>
          </w:tcPr>
          <w:p>
            <w:pPr>
              <w:pStyle w:val="TableContents"/>
              <w:bidi w:val="0"/>
              <w:spacing w:before="0" w:after="283"/>
              <w:jc w:val="right"/>
              <w:rPr/>
            </w:pPr>
            <w:r>
              <w:rPr/>
              <w:t>(294,013</w:t>
            </w:r>
          </w:p>
        </w:tc>
        <w:tc>
          <w:tcPr>
            <w:tcW w:w="110" w:type="dxa"/>
            <w:tcBorders/>
            <w:shd w:fill="FFFFFF" w:val="clear"/>
            <w:vAlign w:val="center"/>
          </w:tcPr>
          <w:p>
            <w:pPr>
              <w:pStyle w:val="TableContents"/>
              <w:bidi w:val="0"/>
              <w:spacing w:before="0" w:after="283"/>
              <w:jc w:val="left"/>
              <w:rPr/>
            </w:pPr>
            <w:r>
              <w:rPr/>
              <w:t>)</w:t>
            </w:r>
          </w:p>
        </w:tc>
      </w:tr>
      <w:tr>
        <w:trPr/>
        <w:tc>
          <w:tcPr>
            <w:tcW w:w="6440" w:type="dxa"/>
            <w:tcBorders/>
            <w:shd w:fill="EEEEEE" w:val="clear"/>
            <w:vAlign w:val="center"/>
          </w:tcPr>
          <w:p>
            <w:pPr>
              <w:pStyle w:val="TableContents"/>
              <w:bidi w:val="0"/>
              <w:spacing w:before="0" w:after="283"/>
              <w:jc w:val="left"/>
              <w:rPr/>
            </w:pPr>
            <w:r>
              <w:rPr/>
              <w:t>Change in fair value of ETH</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70" w:name="xdx_98F_eus-gaap--CryptoAssetPeriodIncre"/>
            <w:bookmarkEnd w:id="570"/>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(250,160</w:t>
            </w:r>
          </w:p>
        </w:tc>
        <w:tc>
          <w:tcPr>
            <w:tcW w:w="110" w:type="dxa"/>
            <w:tcBorders/>
            <w:shd w:fill="EEEEEE" w:val="clear"/>
            <w:vAlign w:val="center"/>
          </w:tcPr>
          <w:p>
            <w:pPr>
              <w:pStyle w:val="TableContents"/>
              <w:bidi w:val="0"/>
              <w:spacing w:before="0" w:after="283"/>
              <w:jc w:val="left"/>
              <w:rPr/>
            </w:pPr>
            <w:r>
              <w:rPr/>
              <w:t>)</w:t>
            </w:r>
          </w:p>
        </w:tc>
      </w:tr>
      <w:tr>
        <w:trPr/>
        <w:tc>
          <w:tcPr>
            <w:tcW w:w="6440" w:type="dxa"/>
            <w:tcBorders/>
            <w:shd w:fill="FFFFFF" w:val="clear"/>
            <w:vAlign w:val="center"/>
          </w:tcPr>
          <w:p>
            <w:pPr>
              <w:pStyle w:val="TableContents"/>
              <w:bidi w:val="0"/>
              <w:spacing w:before="0" w:after="283"/>
              <w:jc w:val="left"/>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71" w:name="xdx_980_eus-gaap--CryptoAssetFairValue_i"/>
            <w:bookmarkEnd w:id="57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1,664,827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2" w:name="xdx_8AA_zF0mo4UUKEE8"/>
      <w:bookmarkEnd w:id="5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March 31, 2026, the Company recognized a net unrealized loss of $</w:t>
      </w:r>
      <w:bookmarkStart w:id="573" w:name="xdx_900_eus-gaap--CryptoAssetRealizedAnd"/>
      <w:bookmarkEnd w:id="573"/>
      <w:r>
        <w:rPr>
          <w:rFonts w:ascii="Times New Roman;Times;Serif" w:hAnsi="Times New Roman;Times;Serif"/>
          <w:b w:val="false"/>
          <w:i w:val="false"/>
          <w:caps w:val="false"/>
          <w:smallCaps w:val="false"/>
          <w:sz w:val="20"/>
        </w:rPr>
        <w:t>549,932 and $</w:t>
      </w:r>
      <w:bookmarkStart w:id="574" w:name="xdx_909_eus-gaap--CryptoAssetRealizedAnd"/>
      <w:bookmarkEnd w:id="574"/>
      <w:r>
        <w:rPr>
          <w:rFonts w:ascii="Times New Roman;Times;Serif" w:hAnsi="Times New Roman;Times;Serif"/>
          <w:b w:val="false"/>
          <w:i w:val="false"/>
          <w:caps w:val="false"/>
          <w:smallCaps w:val="false"/>
          <w:sz w:val="20"/>
        </w:rPr>
        <w:t>544,173, respectively, on its digital asset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consisted of the following at March 31, 2026: </w:t>
      </w:r>
    </w:p>
    <w:p>
      <w:pPr>
        <w:pStyle w:val="Normal"/>
        <w:bidi w:val="0"/>
        <w:spacing w:before="0" w:after="0"/>
        <w:jc w:val="left"/>
        <w:rPr>
          <w:sz w:val="4"/>
          <w:szCs w:val="4"/>
        </w:rPr>
      </w:pPr>
      <w:r>
        <w:rPr>
          <w:sz w:val="4"/>
          <w:szCs w:val="4"/>
        </w:rPr>
      </w:r>
      <w:bookmarkStart w:id="575" w:name="xdx_892_eus-gaap--CryptoAssetHoldingTabl"/>
      <w:bookmarkStart w:id="576" w:name="xdx_892_eus-gaap--CryptoAssetHoldingTabl"/>
      <w:bookmarkEnd w:id="576"/>
    </w:p>
    <w:tbl>
      <w:tblPr>
        <w:tblW w:w="5760" w:type="dxa"/>
        <w:jc w:val="left"/>
        <w:tblInd w:w="0" w:type="dxa"/>
        <w:tblLayout w:type="fixed"/>
        <w:tblCellMar>
          <w:top w:w="0" w:type="dxa"/>
          <w:left w:w="0" w:type="dxa"/>
          <w:bottom w:w="0" w:type="dxa"/>
          <w:right w:w="0" w:type="dxa"/>
        </w:tblCellMar>
      </w:tblPr>
      <w:tblGrid>
        <w:gridCol w:w="2405"/>
        <w:gridCol w:w="60"/>
        <w:gridCol w:w="60"/>
        <w:gridCol w:w="680"/>
        <w:gridCol w:w="60"/>
        <w:gridCol w:w="60"/>
        <w:gridCol w:w="140"/>
        <w:gridCol w:w="980"/>
        <w:gridCol w:w="60"/>
        <w:gridCol w:w="60"/>
        <w:gridCol w:w="140"/>
        <w:gridCol w:w="980"/>
        <w:gridCol w:w="75"/>
      </w:tblGrid>
      <w:tr>
        <w:trPr/>
        <w:tc>
          <w:tcPr>
            <w:tcW w:w="2405" w:type="dxa"/>
            <w:tcBorders/>
            <w:vAlign w:val="center"/>
          </w:tcPr>
          <w:p>
            <w:pPr>
              <w:pStyle w:val="TableContents"/>
              <w:bidi w:val="0"/>
              <w:spacing w:before="0" w:after="283"/>
              <w:jc w:val="left"/>
              <w:rPr/>
            </w:pPr>
            <w:bookmarkStart w:id="577" w:name="xdx_8B0_zMpRuUdOnceg"/>
            <w:bookmarkEnd w:id="577"/>
            <w:r>
              <w:rPr/>
              <w:t>Schedule of digital assets</w:t>
            </w:r>
          </w:p>
        </w:tc>
        <w:tc>
          <w:tcPr>
            <w:tcW w:w="60" w:type="dxa"/>
            <w:tcBorders/>
            <w:vAlign w:val="center"/>
          </w:tcPr>
          <w:p>
            <w:pPr>
              <w:pStyle w:val="TableContents"/>
              <w:bidi w:val="0"/>
              <w:spacing w:before="0" w:after="283"/>
              <w:jc w:val="left"/>
              <w:rPr/>
            </w:pPr>
            <w:r>
              <w:rPr/>
              <w:t> </w:t>
            </w:r>
          </w:p>
        </w:tc>
        <w:tc>
          <w:tcPr>
            <w:tcW w:w="3295" w:type="dxa"/>
            <w:gridSpan w:val="11"/>
            <w:tcBorders/>
            <w:vAlign w:val="center"/>
          </w:tcPr>
          <w:p>
            <w:pPr>
              <w:pStyle w:val="TableContents"/>
              <w:bidi w:val="0"/>
              <w:spacing w:before="0" w:after="283"/>
              <w:jc w:val="center"/>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5"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r>
      <w:tr>
        <w:trPr/>
        <w:tc>
          <w:tcPr>
            <w:tcW w:w="2405" w:type="dxa"/>
            <w:tcBorders>
              <w:bottom w:val="single" w:sz="8" w:space="0" w:color="000000"/>
            </w:tcBorders>
            <w:tcMar>
              <w:bottom w:w="28" w:type="dxa"/>
            </w:tcMar>
            <w:vAlign w:val="center"/>
          </w:tcPr>
          <w:p>
            <w:pPr>
              <w:pStyle w:val="TableContents"/>
              <w:bidi w:val="0"/>
              <w:spacing w:before="0" w:after="283"/>
              <w:jc w:val="left"/>
              <w:rPr>
                <w:b/>
              </w:rPr>
            </w:pPr>
            <w:r>
              <w:rPr>
                <w:b/>
              </w:rPr>
              <w:t>Digital assets held:</w:t>
            </w:r>
          </w:p>
        </w:tc>
        <w:tc>
          <w:tcPr>
            <w:tcW w:w="60" w:type="dxa"/>
            <w:tcBorders/>
            <w:vAlign w:val="center"/>
          </w:tcPr>
          <w:p>
            <w:pPr>
              <w:pStyle w:val="TableContents"/>
              <w:bidi w:val="0"/>
              <w:spacing w:before="0" w:after="283"/>
              <w:jc w:val="left"/>
              <w:rPr/>
            </w:pPr>
            <w:r>
              <w:rPr/>
              <w:t> </w:t>
            </w:r>
          </w:p>
        </w:tc>
        <w:tc>
          <w:tcPr>
            <w:tcW w:w="8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11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Cost Basis</w:t>
            </w:r>
          </w:p>
        </w:tc>
        <w:tc>
          <w:tcPr>
            <w:tcW w:w="60" w:type="dxa"/>
            <w:tcBorders/>
            <w:vAlign w:val="center"/>
          </w:tcPr>
          <w:p>
            <w:pPr>
              <w:pStyle w:val="TableContents"/>
              <w:bidi w:val="0"/>
              <w:spacing w:before="0" w:after="283"/>
              <w:jc w:val="left"/>
              <w:rPr/>
            </w:pPr>
            <w:r>
              <w:rPr/>
              <w:t> </w:t>
            </w:r>
          </w:p>
        </w:tc>
        <w:tc>
          <w:tcPr>
            <w:tcW w:w="119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Fair Value</w:t>
            </w:r>
          </w:p>
        </w:tc>
      </w:tr>
      <w:tr>
        <w:trPr/>
        <w:tc>
          <w:tcPr>
            <w:tcW w:w="2405" w:type="dxa"/>
            <w:tcBorders/>
            <w:shd w:fill="EEEEEE" w:val="clear"/>
            <w:vAlign w:val="center"/>
          </w:tcPr>
          <w:p>
            <w:pPr>
              <w:pStyle w:val="TableContents"/>
              <w:bidi w:val="0"/>
              <w:spacing w:before="0" w:after="283"/>
              <w:jc w:val="left"/>
              <w:rPr/>
            </w:pPr>
            <w:r>
              <w:rPr/>
              <w:t>BTC</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bookmarkStart w:id="578" w:name="xdx_902_eus-gaap--CryptoAssetNumberOfUni"/>
            <w:bookmarkEnd w:id="578"/>
            <w:r>
              <w:rPr/>
              <w:t>15.12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579" w:name="xdx_98F_eus-gaap--CryptoAssetCost_iI_c20"/>
            <w:bookmarkEnd w:id="579"/>
          </w:p>
        </w:tc>
        <w:tc>
          <w:tcPr>
            <w:tcW w:w="980" w:type="dxa"/>
            <w:tcBorders/>
            <w:shd w:fill="EEEEEE" w:val="clear"/>
            <w:vAlign w:val="center"/>
          </w:tcPr>
          <w:p>
            <w:pPr>
              <w:pStyle w:val="TableContents"/>
              <w:bidi w:val="0"/>
              <w:spacing w:before="0" w:after="283"/>
              <w:jc w:val="right"/>
              <w:rPr/>
            </w:pPr>
            <w:r>
              <w:rPr/>
              <w:t>1,325,400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580" w:name="xdx_981_eus-gaap--CryptoAssetFairValue_i"/>
            <w:bookmarkEnd w:id="580"/>
          </w:p>
        </w:tc>
        <w:tc>
          <w:tcPr>
            <w:tcW w:w="980" w:type="dxa"/>
            <w:tcBorders/>
            <w:shd w:fill="EEEEEE" w:val="clear"/>
            <w:vAlign w:val="center"/>
          </w:tcPr>
          <w:p>
            <w:pPr>
              <w:pStyle w:val="TableContents"/>
              <w:bidi w:val="0"/>
              <w:spacing w:before="0" w:after="283"/>
              <w:jc w:val="right"/>
              <w:rPr/>
            </w:pPr>
            <w:r>
              <w:rPr/>
              <w:t>1,031,387</w:t>
            </w:r>
          </w:p>
        </w:tc>
        <w:tc>
          <w:tcPr>
            <w:tcW w:w="75" w:type="dxa"/>
            <w:tcBorders/>
            <w:shd w:fill="EEEEEE"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ETH</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81" w:name="xdx_906_eus-gaap--CryptoAssetNumberOfUni"/>
            <w:bookmarkEnd w:id="581"/>
            <w:r>
              <w:rPr/>
              <w:t>301.10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82" w:name="xdx_98E_eus-gaap--CryptoAssetCost_iI_c20"/>
            <w:bookmarkEnd w:id="58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883,600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83" w:name="xdx_986_eus-gaap--CryptoAssetFairValue_i"/>
            <w:bookmarkEnd w:id="583"/>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633,440</w:t>
            </w:r>
          </w:p>
        </w:tc>
        <w:tc>
          <w:tcPr>
            <w:tcW w:w="75" w:type="dxa"/>
            <w:tcBorders/>
            <w:shd w:fill="FFFFFF" w:val="clear"/>
            <w:vAlign w:val="center"/>
          </w:tcPr>
          <w:p>
            <w:pPr>
              <w:pStyle w:val="TableContents"/>
              <w:bidi w:val="0"/>
              <w:spacing w:before="0" w:after="283"/>
              <w:jc w:val="left"/>
              <w:rPr/>
            </w:pPr>
            <w:r>
              <w:rPr/>
              <w:t> </w:t>
            </w:r>
          </w:p>
        </w:tc>
      </w:tr>
      <w:tr>
        <w:trPr/>
        <w:tc>
          <w:tcPr>
            <w:tcW w:w="240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EEEEEE" w:val="clear"/>
            <w:tcMar>
              <w:bottom w:w="28" w:type="dxa"/>
            </w:tcM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84" w:name="xdx_98E_eus-gaap--CryptoAssetCost_iI_c20"/>
            <w:bookmarkEnd w:id="584"/>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2,209,000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85" w:name="xdx_983_eus-gaap--CryptoAssetFairValue_i"/>
            <w:bookmarkEnd w:id="585"/>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1,664,827</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6" w:name="xdx_8AB_zVlFbdCjg2Ag"/>
      <w:bookmarkEnd w:id="586"/>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7" w:name="xdx_806_eus-gaap--IntangibleAssetsDisclo"/>
      <w:bookmarkEnd w:id="587"/>
      <w:r>
        <w:rPr>
          <w:rFonts w:ascii="Times New Roman;Times;Serif" w:hAnsi="Times New Roman;Times;Serif"/>
          <w:b/>
          <w:i w:val="false"/>
          <w:caps w:val="false"/>
          <w:smallCaps w:val="false"/>
          <w:sz w:val="20"/>
        </w:rPr>
        <w:t xml:space="preserve">Note 10 – </w:t>
      </w:r>
      <w:bookmarkStart w:id="588" w:name="xdx_82C_zEuZHY4uNCP1"/>
      <w:bookmarkEnd w:id="588"/>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June 30, 2025, intangible assets, net, consisted of the following: </w:t>
      </w:r>
    </w:p>
    <w:p>
      <w:pPr>
        <w:pStyle w:val="Normal"/>
        <w:bidi w:val="0"/>
        <w:spacing w:before="0" w:after="0"/>
        <w:jc w:val="left"/>
        <w:rPr>
          <w:sz w:val="4"/>
          <w:szCs w:val="4"/>
        </w:rPr>
      </w:pPr>
      <w:r>
        <w:rPr>
          <w:sz w:val="4"/>
          <w:szCs w:val="4"/>
        </w:rPr>
      </w:r>
      <w:bookmarkStart w:id="589" w:name="xdx_895_eus-gaap--ScheduleOfFiniteLivedI"/>
      <w:bookmarkStart w:id="590" w:name="xdx_895_eus-gaap--ScheduleOfFiniteLivedI"/>
      <w:bookmarkEnd w:id="590"/>
    </w:p>
    <w:tbl>
      <w:tblPr>
        <w:tblW w:w="6312" w:type="dxa"/>
        <w:jc w:val="left"/>
        <w:tblInd w:w="0" w:type="dxa"/>
        <w:tblLayout w:type="fixed"/>
        <w:tblCellMar>
          <w:top w:w="0" w:type="dxa"/>
          <w:left w:w="0" w:type="dxa"/>
          <w:bottom w:w="0" w:type="dxa"/>
          <w:right w:w="0" w:type="dxa"/>
        </w:tblCellMar>
      </w:tblPr>
      <w:tblGrid>
        <w:gridCol w:w="3155"/>
        <w:gridCol w:w="60"/>
        <w:gridCol w:w="174"/>
        <w:gridCol w:w="1316"/>
        <w:gridCol w:w="118"/>
        <w:gridCol w:w="60"/>
        <w:gridCol w:w="153"/>
        <w:gridCol w:w="1156"/>
        <w:gridCol w:w="120"/>
      </w:tblGrid>
      <w:tr>
        <w:trPr/>
        <w:tc>
          <w:tcPr>
            <w:tcW w:w="3155" w:type="dxa"/>
            <w:tcBorders/>
            <w:vAlign w:val="center"/>
          </w:tcPr>
          <w:p>
            <w:pPr>
              <w:pStyle w:val="TableContents"/>
              <w:bidi w:val="0"/>
              <w:spacing w:before="0" w:after="283"/>
              <w:jc w:val="left"/>
              <w:rPr/>
            </w:pPr>
            <w:bookmarkStart w:id="591" w:name="xdx_8BE_zi77PjUuAkI5"/>
            <w:bookmarkEnd w:id="591"/>
            <w:r>
              <w:rPr/>
              <w:t>Schedule of intangible assets, net</w:t>
            </w:r>
          </w:p>
        </w:tc>
        <w:tc>
          <w:tcPr>
            <w:tcW w:w="60" w:type="dxa"/>
            <w:tcBorders/>
            <w:vAlign w:val="center"/>
          </w:tcPr>
          <w:p>
            <w:pPr>
              <w:pStyle w:val="TableContents"/>
              <w:bidi w:val="0"/>
              <w:spacing w:before="0" w:after="283"/>
              <w:jc w:val="left"/>
              <w:rPr/>
            </w:pPr>
            <w:r>
              <w:rPr/>
              <w:t> </w:t>
            </w:r>
          </w:p>
        </w:tc>
        <w:tc>
          <w:tcPr>
            <w:tcW w:w="160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r>
      <w:tr>
        <w:trPr/>
        <w:tc>
          <w:tcPr>
            <w:tcW w:w="3155" w:type="dxa"/>
            <w:tcBorders/>
            <w:shd w:fill="EEEEEE" w:val="clear"/>
            <w:vAlign w:val="center"/>
          </w:tcPr>
          <w:p>
            <w:pPr>
              <w:pStyle w:val="TableContents"/>
              <w:bidi w:val="0"/>
              <w:spacing w:before="0" w:after="283"/>
              <w:jc w:val="left"/>
              <w:rPr/>
            </w:pPr>
            <w:r>
              <w:rPr/>
              <w:t>Covenant not to compete</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w:t>
            </w:r>
            <w:bookmarkStart w:id="592" w:name="xdx_980_eus-gaap--FiniteLivedIntangibleA"/>
            <w:bookmarkEnd w:id="592"/>
          </w:p>
        </w:tc>
        <w:tc>
          <w:tcPr>
            <w:tcW w:w="1316" w:type="dxa"/>
            <w:tcBorders/>
            <w:shd w:fill="EEEEEE" w:val="clear"/>
            <w:vAlign w:val="center"/>
          </w:tcPr>
          <w:p>
            <w:pPr>
              <w:pStyle w:val="TableContents"/>
              <w:bidi w:val="0"/>
              <w:spacing w:before="0" w:after="283"/>
              <w:jc w:val="right"/>
              <w:rPr/>
            </w:pPr>
            <w:r>
              <w:rPr/>
              <w:t>3,459,120</w:t>
            </w:r>
          </w:p>
        </w:tc>
        <w:tc>
          <w:tcPr>
            <w:tcW w:w="11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w:t>
            </w:r>
            <w:bookmarkStart w:id="593" w:name="xdx_984_eus-gaap--FiniteLivedIntangibleA"/>
            <w:bookmarkEnd w:id="593"/>
          </w:p>
        </w:tc>
        <w:tc>
          <w:tcPr>
            <w:tcW w:w="1156" w:type="dxa"/>
            <w:tcBorders/>
            <w:shd w:fill="EEEEEE" w:val="clear"/>
            <w:vAlign w:val="center"/>
          </w:tcPr>
          <w:p>
            <w:pPr>
              <w:pStyle w:val="TableContents"/>
              <w:bidi w:val="0"/>
              <w:spacing w:before="0" w:after="283"/>
              <w:jc w:val="right"/>
              <w:rPr/>
            </w:pPr>
            <w:r>
              <w:rPr/>
              <w:t>3,459,120</w:t>
            </w:r>
          </w:p>
        </w:tc>
        <w:tc>
          <w:tcPr>
            <w:tcW w:w="120" w:type="dxa"/>
            <w:tcBorders/>
            <w:shd w:fill="EEEEEE"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Supplier relationships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bookmarkStart w:id="594" w:name="xdx_980_eus-gaap--FiniteLivedIntangibleA"/>
            <w:bookmarkEnd w:id="594"/>
          </w:p>
        </w:tc>
        <w:tc>
          <w:tcPr>
            <w:tcW w:w="1316" w:type="dxa"/>
            <w:tcBorders/>
            <w:shd w:fill="FFFFFF" w:val="clear"/>
            <w:vAlign w:val="center"/>
          </w:tcPr>
          <w:p>
            <w:pPr>
              <w:pStyle w:val="TableContents"/>
              <w:bidi w:val="0"/>
              <w:spacing w:before="0" w:after="283"/>
              <w:jc w:val="right"/>
              <w:rPr/>
            </w:pPr>
            <w:r>
              <w:rPr/>
              <w:t>1,179,246</w:t>
            </w:r>
          </w:p>
        </w:tc>
        <w:tc>
          <w:tcPr>
            <w:tcW w:w="1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bookmarkStart w:id="595" w:name="xdx_98A_eus-gaap--FiniteLivedIntangibleA"/>
            <w:bookmarkEnd w:id="595"/>
          </w:p>
        </w:tc>
        <w:tc>
          <w:tcPr>
            <w:tcW w:w="1156" w:type="dxa"/>
            <w:tcBorders/>
            <w:shd w:fill="FFFFFF" w:val="clear"/>
            <w:vAlign w:val="center"/>
          </w:tcPr>
          <w:p>
            <w:pPr>
              <w:pStyle w:val="TableContents"/>
              <w:bidi w:val="0"/>
              <w:spacing w:before="0" w:after="283"/>
              <w:jc w:val="right"/>
              <w:rPr/>
            </w:pPr>
            <w:r>
              <w:rPr/>
              <w:t>1,179,246</w:t>
            </w:r>
          </w:p>
        </w:tc>
        <w:tc>
          <w:tcPr>
            <w:tcW w:w="120" w:type="dxa"/>
            <w:tcBorders/>
            <w:shd w:fill="FFFFFF" w:val="clear"/>
            <w:vAlign w:val="center"/>
          </w:tcPr>
          <w:p>
            <w:pPr>
              <w:pStyle w:val="TableContents"/>
              <w:bidi w:val="0"/>
              <w:spacing w:before="0" w:after="283"/>
              <w:jc w:val="left"/>
              <w:rPr/>
            </w:pPr>
            <w:r>
              <w:rPr/>
              <w:t> </w:t>
            </w:r>
          </w:p>
        </w:tc>
      </w:tr>
      <w:tr>
        <w:trPr/>
        <w:tc>
          <w:tcPr>
            <w:tcW w:w="3155" w:type="dxa"/>
            <w:tcBorders/>
            <w:shd w:fill="EEEEEE" w:val="clear"/>
            <w:vAlign w:val="center"/>
          </w:tcPr>
          <w:p>
            <w:pPr>
              <w:pStyle w:val="TableContents"/>
              <w:bidi w:val="0"/>
              <w:spacing w:before="0" w:after="283"/>
              <w:jc w:val="left"/>
              <w:rPr/>
            </w:pPr>
            <w:r>
              <w:rPr/>
              <w:t>Software</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bookmarkStart w:id="596" w:name="xdx_981_eus-gaap--FiniteLivedIntangibleA"/>
            <w:bookmarkEnd w:id="596"/>
          </w:p>
        </w:tc>
        <w:tc>
          <w:tcPr>
            <w:tcW w:w="1316" w:type="dxa"/>
            <w:tcBorders/>
            <w:shd w:fill="EEEEEE" w:val="clear"/>
            <w:vAlign w:val="center"/>
          </w:tcPr>
          <w:p>
            <w:pPr>
              <w:pStyle w:val="TableContents"/>
              <w:bidi w:val="0"/>
              <w:spacing w:before="0" w:after="283"/>
              <w:jc w:val="right"/>
              <w:rPr/>
            </w:pPr>
            <w:r>
              <w:rPr/>
              <w:t>534,591</w:t>
            </w:r>
          </w:p>
        </w:tc>
        <w:tc>
          <w:tcPr>
            <w:tcW w:w="11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bookmarkStart w:id="597" w:name="xdx_980_eus-gaap--FiniteLivedIntangibleA"/>
            <w:bookmarkEnd w:id="597"/>
          </w:p>
        </w:tc>
        <w:tc>
          <w:tcPr>
            <w:tcW w:w="1156" w:type="dxa"/>
            <w:tcBorders/>
            <w:shd w:fill="EEEEEE" w:val="clear"/>
            <w:vAlign w:val="center"/>
          </w:tcPr>
          <w:p>
            <w:pPr>
              <w:pStyle w:val="TableContents"/>
              <w:bidi w:val="0"/>
              <w:spacing w:before="0" w:after="283"/>
              <w:jc w:val="right"/>
              <w:rPr/>
            </w:pPr>
            <w:r>
              <w:rPr/>
              <w:t>534,590</w:t>
            </w:r>
          </w:p>
        </w:tc>
        <w:tc>
          <w:tcPr>
            <w:tcW w:w="120" w:type="dxa"/>
            <w:tcBorders/>
            <w:shd w:fill="EEEEEE"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8" w:name="xdx_980_eus-gaap--FiniteLivedIntangibleA"/>
            <w:bookmarkEnd w:id="598"/>
          </w:p>
        </w:tc>
        <w:tc>
          <w:tcPr>
            <w:tcW w:w="1316" w:type="dxa"/>
            <w:tcBorders>
              <w:bottom w:val="single" w:sz="8" w:space="0" w:color="000000"/>
            </w:tcBorders>
            <w:shd w:fill="FFFFFF" w:val="clear"/>
            <w:tcMar>
              <w:bottom w:w="28" w:type="dxa"/>
            </w:tcMar>
            <w:vAlign w:val="center"/>
          </w:tcPr>
          <w:p>
            <w:pPr>
              <w:pStyle w:val="TableContents"/>
              <w:bidi w:val="0"/>
              <w:spacing w:before="0" w:after="283"/>
              <w:jc w:val="right"/>
              <w:rPr/>
            </w:pPr>
            <w:r>
              <w:rPr/>
              <w:t>(2,678,657</w:t>
            </w:r>
          </w:p>
        </w:tc>
        <w:tc>
          <w:tcPr>
            <w:tcW w:w="11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9" w:name="xdx_98C_eus-gaap--FiniteLivedIntangibleA"/>
            <w:bookmarkEnd w:id="599"/>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(2,191,628</w:t>
            </w:r>
          </w:p>
        </w:tc>
        <w:tc>
          <w:tcPr>
            <w:tcW w:w="120" w:type="dxa"/>
            <w:tcBorders/>
            <w:shd w:fill="FFFFFF" w:val="clear"/>
            <w:vAlign w:val="center"/>
          </w:tcPr>
          <w:p>
            <w:pPr>
              <w:pStyle w:val="TableContents"/>
              <w:bidi w:val="0"/>
              <w:spacing w:before="0" w:after="283"/>
              <w:jc w:val="left"/>
              <w:rPr/>
            </w:pPr>
            <w:r>
              <w:rPr/>
              <w:t>)</w:t>
            </w:r>
          </w:p>
        </w:tc>
      </w:tr>
      <w:tr>
        <w:trPr/>
        <w:tc>
          <w:tcPr>
            <w:tcW w:w="3155"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174"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00" w:name="xdx_983_eus-gaap--FiniteLivedIntangibleA"/>
            <w:bookmarkEnd w:id="600"/>
          </w:p>
        </w:tc>
        <w:tc>
          <w:tcPr>
            <w:tcW w:w="1316" w:type="dxa"/>
            <w:tcBorders>
              <w:bottom w:val="double" w:sz="6" w:space="0" w:color="000000"/>
            </w:tcBorders>
            <w:shd w:fill="EEEEEE" w:val="clear"/>
            <w:tcMar>
              <w:bottom w:w="28" w:type="dxa"/>
            </w:tcMar>
            <w:vAlign w:val="center"/>
          </w:tcPr>
          <w:p>
            <w:pPr>
              <w:pStyle w:val="TableContents"/>
              <w:bidi w:val="0"/>
              <w:spacing w:before="0" w:after="283"/>
              <w:jc w:val="right"/>
              <w:rPr/>
            </w:pPr>
            <w:r>
              <w:rPr/>
              <w:t>2,494,300</w:t>
            </w:r>
          </w:p>
        </w:tc>
        <w:tc>
          <w:tcPr>
            <w:tcW w:w="11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01" w:name="xdx_98E_eus-gaap--FiniteLivedIntangibleA"/>
            <w:bookmarkEnd w:id="601"/>
          </w:p>
        </w:tc>
        <w:tc>
          <w:tcPr>
            <w:tcW w:w="1156" w:type="dxa"/>
            <w:tcBorders>
              <w:bottom w:val="double" w:sz="6" w:space="0" w:color="000000"/>
            </w:tcBorders>
            <w:shd w:fill="EEEEEE" w:val="clear"/>
            <w:tcMar>
              <w:bottom w:w="28" w:type="dxa"/>
            </w:tcMar>
            <w:vAlign w:val="center"/>
          </w:tcPr>
          <w:p>
            <w:pPr>
              <w:pStyle w:val="TableContents"/>
              <w:bidi w:val="0"/>
              <w:spacing w:before="0" w:after="283"/>
              <w:jc w:val="right"/>
              <w:rPr/>
            </w:pPr>
            <w:r>
              <w:rPr/>
              <w:t>2,981,328</w:t>
            </w:r>
          </w:p>
        </w:tc>
        <w:tc>
          <w:tcPr>
            <w:tcW w:w="12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2" w:name="xdx_8A2_zwSCP0aG4cMi"/>
      <w:bookmarkEnd w:id="602"/>
      <w:r>
        <w:rPr>
          <w:caps w:val="false"/>
          <w:smallCaps w:val="false"/>
        </w:rPr>
        <w:t>  </w:t>
      </w:r>
    </w:p>
    <w:p>
      <w:pPr>
        <w:pStyle w:val="TextBody"/>
        <w:bidi w:val="0"/>
        <w:spacing w:before="0" w:after="0"/>
        <w:ind w:left="0" w:right="0" w:hanging="0"/>
        <w:jc w:val="both"/>
        <w:rPr>
          <w:caps w:val="false"/>
          <w:smallCaps w:val="false"/>
        </w:rPr>
      </w:pPr>
      <w:bookmarkStart w:id="603" w:name="xdx_23B_z27tU6vCE8u4"/>
      <w:bookmarkEnd w:id="603"/>
      <w:r>
        <w:rPr>
          <w:caps w:val="false"/>
          <w:smallCaps w:val="false"/>
        </w:rPr>
        <w:t> </w:t>
      </w:r>
    </w:p>
    <w:p>
      <w:pPr>
        <w:pStyle w:val="TextBody"/>
        <w:bidi w:val="0"/>
        <w:spacing w:before="0" w:after="0"/>
        <w:ind w:left="0" w:right="0" w:hanging="0"/>
        <w:jc w:val="both"/>
        <w:rPr>
          <w:caps w:val="false"/>
          <w:smallCaps w:val="false"/>
        </w:rPr>
      </w:pPr>
      <w:bookmarkStart w:id="604" w:name="xdx_233_zjna2Ra3Zp7e"/>
      <w:bookmarkEnd w:id="604"/>
      <w:r>
        <w:rPr>
          <w:caps w:val="false"/>
          <w:smallCaps w:val="false"/>
        </w:rPr>
        <w:t> </w:t>
      </w:r>
    </w:p>
    <w:p>
      <w:pPr>
        <w:pStyle w:val="TextBody"/>
        <w:bidi w:val="0"/>
        <w:spacing w:before="0" w:after="0"/>
        <w:ind w:left="0" w:right="0" w:hanging="0"/>
        <w:jc w:val="both"/>
        <w:rPr>
          <w:caps w:val="false"/>
          <w:smallCaps w:val="false"/>
        </w:rPr>
      </w:pPr>
      <w:bookmarkStart w:id="605" w:name="xdx_23C_z1GfRlsaHgs7"/>
      <w:bookmarkEnd w:id="605"/>
      <w:r>
        <w:rPr>
          <w:caps w:val="false"/>
          <w:smallCaps w:val="false"/>
        </w:rPr>
        <w:t> </w:t>
      </w:r>
    </w:p>
    <w:p>
      <w:pPr>
        <w:pStyle w:val="TextBody"/>
        <w:bidi w:val="0"/>
        <w:spacing w:before="0" w:after="0"/>
        <w:ind w:left="0" w:right="0" w:hanging="0"/>
        <w:jc w:val="both"/>
        <w:rPr>
          <w:caps w:val="false"/>
          <w:smallCaps w:val="false"/>
        </w:rPr>
      </w:pPr>
      <w:bookmarkStart w:id="606" w:name="xdx_233_zt9C7vNwroM8"/>
      <w:bookmarkEnd w:id="60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intangible assets were acquired on February 15, 2022 through the Company’s acquisition of Anivia. The weighted average remaining life for finite-lived intangible assets at March 31, 2026 was approximately </w:t>
      </w:r>
      <w:bookmarkStart w:id="607" w:name="xdx_906_eus-gaap--FiniteLivedIntangibleA"/>
      <w:bookmarkEnd w:id="607"/>
      <w:r>
        <w:rPr>
          <w:rFonts w:ascii="Times New Roman;Times;Serif" w:hAnsi="Times New Roman;Times;Serif"/>
          <w:b w:val="false"/>
          <w:i w:val="false"/>
          <w:caps w:val="false"/>
          <w:smallCaps w:val="false"/>
          <w:sz w:val="20"/>
        </w:rPr>
        <w:t>4.45 years. The amortization expense for the three and nine months ended March 31, 2026 was $</w:t>
      </w:r>
      <w:bookmarkStart w:id="608" w:name="xdx_90A_eus-gaap--AmortizationOfIntangib"/>
      <w:bookmarkEnd w:id="608"/>
      <w:r>
        <w:rPr>
          <w:rFonts w:ascii="Times New Roman;Times;Serif" w:hAnsi="Times New Roman;Times;Serif"/>
          <w:b w:val="false"/>
          <w:i w:val="false"/>
          <w:caps w:val="false"/>
          <w:smallCaps w:val="false"/>
          <w:sz w:val="20"/>
        </w:rPr>
        <w:t>162,343 and $</w:t>
      </w:r>
      <w:bookmarkStart w:id="609" w:name="xdx_90E_eus-gaap--AmortizationOfIntangib"/>
      <w:bookmarkEnd w:id="609"/>
      <w:r>
        <w:rPr>
          <w:rFonts w:ascii="Times New Roman;Times;Serif" w:hAnsi="Times New Roman;Times;Serif"/>
          <w:b w:val="false"/>
          <w:i w:val="false"/>
          <w:caps w:val="false"/>
          <w:smallCaps w:val="false"/>
          <w:sz w:val="20"/>
        </w:rPr>
        <w:t>487,029, respectively. The amortization expense for the three and nine months ended March 31, 2025 was $</w:t>
      </w:r>
      <w:bookmarkStart w:id="610" w:name="xdx_90C_eus-gaap--AmortizationOfIntangib"/>
      <w:bookmarkEnd w:id="610"/>
      <w:r>
        <w:rPr>
          <w:rFonts w:ascii="Times New Roman;Times;Serif" w:hAnsi="Times New Roman;Times;Serif"/>
          <w:b w:val="false"/>
          <w:i w:val="false"/>
          <w:caps w:val="false"/>
          <w:smallCaps w:val="false"/>
          <w:sz w:val="20"/>
        </w:rPr>
        <w:t>162,343 and $</w:t>
      </w:r>
      <w:bookmarkStart w:id="611" w:name="xdx_909_eus-gaap--AmortizationOfIntangib"/>
      <w:bookmarkEnd w:id="611"/>
      <w:r>
        <w:rPr>
          <w:rFonts w:ascii="Times New Roman;Times;Serif" w:hAnsi="Times New Roman;Times;Serif"/>
          <w:b w:val="false"/>
          <w:i w:val="false"/>
          <w:caps w:val="false"/>
          <w:smallCaps w:val="false"/>
          <w:sz w:val="20"/>
        </w:rPr>
        <w:t>487,028, respectively. At March 31, 2026, finite-lived intangible assets are expected to be amortized over their estimated useful lives, which ranges from a period of five to 10 years, and the estimated remaining amortization expense for each of the five succeeding years thereafter is as follows:</w:t>
      </w:r>
    </w:p>
    <w:p>
      <w:pPr>
        <w:pStyle w:val="Normal"/>
        <w:bidi w:val="0"/>
        <w:spacing w:before="0" w:after="0"/>
        <w:jc w:val="left"/>
        <w:rPr>
          <w:sz w:val="4"/>
          <w:szCs w:val="4"/>
        </w:rPr>
      </w:pPr>
      <w:r>
        <w:rPr>
          <w:sz w:val="4"/>
          <w:szCs w:val="4"/>
        </w:rPr>
      </w:r>
      <w:bookmarkStart w:id="612" w:name="xdx_898_eus-gaap--ScheduleofFiniteLivedI"/>
      <w:bookmarkStart w:id="613" w:name="xdx_898_eus-gaap--ScheduleofFiniteLivedI"/>
      <w:bookmarkEnd w:id="613"/>
    </w:p>
    <w:tbl>
      <w:tblPr>
        <w:tblW w:w="4470" w:type="dxa"/>
        <w:jc w:val="left"/>
        <w:tblInd w:w="0" w:type="dxa"/>
        <w:tblLayout w:type="fixed"/>
        <w:tblCellMar>
          <w:top w:w="0" w:type="dxa"/>
          <w:left w:w="0" w:type="dxa"/>
          <w:bottom w:w="0" w:type="dxa"/>
          <w:right w:w="0" w:type="dxa"/>
        </w:tblCellMar>
      </w:tblPr>
      <w:tblGrid>
        <w:gridCol w:w="3215"/>
        <w:gridCol w:w="60"/>
        <w:gridCol w:w="140"/>
        <w:gridCol w:w="980"/>
        <w:gridCol w:w="75"/>
      </w:tblGrid>
      <w:tr>
        <w:trPr/>
        <w:tc>
          <w:tcPr>
            <w:tcW w:w="3215" w:type="dxa"/>
            <w:tcBorders/>
            <w:vAlign w:val="center"/>
          </w:tcPr>
          <w:p>
            <w:pPr>
              <w:pStyle w:val="TableContents"/>
              <w:bidi w:val="0"/>
              <w:spacing w:before="0" w:after="283"/>
              <w:jc w:val="left"/>
              <w:rPr/>
            </w:pPr>
            <w:bookmarkStart w:id="614" w:name="xdx_8B5_zCQuw8DJDBnb"/>
            <w:bookmarkEnd w:id="614"/>
            <w:r>
              <w:rPr/>
              <w:t>Schedule of amortization expense</w:t>
            </w:r>
          </w:p>
        </w:tc>
        <w:tc>
          <w:tcPr>
            <w:tcW w:w="60" w:type="dxa"/>
            <w:tcBorders/>
            <w:vAlign w:val="center"/>
          </w:tcPr>
          <w:p>
            <w:pPr>
              <w:pStyle w:val="TableContents"/>
              <w:bidi w:val="0"/>
              <w:spacing w:before="0" w:after="283"/>
              <w:jc w:val="left"/>
              <w:rPr/>
            </w:pPr>
            <w:r>
              <w:rPr/>
              <w:t> </w:t>
            </w:r>
            <w:bookmarkStart w:id="615" w:name="xdx_491_20260331_zJ2q5nEsvAB7"/>
            <w:bookmarkEnd w:id="615"/>
          </w:p>
        </w:tc>
        <w:tc>
          <w:tcPr>
            <w:tcW w:w="1195" w:type="dxa"/>
            <w:gridSpan w:val="3"/>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left"/>
              <w:rPr>
                <w:b/>
              </w:rPr>
            </w:pPr>
            <w:r>
              <w:rPr>
                <w:b/>
              </w:rPr>
              <w:t>Year Ending June 30,</w:t>
            </w:r>
          </w:p>
        </w:tc>
        <w:tc>
          <w:tcPr>
            <w:tcW w:w="60" w:type="dxa"/>
            <w:tcBorders/>
            <w:vAlign w:val="center"/>
          </w:tcPr>
          <w:p>
            <w:pPr>
              <w:pStyle w:val="TableContents"/>
              <w:bidi w:val="0"/>
              <w:spacing w:before="0" w:after="283"/>
              <w:jc w:val="left"/>
              <w:rPr/>
            </w:pPr>
            <w:r>
              <w:rPr/>
              <w:t> </w:t>
            </w:r>
          </w:p>
        </w:tc>
        <w:tc>
          <w:tcPr>
            <w:tcW w:w="119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bookmarkStart w:id="616" w:name="xdx_407_eus-gaap--FiniteLivedIntangibleA"/>
            <w:bookmarkEnd w:id="616"/>
          </w:p>
        </w:tc>
      </w:tr>
      <w:tr>
        <w:trPr/>
        <w:tc>
          <w:tcPr>
            <w:tcW w:w="3215" w:type="dxa"/>
            <w:tcBorders/>
            <w:shd w:fill="EEEEEE" w:val="clear"/>
            <w:vAlign w:val="center"/>
          </w:tcPr>
          <w:p>
            <w:pPr>
              <w:pStyle w:val="TableContents"/>
              <w:bidi w:val="0"/>
              <w:spacing w:before="0" w:after="283"/>
              <w:jc w:val="left"/>
              <w:rPr/>
            </w:pPr>
            <w:r>
              <w:rPr/>
              <w:t>2026</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162,343</w:t>
            </w:r>
          </w:p>
        </w:tc>
        <w:tc>
          <w:tcPr>
            <w:tcW w:w="75" w:type="dxa"/>
            <w:tcBorders/>
            <w:shd w:fill="EEEEEE" w:val="clear"/>
            <w:vAlign w:val="center"/>
          </w:tcPr>
          <w:p>
            <w:pPr>
              <w:pStyle w:val="TableContents"/>
              <w:bidi w:val="0"/>
              <w:spacing w:before="0" w:after="283"/>
              <w:jc w:val="left"/>
              <w:rPr/>
            </w:pPr>
            <w:r>
              <w:rPr/>
              <w:t> </w:t>
            </w:r>
            <w:bookmarkStart w:id="617" w:name="xdx_406_eus-gaap--FiniteLivedIntangibleA"/>
            <w:bookmarkEnd w:id="617"/>
          </w:p>
        </w:tc>
      </w:tr>
      <w:tr>
        <w:trPr/>
        <w:tc>
          <w:tcPr>
            <w:tcW w:w="321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609,277</w:t>
            </w:r>
          </w:p>
        </w:tc>
        <w:tc>
          <w:tcPr>
            <w:tcW w:w="75" w:type="dxa"/>
            <w:tcBorders/>
            <w:shd w:fill="FFFFFF" w:val="clear"/>
            <w:vAlign w:val="center"/>
          </w:tcPr>
          <w:p>
            <w:pPr>
              <w:pStyle w:val="TableContents"/>
              <w:bidi w:val="0"/>
              <w:spacing w:before="0" w:after="283"/>
              <w:jc w:val="left"/>
              <w:rPr/>
            </w:pPr>
            <w:r>
              <w:rPr/>
              <w:t> </w:t>
            </w:r>
            <w:bookmarkStart w:id="618" w:name="xdx_409_eus-gaap--FiniteLivedIntangibleA"/>
            <w:bookmarkEnd w:id="618"/>
          </w:p>
        </w:tc>
      </w:tr>
      <w:tr>
        <w:trPr/>
        <w:tc>
          <w:tcPr>
            <w:tcW w:w="3215" w:type="dxa"/>
            <w:tcBorders/>
            <w:shd w:fill="EEEEEE" w:val="clear"/>
            <w:vAlign w:val="center"/>
          </w:tcPr>
          <w:p>
            <w:pPr>
              <w:pStyle w:val="TableContents"/>
              <w:bidi w:val="0"/>
              <w:spacing w:before="0" w:after="283"/>
              <w:jc w:val="left"/>
              <w:rPr/>
            </w:pPr>
            <w:r>
              <w:rPr/>
              <w:t>2028</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468,750</w:t>
            </w:r>
          </w:p>
        </w:tc>
        <w:tc>
          <w:tcPr>
            <w:tcW w:w="75" w:type="dxa"/>
            <w:tcBorders/>
            <w:shd w:fill="EEEEEE" w:val="clear"/>
            <w:vAlign w:val="center"/>
          </w:tcPr>
          <w:p>
            <w:pPr>
              <w:pStyle w:val="TableContents"/>
              <w:bidi w:val="0"/>
              <w:spacing w:before="0" w:after="283"/>
              <w:jc w:val="left"/>
              <w:rPr/>
            </w:pPr>
            <w:r>
              <w:rPr/>
              <w:t> </w:t>
            </w:r>
            <w:bookmarkStart w:id="619" w:name="xdx_402_eus-gaap--FiniteLivedIntangibleA"/>
            <w:bookmarkEnd w:id="619"/>
          </w:p>
        </w:tc>
      </w:tr>
      <w:tr>
        <w:trPr/>
        <w:tc>
          <w:tcPr>
            <w:tcW w:w="321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345,912</w:t>
            </w:r>
          </w:p>
        </w:tc>
        <w:tc>
          <w:tcPr>
            <w:tcW w:w="75" w:type="dxa"/>
            <w:tcBorders/>
            <w:shd w:fill="FFFFFF" w:val="clear"/>
            <w:vAlign w:val="center"/>
          </w:tcPr>
          <w:p>
            <w:pPr>
              <w:pStyle w:val="TableContents"/>
              <w:bidi w:val="0"/>
              <w:spacing w:before="0" w:after="283"/>
              <w:jc w:val="left"/>
              <w:rPr/>
            </w:pPr>
            <w:r>
              <w:rPr/>
              <w:t> </w:t>
            </w:r>
            <w:bookmarkStart w:id="620" w:name="xdx_400_eus-gaap--FiniteLivedIntangibleA"/>
            <w:bookmarkEnd w:id="620"/>
          </w:p>
        </w:tc>
      </w:tr>
      <w:tr>
        <w:trPr/>
        <w:tc>
          <w:tcPr>
            <w:tcW w:w="3215" w:type="dxa"/>
            <w:tcBorders/>
            <w:shd w:fill="EEEEEE" w:val="clear"/>
            <w:vAlign w:val="center"/>
          </w:tcPr>
          <w:p>
            <w:pPr>
              <w:pStyle w:val="TableContents"/>
              <w:bidi w:val="0"/>
              <w:spacing w:before="0" w:after="283"/>
              <w:jc w:val="left"/>
              <w:rPr/>
            </w:pPr>
            <w:r>
              <w:rPr/>
              <w:t>2030</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345,912</w:t>
            </w:r>
          </w:p>
        </w:tc>
        <w:tc>
          <w:tcPr>
            <w:tcW w:w="75" w:type="dxa"/>
            <w:tcBorders/>
            <w:shd w:fill="EEEEEE" w:val="clear"/>
            <w:vAlign w:val="center"/>
          </w:tcPr>
          <w:p>
            <w:pPr>
              <w:pStyle w:val="TableContents"/>
              <w:bidi w:val="0"/>
              <w:spacing w:before="0" w:after="283"/>
              <w:jc w:val="left"/>
              <w:rPr/>
            </w:pPr>
            <w:r>
              <w:rPr/>
              <w:t> </w:t>
            </w:r>
            <w:bookmarkStart w:id="621" w:name="xdx_40A_eus-gaap--FiniteLivedIntangibleA"/>
            <w:bookmarkEnd w:id="621"/>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562,106</w:t>
            </w:r>
          </w:p>
        </w:tc>
        <w:tc>
          <w:tcPr>
            <w:tcW w:w="75" w:type="dxa"/>
            <w:tcBorders/>
            <w:shd w:fill="FFFFFF" w:val="clear"/>
            <w:vAlign w:val="center"/>
          </w:tcPr>
          <w:p>
            <w:pPr>
              <w:pStyle w:val="TableContents"/>
              <w:bidi w:val="0"/>
              <w:spacing w:before="0" w:after="283"/>
              <w:jc w:val="left"/>
              <w:rPr/>
            </w:pPr>
            <w:r>
              <w:rPr/>
              <w:t> </w:t>
            </w:r>
            <w:bookmarkStart w:id="622" w:name="xdx_409_eus-gaap--FiniteLivedIntangibleA"/>
            <w:bookmarkEnd w:id="622"/>
          </w:p>
        </w:tc>
      </w:tr>
      <w:tr>
        <w:trPr/>
        <w:tc>
          <w:tcPr>
            <w:tcW w:w="321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2,494,300</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3" w:name="xdx_8A0_z9iZ4qV3eCM9"/>
      <w:bookmarkEnd w:id="62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24" w:name="xdx_804_eus-gaap--AccountsPayableAndAccr"/>
      <w:bookmarkEnd w:id="624"/>
      <w:r>
        <w:rPr>
          <w:rFonts w:ascii="Times New Roman;Times;Serif" w:hAnsi="Times New Roman;Times;Serif"/>
          <w:b/>
          <w:i w:val="false"/>
          <w:caps w:val="false"/>
          <w:smallCaps w:val="false"/>
          <w:sz w:val="20"/>
        </w:rPr>
        <w:t xml:space="preserve">Note 11 – </w:t>
      </w:r>
      <w:bookmarkStart w:id="625" w:name="xdx_824_zS3Jn5pc9yqj"/>
      <w:bookmarkEnd w:id="625"/>
      <w:r>
        <w:rPr>
          <w:rFonts w:ascii="Times New Roman;Times;Serif" w:hAnsi="Times New Roman;Times;Serif"/>
          <w:b/>
          <w:i w:val="false"/>
          <w:caps w:val="false"/>
          <w:smallCaps w:val="false"/>
          <w:sz w:val="20"/>
        </w:rPr>
        <w:t>Other Payables and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June 30, 2025, other payables and accrued liabilities consisted of the following: </w:t>
      </w:r>
    </w:p>
    <w:p>
      <w:pPr>
        <w:pStyle w:val="Normal"/>
        <w:bidi w:val="0"/>
        <w:spacing w:before="0" w:after="0"/>
        <w:jc w:val="left"/>
        <w:rPr>
          <w:sz w:val="4"/>
          <w:szCs w:val="4"/>
        </w:rPr>
      </w:pPr>
      <w:r>
        <w:rPr>
          <w:sz w:val="4"/>
          <w:szCs w:val="4"/>
        </w:rPr>
      </w:r>
      <w:bookmarkStart w:id="626" w:name="xdx_885_eus-gaap--ScheduleOfAccountsPaya"/>
      <w:bookmarkStart w:id="627" w:name="xdx_885_eus-gaap--ScheduleOfAccountsPaya"/>
      <w:bookmarkEnd w:id="627"/>
    </w:p>
    <w:tbl>
      <w:tblPr>
        <w:tblW w:w="7842" w:type="dxa"/>
        <w:jc w:val="left"/>
        <w:tblInd w:w="0" w:type="dxa"/>
        <w:tblLayout w:type="fixed"/>
        <w:tblCellMar>
          <w:top w:w="0" w:type="dxa"/>
          <w:left w:w="0" w:type="dxa"/>
          <w:bottom w:w="0" w:type="dxa"/>
          <w:right w:w="0" w:type="dxa"/>
        </w:tblCellMar>
      </w:tblPr>
      <w:tblGrid>
        <w:gridCol w:w="4685"/>
        <w:gridCol w:w="60"/>
        <w:gridCol w:w="191"/>
        <w:gridCol w:w="1337"/>
        <w:gridCol w:w="81"/>
        <w:gridCol w:w="60"/>
        <w:gridCol w:w="167"/>
        <w:gridCol w:w="1172"/>
        <w:gridCol w:w="89"/>
      </w:tblGrid>
      <w:tr>
        <w:trPr/>
        <w:tc>
          <w:tcPr>
            <w:tcW w:w="4685" w:type="dxa"/>
            <w:tcBorders/>
            <w:vAlign w:val="center"/>
          </w:tcPr>
          <w:p>
            <w:pPr>
              <w:pStyle w:val="TableContents"/>
              <w:bidi w:val="0"/>
              <w:spacing w:before="0" w:after="283"/>
              <w:jc w:val="left"/>
              <w:rPr/>
            </w:pPr>
            <w:bookmarkStart w:id="628" w:name="xdx_8B7_zvD0tbZVv1dg"/>
            <w:bookmarkEnd w:id="628"/>
            <w:r>
              <w:rPr/>
              <w:t>Schedule of other payables and accrued liabilities</w:t>
            </w:r>
          </w:p>
        </w:tc>
        <w:tc>
          <w:tcPr>
            <w:tcW w:w="60" w:type="dxa"/>
            <w:tcBorders/>
            <w:vAlign w:val="center"/>
          </w:tcPr>
          <w:p>
            <w:pPr>
              <w:pStyle w:val="TableContents"/>
              <w:bidi w:val="0"/>
              <w:spacing w:before="0" w:after="283"/>
              <w:jc w:val="left"/>
              <w:rPr/>
            </w:pPr>
            <w:r>
              <w:rPr/>
              <w:t> </w:t>
            </w:r>
            <w:bookmarkStart w:id="629" w:name="xdx_496_20260331_zgnBHjiushM3"/>
            <w:bookmarkEnd w:id="629"/>
          </w:p>
        </w:tc>
        <w:tc>
          <w:tcPr>
            <w:tcW w:w="1609"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30" w:name="xdx_495_20250630_zgYwqMA1Sqy"/>
            <w:bookmarkEnd w:id="630"/>
          </w:p>
        </w:tc>
        <w:tc>
          <w:tcPr>
            <w:tcW w:w="1428" w:type="dxa"/>
            <w:gridSpan w:val="3"/>
            <w:tcBorders/>
            <w:vAlign w:val="center"/>
          </w:tcPr>
          <w:p>
            <w:pPr>
              <w:pStyle w:val="TableContents"/>
              <w:bidi w:val="0"/>
              <w:spacing w:before="0" w:after="283"/>
              <w:jc w:val="center"/>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142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2025</w:t>
            </w:r>
            <w:bookmarkStart w:id="631" w:name="xdx_401_eus-gaap--OtherInventoryInTransi"/>
            <w:bookmarkEnd w:id="631"/>
          </w:p>
        </w:tc>
      </w:tr>
      <w:tr>
        <w:trPr/>
        <w:tc>
          <w:tcPr>
            <w:tcW w:w="4685" w:type="dxa"/>
            <w:tcBorders/>
            <w:shd w:fill="EEEEEE" w:val="clear"/>
            <w:vAlign w:val="center"/>
          </w:tcPr>
          <w:p>
            <w:pPr>
              <w:pStyle w:val="TableContents"/>
              <w:bidi w:val="0"/>
              <w:spacing w:before="0" w:after="283"/>
              <w:jc w:val="left"/>
              <w:rPr/>
            </w:pPr>
            <w:r>
              <w:rPr/>
              <w:t>Accrued payables for inventory in transit</w:t>
            </w:r>
          </w:p>
        </w:tc>
        <w:tc>
          <w:tcPr>
            <w:tcW w:w="60"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w:t>
            </w:r>
          </w:p>
        </w:tc>
        <w:tc>
          <w:tcPr>
            <w:tcW w:w="1337" w:type="dxa"/>
            <w:tcBorders/>
            <w:shd w:fill="EEEEEE" w:val="clear"/>
            <w:vAlign w:val="center"/>
          </w:tcPr>
          <w:p>
            <w:pPr>
              <w:pStyle w:val="TableContents"/>
              <w:bidi w:val="0"/>
              <w:spacing w:before="0" w:after="283"/>
              <w:jc w:val="right"/>
              <w:rPr/>
            </w:pPr>
            <w:r>
              <w:rPr/>
              <w:t>–</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7" w:type="dxa"/>
            <w:tcBorders/>
            <w:shd w:fill="EEEEEE" w:val="clear"/>
            <w:vAlign w:val="center"/>
          </w:tcPr>
          <w:p>
            <w:pPr>
              <w:pStyle w:val="TableContents"/>
              <w:bidi w:val="0"/>
              <w:spacing w:before="0" w:after="283"/>
              <w:jc w:val="left"/>
              <w:rPr/>
            </w:pPr>
            <w:r>
              <w:rPr/>
              <w:t>$</w:t>
            </w:r>
          </w:p>
        </w:tc>
        <w:tc>
          <w:tcPr>
            <w:tcW w:w="1172" w:type="dxa"/>
            <w:tcBorders/>
            <w:shd w:fill="EEEEEE" w:val="clear"/>
            <w:vAlign w:val="center"/>
          </w:tcPr>
          <w:p>
            <w:pPr>
              <w:pStyle w:val="TableContents"/>
              <w:bidi w:val="0"/>
              <w:spacing w:before="0" w:after="283"/>
              <w:jc w:val="right"/>
              <w:rPr/>
            </w:pPr>
            <w:r>
              <w:rPr/>
              <w:t>262,570</w:t>
            </w:r>
          </w:p>
        </w:tc>
        <w:tc>
          <w:tcPr>
            <w:tcW w:w="89" w:type="dxa"/>
            <w:tcBorders/>
            <w:shd w:fill="EEEEEE" w:val="clear"/>
            <w:vAlign w:val="center"/>
          </w:tcPr>
          <w:p>
            <w:pPr>
              <w:pStyle w:val="TableContents"/>
              <w:bidi w:val="0"/>
              <w:spacing w:before="0" w:after="283"/>
              <w:jc w:val="left"/>
              <w:rPr/>
            </w:pPr>
            <w:r>
              <w:rPr/>
              <w:t> </w:t>
            </w:r>
            <w:bookmarkStart w:id="632" w:name="xdx_405_ecustom--CreditCardsPayable_iI_z"/>
            <w:bookmarkEnd w:id="632"/>
          </w:p>
        </w:tc>
      </w:tr>
      <w:tr>
        <w:trPr/>
        <w:tc>
          <w:tcPr>
            <w:tcW w:w="4685" w:type="dxa"/>
            <w:tcBorders/>
            <w:shd w:fill="FFFFFF" w:val="clear"/>
            <w:vAlign w:val="center"/>
          </w:tcPr>
          <w:p>
            <w:pPr>
              <w:pStyle w:val="TableContents"/>
              <w:bidi w:val="0"/>
              <w:spacing w:before="0" w:after="283"/>
              <w:jc w:val="left"/>
              <w:rPr/>
            </w:pPr>
            <w:r>
              <w:rPr/>
              <w:t>Credit cards payable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218,171</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143,518</w:t>
            </w:r>
          </w:p>
        </w:tc>
        <w:tc>
          <w:tcPr>
            <w:tcW w:w="89" w:type="dxa"/>
            <w:tcBorders/>
            <w:shd w:fill="FFFFFF" w:val="clear"/>
            <w:vAlign w:val="center"/>
          </w:tcPr>
          <w:p>
            <w:pPr>
              <w:pStyle w:val="TableContents"/>
              <w:bidi w:val="0"/>
              <w:spacing w:before="0" w:after="283"/>
              <w:jc w:val="left"/>
              <w:rPr/>
            </w:pPr>
            <w:r>
              <w:rPr/>
              <w:t> </w:t>
            </w:r>
            <w:bookmarkStart w:id="633" w:name="xdx_40A_eus-gaap--CustomerDepositsCurren"/>
            <w:bookmarkEnd w:id="633"/>
          </w:p>
        </w:tc>
      </w:tr>
      <w:tr>
        <w:trPr/>
        <w:tc>
          <w:tcPr>
            <w:tcW w:w="4685" w:type="dxa"/>
            <w:tcBorders/>
            <w:shd w:fill="EEEEEE" w:val="clear"/>
            <w:vAlign w:val="center"/>
          </w:tcPr>
          <w:p>
            <w:pPr>
              <w:pStyle w:val="TableContents"/>
              <w:bidi w:val="0"/>
              <w:spacing w:before="0" w:after="283"/>
              <w:jc w:val="left"/>
              <w:rPr/>
            </w:pPr>
            <w:r>
              <w:rPr/>
              <w:t>Customer deposits</w:t>
            </w:r>
          </w:p>
        </w:tc>
        <w:tc>
          <w:tcPr>
            <w:tcW w:w="60"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 </w:t>
            </w:r>
          </w:p>
        </w:tc>
        <w:tc>
          <w:tcPr>
            <w:tcW w:w="1337" w:type="dxa"/>
            <w:tcBorders/>
            <w:shd w:fill="EEEEEE" w:val="clear"/>
            <w:vAlign w:val="center"/>
          </w:tcPr>
          <w:p>
            <w:pPr>
              <w:pStyle w:val="TableContents"/>
              <w:bidi w:val="0"/>
              <w:spacing w:before="0" w:after="283"/>
              <w:jc w:val="right"/>
              <w:rPr/>
            </w:pPr>
            <w:r>
              <w:rPr/>
              <w:t>1,161,635</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7" w:type="dxa"/>
            <w:tcBorders/>
            <w:shd w:fill="EEEEEE" w:val="clear"/>
            <w:vAlign w:val="center"/>
          </w:tcPr>
          <w:p>
            <w:pPr>
              <w:pStyle w:val="TableContents"/>
              <w:bidi w:val="0"/>
              <w:spacing w:before="0" w:after="283"/>
              <w:jc w:val="left"/>
              <w:rPr/>
            </w:pPr>
            <w:r>
              <w:rPr/>
              <w:t> </w:t>
            </w:r>
          </w:p>
        </w:tc>
        <w:tc>
          <w:tcPr>
            <w:tcW w:w="1172" w:type="dxa"/>
            <w:tcBorders/>
            <w:shd w:fill="EEEEEE" w:val="clear"/>
            <w:vAlign w:val="center"/>
          </w:tcPr>
          <w:p>
            <w:pPr>
              <w:pStyle w:val="TableContents"/>
              <w:bidi w:val="0"/>
              <w:spacing w:before="0" w:after="283"/>
              <w:jc w:val="right"/>
              <w:rPr/>
            </w:pPr>
            <w:r>
              <w:rPr/>
              <w:t>291,995</w:t>
            </w:r>
          </w:p>
        </w:tc>
        <w:tc>
          <w:tcPr>
            <w:tcW w:w="89" w:type="dxa"/>
            <w:tcBorders/>
            <w:shd w:fill="EEEEEE" w:val="clear"/>
            <w:vAlign w:val="center"/>
          </w:tcPr>
          <w:p>
            <w:pPr>
              <w:pStyle w:val="TableContents"/>
              <w:bidi w:val="0"/>
              <w:spacing w:before="0" w:after="283"/>
              <w:jc w:val="left"/>
              <w:rPr/>
            </w:pPr>
            <w:r>
              <w:rPr/>
              <w:t> </w:t>
            </w:r>
            <w:bookmarkStart w:id="634" w:name="xdx_406_eus-gaap--AccruedProfessionalFee"/>
            <w:bookmarkEnd w:id="634"/>
          </w:p>
        </w:tc>
      </w:tr>
      <w:tr>
        <w:trPr/>
        <w:tc>
          <w:tcPr>
            <w:tcW w:w="4685" w:type="dxa"/>
            <w:tcBorders/>
            <w:shd w:fill="FFFFFF" w:val="clear"/>
            <w:vAlign w:val="center"/>
          </w:tcPr>
          <w:p>
            <w:pPr>
              <w:pStyle w:val="TableContents"/>
              <w:bidi w:val="0"/>
              <w:spacing w:before="0" w:after="283"/>
              <w:jc w:val="left"/>
              <w:rPr/>
            </w:pPr>
            <w:r>
              <w:rPr/>
              <w:t>Accrued Amazon fees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77,191</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76,534</w:t>
            </w:r>
          </w:p>
        </w:tc>
        <w:tc>
          <w:tcPr>
            <w:tcW w:w="89" w:type="dxa"/>
            <w:tcBorders/>
            <w:shd w:fill="FFFFFF" w:val="clear"/>
            <w:vAlign w:val="center"/>
          </w:tcPr>
          <w:p>
            <w:pPr>
              <w:pStyle w:val="TableContents"/>
              <w:bidi w:val="0"/>
              <w:spacing w:before="0" w:after="283"/>
              <w:jc w:val="left"/>
              <w:rPr/>
            </w:pPr>
            <w:r>
              <w:rPr/>
              <w:t> </w:t>
            </w:r>
            <w:bookmarkStart w:id="635" w:name="xdx_404_eus-gaap--SalesAndExciseTaxPayab"/>
            <w:bookmarkEnd w:id="635"/>
          </w:p>
        </w:tc>
      </w:tr>
      <w:tr>
        <w:trPr/>
        <w:tc>
          <w:tcPr>
            <w:tcW w:w="4685" w:type="dxa"/>
            <w:tcBorders/>
            <w:shd w:fill="EEEEEE" w:val="clear"/>
            <w:vAlign w:val="center"/>
          </w:tcPr>
          <w:p>
            <w:pPr>
              <w:pStyle w:val="TableContents"/>
              <w:bidi w:val="0"/>
              <w:spacing w:before="0" w:after="283"/>
              <w:jc w:val="left"/>
              <w:rPr/>
            </w:pPr>
            <w:r>
              <w:rPr/>
              <w:t>Sales taxes payable</w:t>
            </w:r>
          </w:p>
        </w:tc>
        <w:tc>
          <w:tcPr>
            <w:tcW w:w="60"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 </w:t>
            </w:r>
          </w:p>
        </w:tc>
        <w:tc>
          <w:tcPr>
            <w:tcW w:w="1337" w:type="dxa"/>
            <w:tcBorders/>
            <w:shd w:fill="EEEEEE" w:val="clear"/>
            <w:vAlign w:val="center"/>
          </w:tcPr>
          <w:p>
            <w:pPr>
              <w:pStyle w:val="TableContents"/>
              <w:bidi w:val="0"/>
              <w:spacing w:before="0" w:after="283"/>
              <w:jc w:val="right"/>
              <w:rPr/>
            </w:pPr>
            <w:r>
              <w:rPr/>
              <w:t>615,406</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7" w:type="dxa"/>
            <w:tcBorders/>
            <w:shd w:fill="EEEEEE" w:val="clear"/>
            <w:vAlign w:val="center"/>
          </w:tcPr>
          <w:p>
            <w:pPr>
              <w:pStyle w:val="TableContents"/>
              <w:bidi w:val="0"/>
              <w:spacing w:before="0" w:after="283"/>
              <w:jc w:val="left"/>
              <w:rPr/>
            </w:pPr>
            <w:r>
              <w:rPr/>
              <w:t> </w:t>
            </w:r>
          </w:p>
        </w:tc>
        <w:tc>
          <w:tcPr>
            <w:tcW w:w="1172" w:type="dxa"/>
            <w:tcBorders/>
            <w:shd w:fill="EEEEEE" w:val="clear"/>
            <w:vAlign w:val="center"/>
          </w:tcPr>
          <w:p>
            <w:pPr>
              <w:pStyle w:val="TableContents"/>
              <w:bidi w:val="0"/>
              <w:spacing w:before="0" w:after="283"/>
              <w:jc w:val="right"/>
              <w:rPr/>
            </w:pPr>
            <w:r>
              <w:rPr/>
              <w:t>433,604</w:t>
            </w:r>
          </w:p>
        </w:tc>
        <w:tc>
          <w:tcPr>
            <w:tcW w:w="89" w:type="dxa"/>
            <w:tcBorders/>
            <w:shd w:fill="EEEEEE" w:val="clear"/>
            <w:vAlign w:val="center"/>
          </w:tcPr>
          <w:p>
            <w:pPr>
              <w:pStyle w:val="TableContents"/>
              <w:bidi w:val="0"/>
              <w:spacing w:before="0" w:after="283"/>
              <w:jc w:val="left"/>
              <w:rPr/>
            </w:pPr>
            <w:r>
              <w:rPr/>
              <w:t> </w:t>
            </w:r>
            <w:bookmarkStart w:id="636" w:name="xdx_40A_eus-gaap--AccruedPayrollTaxesCur"/>
            <w:bookmarkEnd w:id="636"/>
          </w:p>
        </w:tc>
      </w:tr>
      <w:tr>
        <w:trPr/>
        <w:tc>
          <w:tcPr>
            <w:tcW w:w="4685" w:type="dxa"/>
            <w:tcBorders/>
            <w:shd w:fill="FFFFFF" w:val="clear"/>
            <w:vAlign w:val="center"/>
          </w:tcPr>
          <w:p>
            <w:pPr>
              <w:pStyle w:val="TableContents"/>
              <w:bidi w:val="0"/>
              <w:spacing w:before="0" w:after="283"/>
              <w:jc w:val="left"/>
              <w:rPr/>
            </w:pPr>
            <w:r>
              <w:rPr/>
              <w:t>Accrued payroll and related expenses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10,417</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560,387</w:t>
            </w:r>
          </w:p>
        </w:tc>
        <w:tc>
          <w:tcPr>
            <w:tcW w:w="89" w:type="dxa"/>
            <w:tcBorders/>
            <w:shd w:fill="FFFFFF" w:val="clear"/>
            <w:vAlign w:val="center"/>
          </w:tcPr>
          <w:p>
            <w:pPr>
              <w:pStyle w:val="TableContents"/>
              <w:bidi w:val="0"/>
              <w:spacing w:before="0" w:after="283"/>
              <w:jc w:val="left"/>
              <w:rPr/>
            </w:pPr>
            <w:r>
              <w:rPr/>
              <w:t> </w:t>
            </w:r>
            <w:bookmarkStart w:id="637" w:name="xdx_40B_eus-gaap--AccruedLiabilitiesAndO"/>
            <w:bookmarkEnd w:id="637"/>
          </w:p>
        </w:tc>
      </w:tr>
      <w:tr>
        <w:trPr/>
        <w:tc>
          <w:tcPr>
            <w:tcW w:w="4685" w:type="dxa"/>
            <w:tcBorders/>
            <w:shd w:fill="EEEEEE" w:val="clear"/>
            <w:vAlign w:val="center"/>
          </w:tcPr>
          <w:p>
            <w:pPr>
              <w:pStyle w:val="TableContents"/>
              <w:bidi w:val="0"/>
              <w:spacing w:before="0" w:after="283"/>
              <w:jc w:val="left"/>
              <w:rPr/>
            </w:pPr>
            <w:r>
              <w:rPr/>
              <w:t>Other accrued liabilities and payables</w:t>
            </w:r>
          </w:p>
        </w:tc>
        <w:tc>
          <w:tcPr>
            <w:tcW w:w="60" w:type="dxa"/>
            <w:tcBorders/>
            <w:shd w:fill="EEEEEE" w:val="clear"/>
            <w:vAlign w:val="center"/>
          </w:tcPr>
          <w:p>
            <w:pPr>
              <w:pStyle w:val="TableContents"/>
              <w:bidi w:val="0"/>
              <w:spacing w:before="0" w:after="283"/>
              <w:jc w:val="left"/>
              <w:rPr/>
            </w:pPr>
            <w:r>
              <w:rPr/>
              <w:t> </w:t>
            </w:r>
          </w:p>
        </w:tc>
        <w:tc>
          <w:tcPr>
            <w:tcW w:w="19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shd w:fill="EEEEEE" w:val="clear"/>
            <w:tcMar>
              <w:bottom w:w="28" w:type="dxa"/>
            </w:tcMar>
            <w:vAlign w:val="center"/>
          </w:tcPr>
          <w:p>
            <w:pPr>
              <w:pStyle w:val="TableContents"/>
              <w:bidi w:val="0"/>
              <w:spacing w:before="0" w:after="283"/>
              <w:jc w:val="right"/>
              <w:rPr/>
            </w:pPr>
            <w:r>
              <w:rPr/>
              <w:t>53,870</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EEEEEE" w:val="clear"/>
            <w:tcMar>
              <w:bottom w:w="28" w:type="dxa"/>
            </w:tcMar>
            <w:vAlign w:val="center"/>
          </w:tcPr>
          <w:p>
            <w:pPr>
              <w:pStyle w:val="TableContents"/>
              <w:bidi w:val="0"/>
              <w:spacing w:before="0" w:after="283"/>
              <w:jc w:val="right"/>
              <w:rPr/>
            </w:pPr>
            <w:r>
              <w:rPr/>
              <w:t>813</w:t>
            </w:r>
          </w:p>
        </w:tc>
        <w:tc>
          <w:tcPr>
            <w:tcW w:w="89"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bookmarkStart w:id="638" w:name="xdx_40C_eus-gaap--OtherAccountsPayableAn"/>
            <w:bookmarkEnd w:id="638"/>
          </w:p>
        </w:tc>
      </w:tr>
      <w:tr>
        <w:trPr/>
        <w:tc>
          <w:tcPr>
            <w:tcW w:w="4685"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19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EEEEEE" w:val="clear"/>
            <w:tcMar>
              <w:bottom w:w="28" w:type="dxa"/>
            </w:tcMar>
            <w:vAlign w:val="center"/>
          </w:tcPr>
          <w:p>
            <w:pPr>
              <w:pStyle w:val="TableContents"/>
              <w:bidi w:val="0"/>
              <w:spacing w:before="0" w:after="283"/>
              <w:jc w:val="right"/>
              <w:rPr/>
            </w:pPr>
            <w:r>
              <w:rPr/>
              <w:t>2,136,690</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2" w:type="dxa"/>
            <w:tcBorders>
              <w:bottom w:val="double" w:sz="6" w:space="0" w:color="000000"/>
            </w:tcBorders>
            <w:shd w:fill="EEEEEE" w:val="clear"/>
            <w:tcMar>
              <w:bottom w:w="28" w:type="dxa"/>
            </w:tcMar>
            <w:vAlign w:val="center"/>
          </w:tcPr>
          <w:p>
            <w:pPr>
              <w:pStyle w:val="TableContents"/>
              <w:bidi w:val="0"/>
              <w:spacing w:before="0" w:after="283"/>
              <w:jc w:val="right"/>
              <w:rPr/>
            </w:pPr>
            <w:r>
              <w:rPr/>
              <w:t>1,769,421</w:t>
            </w:r>
          </w:p>
        </w:tc>
        <w:tc>
          <w:tcPr>
            <w:tcW w:w="89"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39" w:name="xdx_806_eus-gaap--DebtDisclosureTextBloc"/>
      <w:bookmarkEnd w:id="639"/>
      <w:r>
        <w:rPr>
          <w:rFonts w:ascii="Times New Roman;Times;Serif" w:hAnsi="Times New Roman;Times;Serif"/>
          <w:b/>
          <w:i w:val="false"/>
          <w:caps w:val="false"/>
          <w:smallCaps w:val="false"/>
          <w:sz w:val="20"/>
        </w:rPr>
        <w:t xml:space="preserve">Note 12 – </w:t>
      </w:r>
      <w:bookmarkStart w:id="640" w:name="xdx_82D_zXW5VTLhwwt6"/>
      <w:bookmarkEnd w:id="640"/>
      <w:r>
        <w:rPr>
          <w:rFonts w:ascii="Times New Roman;Times;Serif" w:hAnsi="Times New Roman;Times;Serif"/>
          <w:b/>
          <w:i w:val="false"/>
          <w:caps w:val="false"/>
          <w:smallCaps w:val="false"/>
          <w:sz w:val="20"/>
        </w:rPr>
        <w:t>Loans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securities purchase agreement (the “SPA”) with an accredited investor (the “Investor”) providing for a convertible note facility in the aggregate original principal amount of up to $</w:t>
      </w:r>
      <w:bookmarkStart w:id="641" w:name="xdx_909_eus-gaap--LineOfCreditFacilityMa"/>
      <w:bookmarkEnd w:id="641"/>
      <w:r>
        <w:rPr>
          <w:rFonts w:ascii="Times New Roman;Times;Serif" w:hAnsi="Times New Roman;Times;Serif"/>
          <w:b w:val="false"/>
          <w:i w:val="false"/>
          <w:caps w:val="false"/>
          <w:smallCaps w:val="false"/>
          <w:sz w:val="20"/>
        </w:rPr>
        <w:t>30,000,000 (the “Convertible Note Facility”). At the initial closing on December 23, 2025, the Investor purchased (i) a Series A Senior Secured Convertible Promissory Note in the original principal amount of $</w:t>
      </w:r>
      <w:bookmarkStart w:id="642" w:name="xdx_903_eus-gaap--ConvertibleNotesPayabl"/>
      <w:bookmarkEnd w:id="642"/>
      <w:r>
        <w:rPr>
          <w:rFonts w:ascii="Times New Roman;Times;Serif" w:hAnsi="Times New Roman;Times;Serif"/>
          <w:b w:val="false"/>
          <w:i w:val="false"/>
          <w:caps w:val="false"/>
          <w:smallCaps w:val="false"/>
          <w:sz w:val="20"/>
        </w:rPr>
        <w:t>5,184,024 (the “Series A Note”), issued in a private placement under Rule 506(b) of Regulation D, and (ii) a Series B Senior Secured Convertible Promissory Note in the original principal amount of $</w:t>
      </w:r>
      <w:bookmarkStart w:id="643" w:name="xdx_904_eus-gaap--ConvertibleNotesPayabl"/>
      <w:bookmarkEnd w:id="643"/>
      <w:r>
        <w:rPr>
          <w:rFonts w:ascii="Times New Roman;Times;Serif" w:hAnsi="Times New Roman;Times;Serif"/>
          <w:b w:val="false"/>
          <w:i w:val="false"/>
          <w:caps w:val="false"/>
          <w:smallCaps w:val="false"/>
          <w:sz w:val="20"/>
        </w:rPr>
        <w:t>1,815,976 (the “Series B Note,” together with the Series A Note, the “Convertible Notes”), issued in a registered direct offering pursuant to the Company’s effective shelf registration statement on Form S-3.</w:t>
      </w:r>
    </w:p>
    <w:p>
      <w:pPr>
        <w:pStyle w:val="TextBody"/>
        <w:bidi w:val="0"/>
        <w:spacing w:before="0" w:after="0"/>
        <w:ind w:left="0" w:right="0" w:hanging="0"/>
        <w:jc w:val="both"/>
        <w:rPr>
          <w:caps w:val="false"/>
          <w:smallCaps w:val="false"/>
        </w:rPr>
      </w:pPr>
      <w:bookmarkStart w:id="644" w:name="xdx_23F_zVQGW1Gfpove"/>
      <w:bookmarkEnd w:id="644"/>
      <w:r>
        <w:rPr>
          <w:caps w:val="false"/>
          <w:smallCaps w:val="false"/>
        </w:rPr>
        <w:t>  </w:t>
      </w:r>
    </w:p>
    <w:p>
      <w:pPr>
        <w:pStyle w:val="TextBody"/>
        <w:bidi w:val="0"/>
        <w:spacing w:before="0" w:after="0"/>
        <w:ind w:left="0" w:right="0" w:hanging="0"/>
        <w:jc w:val="both"/>
        <w:rPr>
          <w:caps w:val="false"/>
          <w:smallCaps w:val="false"/>
        </w:rPr>
      </w:pPr>
      <w:bookmarkStart w:id="645" w:name="xdx_235_zrdcWhaOZPP5"/>
      <w:bookmarkEnd w:id="645"/>
      <w:r>
        <w:rPr>
          <w:caps w:val="false"/>
          <w:smallCaps w:val="false"/>
        </w:rPr>
        <w:t> </w:t>
      </w:r>
    </w:p>
    <w:p>
      <w:pPr>
        <w:pStyle w:val="TextBody"/>
        <w:bidi w:val="0"/>
        <w:spacing w:before="0" w:after="0"/>
        <w:ind w:left="0" w:right="0" w:hanging="0"/>
        <w:jc w:val="both"/>
        <w:rPr>
          <w:caps w:val="false"/>
          <w:smallCaps w:val="false"/>
        </w:rPr>
      </w:pPr>
      <w:bookmarkStart w:id="646" w:name="xdx_23C_zuHsYt7Y6qxh"/>
      <w:bookmarkEnd w:id="646"/>
      <w:r>
        <w:rPr>
          <w:caps w:val="false"/>
          <w:smallCaps w:val="false"/>
        </w:rPr>
        <w:t> </w:t>
      </w:r>
    </w:p>
    <w:p>
      <w:pPr>
        <w:pStyle w:val="TextBody"/>
        <w:bidi w:val="0"/>
        <w:spacing w:before="0" w:after="0"/>
        <w:ind w:left="0" w:right="0" w:hanging="0"/>
        <w:jc w:val="both"/>
        <w:rPr>
          <w:caps w:val="false"/>
          <w:smallCaps w:val="false"/>
        </w:rPr>
      </w:pPr>
      <w:bookmarkStart w:id="647" w:name="xdx_235_zNwB9n1LByG3"/>
      <w:bookmarkEnd w:id="64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original principal amount of the Convertible Notes issued at the initial closing was $</w:t>
      </w:r>
      <w:bookmarkStart w:id="648" w:name="xdx_90E_eus-gaap--DebtInstrumentFaceAmou"/>
      <w:bookmarkEnd w:id="648"/>
      <w:r>
        <w:rPr>
          <w:rFonts w:ascii="Times New Roman;Times;Serif" w:hAnsi="Times New Roman;Times;Serif"/>
          <w:b w:val="false"/>
          <w:i w:val="false"/>
          <w:caps w:val="false"/>
          <w:smallCaps w:val="false"/>
          <w:sz w:val="20"/>
        </w:rPr>
        <w:t>7,000,000. Pursuant to the SPA, the parties will close on an additional Series A Convertible Note of approximately $</w:t>
      </w:r>
      <w:bookmarkStart w:id="649" w:name="xdx_90F_ecustom--ConvertibleDebtAddition"/>
      <w:bookmarkEnd w:id="649"/>
      <w:r>
        <w:rPr>
          <w:rFonts w:ascii="Times New Roman;Times;Serif" w:hAnsi="Times New Roman;Times;Serif"/>
          <w:b w:val="false"/>
          <w:i w:val="false"/>
          <w:caps w:val="false"/>
          <w:smallCaps w:val="false"/>
          <w:sz w:val="20"/>
        </w:rPr>
        <w:t>2,000,000 (the “Additional Series A Notes”), to be issued upon the effectiveness of a resale registration statement, bringing the total funded amount to $</w:t>
      </w:r>
      <w:bookmarkStart w:id="650" w:name="xdx_903_ecustom--TotalDebtInstrumentFace"/>
      <w:bookmarkEnd w:id="650"/>
      <w:r>
        <w:rPr>
          <w:rFonts w:ascii="Times New Roman;Times;Serif" w:hAnsi="Times New Roman;Times;Serif"/>
          <w:b w:val="false"/>
          <w:i w:val="false"/>
          <w:caps w:val="false"/>
          <w:smallCaps w:val="false"/>
          <w:sz w:val="20"/>
        </w:rPr>
        <w:t>9,000,000.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at a 6% original issue discount (“OID”), resulting in gross cash proceeds to the Company of $</w:t>
      </w:r>
      <w:bookmarkStart w:id="651" w:name="xdx_902_ecustom--GrossProceedsFromConver"/>
      <w:bookmarkEnd w:id="651"/>
      <w:r>
        <w:rPr>
          <w:rFonts w:ascii="Times New Roman;Times;Serif" w:hAnsi="Times New Roman;Times;Serif"/>
          <w:b w:val="false"/>
          <w:i w:val="false"/>
          <w:caps w:val="false"/>
          <w:smallCaps w:val="false"/>
          <w:sz w:val="20"/>
        </w:rPr>
        <w:t>6,580,000. After deducting placement agent fees of $</w:t>
      </w:r>
      <w:bookmarkStart w:id="652" w:name="xdx_903_eus-gaap--PaymentsOfDebtIssuance"/>
      <w:bookmarkEnd w:id="652"/>
      <w:r>
        <w:rPr>
          <w:rFonts w:ascii="Times New Roman;Times;Serif" w:hAnsi="Times New Roman;Times;Serif"/>
          <w:b w:val="false"/>
          <w:i w:val="false"/>
          <w:caps w:val="false"/>
          <w:smallCaps w:val="false"/>
          <w:sz w:val="20"/>
        </w:rPr>
        <w:t>394,800 and legal and other transaction expenses of $</w:t>
      </w:r>
      <w:bookmarkStart w:id="653" w:name="xdx_906_eus-gaap--PaymentsOfDebtIssuance"/>
      <w:bookmarkEnd w:id="653"/>
      <w:r>
        <w:rPr>
          <w:rFonts w:ascii="Times New Roman;Times;Serif" w:hAnsi="Times New Roman;Times;Serif"/>
          <w:b w:val="false"/>
          <w:i w:val="false"/>
          <w:caps w:val="false"/>
          <w:smallCaps w:val="false"/>
          <w:sz w:val="20"/>
        </w:rPr>
        <w:t>150,000, the Company received net proceeds of $</w:t>
      </w:r>
      <w:bookmarkStart w:id="654" w:name="xdx_902_eus-gaap--ProceedsFromConvertibl"/>
      <w:bookmarkEnd w:id="654"/>
      <w:r>
        <w:rPr>
          <w:rFonts w:ascii="Times New Roman;Times;Serif" w:hAnsi="Times New Roman;Times;Serif"/>
          <w:b w:val="false"/>
          <w:i w:val="false"/>
          <w:caps w:val="false"/>
          <w:smallCaps w:val="false"/>
          <w:sz w:val="20"/>
        </w:rPr>
        <w:t>6,035,200.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bear interest at a rate of </w:t>
      </w:r>
      <w:bookmarkStart w:id="655" w:name="xdx_90F_eus-gaap--DebtInstrumentInterest"/>
      <w:bookmarkEnd w:id="655"/>
      <w:r>
        <w:rPr>
          <w:rFonts w:ascii="Times New Roman;Times;Serif" w:hAnsi="Times New Roman;Times;Serif"/>
          <w:b w:val="false"/>
          <w:i w:val="false"/>
          <w:caps w:val="false"/>
          <w:smallCaps w:val="false"/>
          <w:sz w:val="20"/>
        </w:rPr>
        <w:t xml:space="preserve">10% per annum (increasing to 17% per annum upon the occurrence and during the continuance of an Event of Default), with interest payable monthly on the first Trading Day of each calendar month commencing January 1, 2026, in shares valued at the Alternate Conversion Price or, at the Company’s election, in cash. The Convertible Notes mature on </w:t>
      </w:r>
      <w:bookmarkStart w:id="656" w:name="xdx_902_eus-gaap--DebtInstrumentMaturity"/>
      <w:bookmarkEnd w:id="656"/>
      <w:r>
        <w:rPr>
          <w:rFonts w:ascii="Times New Roman;Times;Serif" w:hAnsi="Times New Roman;Times;Serif"/>
          <w:b w:val="false"/>
          <w:i w:val="false"/>
          <w:caps w:val="false"/>
          <w:smallCaps w:val="false"/>
          <w:sz w:val="20"/>
        </w:rPr>
        <w:t>December 23,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convertible into shares of Common Stock at a fixed Conversion Price of $17.70 per share, subject to adjustment. The holder may elect to convert at an Alternate Conversion Price equal to the lower of (i) the Conversion Price or (ii) the greater of the Floor Price or 95% of the lowest daily VWAP during the seven consecutive Trading Days preceding conversion. During an Event of Default, the Alternate Conversion Price becomes the lower of (i) the Conversion Price or (ii) the greater of the Floor Price or 90% of the lowest daily VWAP during the ten consecutive Trading Days preceding conversion. The Floor Price is $2.27 per share, subject to downward adjustment every six months to the lower of the then-current Floor Price or 20% of the trading price. On March 23, 2026, the Conversion Price automatically resets to $14.16 if then above such level. The holder is subject to a 4.99% Beneficial Ownership Cap on outstanding Common Stock, which may be increased to 9.99% upon 61 days’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contain the following redemption features: (i) upon an Event of Default, the holder may require redemption at 115% of the outstanding Conversion Amount; (ii) upon a Change of Control, the holder may require redemption at 110% of the Conversion Amount; (iii) upon a subsequent equity financing, the holder may require redemption of up to 20% of net proceeds at 110%; (iv) upon certain asset sales (only if Crypto Collateral Value falls below 150% of outstanding principal), the holder may require redemption of up to 20% of net proceeds at 110%; and (v) the Company may optionally redeem at 110% of the Conversion Amount (or 115% during an Event of Default period). The Convertible Notes also contain a modified full-ratchet anti-dilution provision whereby if the Company issues shares below the then-effective Conversion Price (other than Excluded Securities), the Conversion Price is automatically reduced to 115% of the new issuance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senior secured obligations of the Company, collateralized by all cryptocurrency digital assets of the Company and certain of its subsidiaries pursuant to a Security and Pledge Agreement. The Convertible Notes are guaranteed by all subsidiaries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Notes, the Company entered into (i) a Security and Pledge Agreement, dated December 22, 2025, granting the Investor a first priority security interest in the cryptocurrency digital assets of the Company and its subsidiaries; (ii) a Guaranty, dated December 23, 2025, pursuant to which all subsidiaries of the Company jointly and severally guarantee the Company’s obligations under the Convertible Notes; and (iii) a Registration Rights Agreement, dated December 23, 2025, requiring the Company to file a registration statement within 30 days of issuance to register the resale of Series A Conversion Shares and cause such registration statement to be declared effective within 60 days, with liquidated damages of 1.5% of the holder’s original principal amount payable upon failure to meet these deadlines.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SPA, on February 9, 2026, the Company delivered an Additional Mandatory Closing Notice (as defined in the Purchase Agreement) to the Investor and, on February 10, 2026, consummated the Additional Mandatory Closing in accordance with the Purchase Agreement, receiving $</w:t>
      </w:r>
      <w:bookmarkStart w:id="657" w:name="xdx_90F_ecustom--ExchangeForIssuing_c202"/>
      <w:bookmarkEnd w:id="657"/>
      <w:r>
        <w:rPr>
          <w:rFonts w:ascii="Times New Roman;Times;Serif" w:hAnsi="Times New Roman;Times;Serif"/>
          <w:b w:val="false"/>
          <w:i w:val="false"/>
          <w:caps w:val="false"/>
          <w:smallCaps w:val="false"/>
          <w:sz w:val="20"/>
        </w:rPr>
        <w:t>1,880,000 in exchange for issuing a $</w:t>
      </w:r>
      <w:bookmarkStart w:id="658" w:name="xdx_90B_eus-gaap--DebtInstrumentFaceAmou"/>
      <w:bookmarkEnd w:id="658"/>
      <w:r>
        <w:rPr>
          <w:rFonts w:ascii="Times New Roman;Times;Serif" w:hAnsi="Times New Roman;Times;Serif"/>
          <w:b w:val="false"/>
          <w:i w:val="false"/>
          <w:caps w:val="false"/>
          <w:smallCaps w:val="false"/>
          <w:sz w:val="20"/>
        </w:rPr>
        <w:t>2,000,000 aggregate principal amount of the Additional Mandatory Series A Note to the Investor after satisfaction of all applicable closing conditions, including the effectiveness of the resale registration statement and the absence of any event of default.</w:t>
      </w:r>
    </w:p>
    <w:p>
      <w:pPr>
        <w:pStyle w:val="TextBody"/>
        <w:bidi w:val="0"/>
        <w:spacing w:before="0" w:after="0"/>
        <w:ind w:left="0" w:right="0" w:hanging="0"/>
        <w:jc w:val="both"/>
        <w:rPr>
          <w:caps w:val="false"/>
          <w:smallCaps w:val="false"/>
        </w:rPr>
      </w:pPr>
      <w:bookmarkStart w:id="659" w:name="xdx_238_zVYjVfzoebN6"/>
      <w:bookmarkEnd w:id="659"/>
      <w:r>
        <w:rPr>
          <w:caps w:val="false"/>
          <w:smallCaps w:val="false"/>
        </w:rPr>
        <w:t> </w:t>
      </w:r>
    </w:p>
    <w:p>
      <w:pPr>
        <w:pStyle w:val="TextBody"/>
        <w:bidi w:val="0"/>
        <w:spacing w:before="0" w:after="0"/>
        <w:ind w:left="0" w:right="0" w:hanging="0"/>
        <w:jc w:val="both"/>
        <w:rPr>
          <w:caps w:val="false"/>
          <w:smallCaps w:val="false"/>
        </w:rPr>
      </w:pPr>
      <w:bookmarkStart w:id="660" w:name="xdx_231_zOVP2sZgNpGf"/>
      <w:bookmarkEnd w:id="660"/>
      <w:r>
        <w:rPr>
          <w:caps w:val="false"/>
          <w:smallCaps w:val="false"/>
        </w:rPr>
        <w:t> </w:t>
      </w:r>
    </w:p>
    <w:p>
      <w:pPr>
        <w:pStyle w:val="TextBody"/>
        <w:bidi w:val="0"/>
        <w:spacing w:before="0" w:after="0"/>
        <w:ind w:left="0" w:right="0" w:hanging="0"/>
        <w:jc w:val="both"/>
        <w:rPr>
          <w:caps w:val="false"/>
          <w:smallCaps w:val="false"/>
        </w:rPr>
      </w:pPr>
      <w:bookmarkStart w:id="661" w:name="xdx_231_zI9xGd3bWCSb"/>
      <w:bookmarkEnd w:id="661"/>
      <w:r>
        <w:rPr>
          <w:caps w:val="false"/>
          <w:smallCaps w:val="false"/>
        </w:rPr>
        <w:t> </w:t>
      </w:r>
    </w:p>
    <w:p>
      <w:pPr>
        <w:pStyle w:val="TextBody"/>
        <w:bidi w:val="0"/>
        <w:spacing w:before="0" w:after="0"/>
        <w:ind w:left="0" w:right="0" w:hanging="0"/>
        <w:jc w:val="both"/>
        <w:rPr>
          <w:caps w:val="false"/>
          <w:smallCaps w:val="false"/>
        </w:rPr>
      </w:pPr>
      <w:bookmarkStart w:id="662" w:name="xdx_230_zJNvf1P16BYd"/>
      <w:bookmarkEnd w:id="66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Accounting and Fair Value Measurement for Embedded Derivative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embedded features within the convertible note in accordance with ASC Topic 480 and ASC Topic 815. The Company determined that the following embedded features constitute a compound derivative liability requiring bifurcation from the debt host: (i) the Conversion Option, which includes multiple pricing mechanisms (fixed conversion at $17.70, Alternate Conversion Price based on 95% of lowest 7-day VWAP, Event of Default Conversion Price based on 90% of lowest 10-day VWAP, the Floor Price, the March 2026 reset, and anti-dilution adjustments); (ii) Interest Payment in Shares at the Alternate Conversion Price; and (iii) cash-settled put options arising from various redemption features (Event of Default at 115% premium, Change of Control at 110% premium, Subsequent Placement at 110% premium, and Asset Sale at 110%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features are not clearly and closely related to the debt host, meet the definition of a derivative, and do not qualify for the derivative accounting exemptions. Accordingly, the embedded features were bifurcated as a single compound derivative liability measured at fair value, with subsequent changes in fair value recognized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fair value of the compound embedded derivative liability was determined using a Monte Carlo Simulation valuation model, considering various potential outcomes and scenarios. The model used the following assumptions: (i) dividend yield of 0%; (ii) expected volatility of 141%; (iii) risk-free interest rate of approximately 3.5%; (iv) term of 2.0 years; (v) fair value of the common shares of $4.4 to $10.46 per share; and (vi) various probability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the Company remeasured the derivative liability using updated assumptions: (i) dividend yield of 0%; (ii) expected volatility of 130%; (iii) risk-free interest rate of 3.8%; (iv) remaining term of 1.8 years; (v) fair value of the common shares of $1.39 per share; and (vi) various probability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changes in fair value are recognized in the statement of operations for each reporting period. The issuance costs for the Convertible Notes, along with the fair value of the bifurcated embedded derivative liability, were collectively treated as a debt discount. Upon initial recognition, the total debt discount was $</w:t>
      </w:r>
      <w:bookmarkStart w:id="663" w:name="xdx_905_eus-gaap--DebtInstrumentUnamorti"/>
      <w:bookmarkEnd w:id="663"/>
      <w:r>
        <w:rPr>
          <w:rFonts w:ascii="Times New Roman;Times;Serif" w:hAnsi="Times New Roman;Times;Serif"/>
          <w:b w:val="false"/>
          <w:i w:val="false"/>
          <w:caps w:val="false"/>
          <w:smallCaps w:val="false"/>
          <w:sz w:val="20"/>
        </w:rPr>
        <w:t>2,577,500, consisting of the fair value of the bifurcated derivative liability of $</w:t>
      </w:r>
      <w:bookmarkStart w:id="664" w:name="xdx_909_eus-gaap--DebtInstrumentUnamorti"/>
      <w:bookmarkEnd w:id="664"/>
      <w:r>
        <w:rPr>
          <w:rFonts w:ascii="Times New Roman;Times;Serif" w:hAnsi="Times New Roman;Times;Serif"/>
          <w:b w:val="false"/>
          <w:i w:val="false"/>
          <w:caps w:val="false"/>
          <w:smallCaps w:val="false"/>
          <w:sz w:val="20"/>
        </w:rPr>
        <w:t>1,612,700, the original issue discount of $</w:t>
      </w:r>
      <w:bookmarkStart w:id="665" w:name="xdx_90D_eus-gaap--DebtInstrumentUnamorti"/>
      <w:bookmarkEnd w:id="665"/>
      <w:r>
        <w:rPr>
          <w:rFonts w:ascii="Times New Roman;Times;Serif" w:hAnsi="Times New Roman;Times;Serif"/>
          <w:b w:val="false"/>
          <w:i w:val="false"/>
          <w:caps w:val="false"/>
          <w:smallCaps w:val="false"/>
          <w:sz w:val="20"/>
        </w:rPr>
        <w:t>420,000, and debt issuance costs of $</w:t>
      </w:r>
      <w:bookmarkStart w:id="666" w:name="xdx_902_eus-gaap--DebtInstrumentUnamorti"/>
      <w:bookmarkEnd w:id="666"/>
      <w:r>
        <w:rPr>
          <w:rFonts w:ascii="Times New Roman;Times;Serif" w:hAnsi="Times New Roman;Times;Serif"/>
          <w:b w:val="false"/>
          <w:i w:val="false"/>
          <w:caps w:val="false"/>
          <w:smallCaps w:val="false"/>
          <w:sz w:val="20"/>
        </w:rPr>
        <w:t>544,800. The debt discount is being amortized to interest expense over the two-year term using the effective interest method at an effective rate of approximately 23.2%.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March 31, 2026, the holder converted Convertible Notes with an aggregate fair value of $</w:t>
      </w:r>
      <w:bookmarkStart w:id="667" w:name="xdx_90E_eus-gaap--DebtConversionConverte"/>
      <w:bookmarkEnd w:id="667"/>
      <w:r>
        <w:rPr>
          <w:rFonts w:ascii="Times New Roman;Times;Serif" w:hAnsi="Times New Roman;Times;Serif"/>
          <w:b w:val="false"/>
          <w:i w:val="false"/>
          <w:caps w:val="false"/>
          <w:smallCaps w:val="false"/>
          <w:sz w:val="20"/>
        </w:rPr>
        <w:t>2,597,000, including $</w:t>
      </w:r>
      <w:bookmarkStart w:id="668" w:name="xdx_908_eus-gaap--DebtConversionOriginal"/>
      <w:bookmarkEnd w:id="668"/>
      <w:r>
        <w:rPr>
          <w:rFonts w:ascii="Times New Roman;Times;Serif" w:hAnsi="Times New Roman;Times;Serif"/>
          <w:b w:val="false"/>
          <w:i w:val="false"/>
          <w:caps w:val="false"/>
          <w:smallCaps w:val="false"/>
          <w:sz w:val="20"/>
        </w:rPr>
        <w:t xml:space="preserve">2,377,166 of principal and interest into </w:t>
      </w:r>
      <w:bookmarkStart w:id="669" w:name="xdx_90E_eus-gaap--DebtConversionConverte"/>
      <w:bookmarkEnd w:id="669"/>
      <w:r>
        <w:rPr>
          <w:rFonts w:ascii="Times New Roman;Times;Serif" w:hAnsi="Times New Roman;Times;Serif"/>
          <w:b w:val="false"/>
          <w:i w:val="false"/>
          <w:caps w:val="false"/>
          <w:smallCaps w:val="false"/>
          <w:sz w:val="20"/>
        </w:rPr>
        <w:t>703,487 shares of Common Stock. The conversions were effected at the Alternate Conversion Price on the respective conversion dates. The Company accounted for each conversion as a partial extinguishment of the debt host and related embedded derivative liability, resulting in a loss on extinguishment of $</w:t>
      </w:r>
      <w:bookmarkStart w:id="670" w:name="xdx_901_eus-gaap--GainsLossesOnExtinguis"/>
      <w:bookmarkEnd w:id="670"/>
      <w:r>
        <w:rPr>
          <w:rFonts w:ascii="Times New Roman;Times;Serif" w:hAnsi="Times New Roman;Times;Serif"/>
          <w:b w:val="false"/>
          <w:i w:val="false"/>
          <w:caps w:val="false"/>
          <w:smallCaps w:val="false"/>
          <w:sz w:val="20"/>
        </w:rPr>
        <w:t>563,734, representing the excess of the fair value of shares issued over the carrying amounts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remaining outstanding principal balance of the Convertible Notes was $</w:t>
      </w:r>
      <w:bookmarkStart w:id="671" w:name="xdx_906_eus-gaap--DebtInstrumentCarrying"/>
      <w:bookmarkEnd w:id="671"/>
      <w:r>
        <w:rPr>
          <w:rFonts w:ascii="Times New Roman;Times;Serif" w:hAnsi="Times New Roman;Times;Serif"/>
          <w:b w:val="false"/>
          <w:i w:val="false"/>
          <w:caps w:val="false"/>
          <w:smallCaps w:val="false"/>
          <w:sz w:val="20"/>
        </w:rPr>
        <w:t>6,686,603 and an unamortized debt discount of $</w:t>
      </w:r>
      <w:bookmarkStart w:id="672" w:name="xdx_906_eus-gaap--DebtInstrumentUnamorti"/>
      <w:bookmarkEnd w:id="672"/>
      <w:r>
        <w:rPr>
          <w:rFonts w:ascii="Times New Roman;Times;Serif" w:hAnsi="Times New Roman;Times;Serif"/>
          <w:b w:val="false"/>
          <w:i w:val="false"/>
          <w:caps w:val="false"/>
          <w:smallCaps w:val="false"/>
          <w:sz w:val="20"/>
        </w:rPr>
        <w:t>2,216,085, resulting in a net carrying amount of $</w:t>
      </w:r>
      <w:bookmarkStart w:id="673" w:name="xdx_907_eus-gaap--ConvertibleNotesPayabl"/>
      <w:bookmarkEnd w:id="673"/>
      <w:r>
        <w:rPr>
          <w:rFonts w:ascii="Times New Roman;Times;Serif" w:hAnsi="Times New Roman;Times;Serif"/>
          <w:b w:val="false"/>
          <w:i w:val="false"/>
          <w:caps w:val="false"/>
          <w:smallCaps w:val="false"/>
          <w:sz w:val="20"/>
        </w:rPr>
        <w:t>4,470,518. Interest expense, including amortization of debt discount, recognized on the Convertible Notes during the three and nine months ended March 31, 2026, was $</w:t>
      </w:r>
      <w:bookmarkStart w:id="674" w:name="xdx_901_eus-gaap--InterestExpenseDebt_c2"/>
      <w:bookmarkEnd w:id="674"/>
      <w:r>
        <w:rPr>
          <w:rFonts w:ascii="Times New Roman;Times;Serif" w:hAnsi="Times New Roman;Times;Serif"/>
          <w:b w:val="false"/>
          <w:i w:val="false"/>
          <w:caps w:val="false"/>
          <w:smallCaps w:val="false"/>
          <w:sz w:val="20"/>
        </w:rPr>
        <w:t>415,965 and $</w:t>
      </w:r>
      <w:bookmarkStart w:id="675" w:name="xdx_902_eus-gaap--InterestExpenseDebt_c2"/>
      <w:bookmarkEnd w:id="675"/>
      <w:r>
        <w:rPr>
          <w:rFonts w:ascii="Times New Roman;Times;Serif" w:hAnsi="Times New Roman;Times;Serif"/>
          <w:b w:val="false"/>
          <w:i w:val="false"/>
          <w:caps w:val="false"/>
          <w:smallCaps w:val="false"/>
          <w:sz w:val="20"/>
        </w:rPr>
        <w:t>453,752,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Asset-based revolving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2021, the Company entered into a Credit Agreement with JPMorgan Chase Bank, N.A. (“JPMorgan”), as administrative agent, issuing bank and swingline lender, for an asset-based revolving loan (“ABL”) of up to $25 million with key terms listed as follows:</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95"/>
        <w:gridCol w:w="290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base equal to the sum of</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90% of eligible credit card receivables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85% of eligible trade accounts receivable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the lesser of (i) 65% of cost of eligible inventory or (ii) 85% of net orderly liquidation value of eligible inventory</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95"/>
        <w:gridCol w:w="73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 of between LIBOR plus 2% and LIBOR plus 2.25% depending on utilization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Undrawn fee of between 0.25% and 0.375% depending on utilization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Maturity Date of </w:t>
            </w:r>
            <w:bookmarkStart w:id="676" w:name="xdx_903_eus-gaap--LineOfCreditFacilityEx"/>
            <w:bookmarkEnd w:id="676"/>
            <w:r>
              <w:rPr>
                <w:rFonts w:ascii="Times New Roman;Times;Serif" w:hAnsi="Times New Roman;Times;Serif"/>
                <w:sz w:val="20"/>
              </w:rPr>
              <w:t>November 12,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77" w:name="xdx_23E_zjotXY4T2Ekc"/>
      <w:bookmarkEnd w:id="677"/>
      <w:r>
        <w:rPr>
          <w:caps w:val="false"/>
          <w:smallCaps w:val="false"/>
        </w:rPr>
        <w:t> </w:t>
      </w:r>
    </w:p>
    <w:p>
      <w:pPr>
        <w:pStyle w:val="TextBody"/>
        <w:bidi w:val="0"/>
        <w:spacing w:before="0" w:after="0"/>
        <w:ind w:left="0" w:right="0" w:hanging="0"/>
        <w:jc w:val="both"/>
        <w:rPr>
          <w:caps w:val="false"/>
          <w:smallCaps w:val="false"/>
        </w:rPr>
      </w:pPr>
      <w:bookmarkStart w:id="678" w:name="xdx_233_zljJ8zsBcsd2"/>
      <w:bookmarkEnd w:id="678"/>
      <w:r>
        <w:rPr>
          <w:caps w:val="false"/>
          <w:smallCaps w:val="false"/>
        </w:rPr>
        <w:t> </w:t>
      </w:r>
    </w:p>
    <w:p>
      <w:pPr>
        <w:pStyle w:val="TextBody"/>
        <w:bidi w:val="0"/>
        <w:spacing w:before="0" w:after="0"/>
        <w:ind w:left="0" w:right="0" w:hanging="0"/>
        <w:jc w:val="both"/>
        <w:rPr>
          <w:caps w:val="false"/>
          <w:smallCaps w:val="false"/>
        </w:rPr>
      </w:pPr>
      <w:bookmarkStart w:id="679" w:name="xdx_23B_zrJp4KaWpco4"/>
      <w:bookmarkEnd w:id="67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ABL included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are to be amortized over the three-year term of the ABL as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the interest expense recorded for the three and nine months ended March 31, 2026 and 2025:</w:t>
      </w:r>
    </w:p>
    <w:p>
      <w:pPr>
        <w:pStyle w:val="Normal"/>
        <w:bidi w:val="0"/>
        <w:spacing w:before="0" w:after="0"/>
        <w:jc w:val="left"/>
        <w:rPr>
          <w:sz w:val="4"/>
          <w:szCs w:val="4"/>
        </w:rPr>
      </w:pPr>
      <w:r>
        <w:rPr>
          <w:sz w:val="4"/>
          <w:szCs w:val="4"/>
        </w:rPr>
      </w:r>
      <w:bookmarkStart w:id="680" w:name="xdx_89F_eus-gaap--InterestIncomeAndInter"/>
      <w:bookmarkStart w:id="681" w:name="xdx_89F_eus-gaap--InterestIncomeAndInter"/>
      <w:bookmarkEnd w:id="681"/>
    </w:p>
    <w:tbl>
      <w:tblPr>
        <w:tblW w:w="9487" w:type="dxa"/>
        <w:jc w:val="left"/>
        <w:tblInd w:w="0" w:type="dxa"/>
        <w:tblLayout w:type="fixed"/>
        <w:tblCellMar>
          <w:top w:w="0" w:type="dxa"/>
          <w:left w:w="0" w:type="dxa"/>
          <w:bottom w:w="0" w:type="dxa"/>
          <w:right w:w="0" w:type="dxa"/>
        </w:tblCellMar>
      </w:tblPr>
      <w:tblGrid>
        <w:gridCol w:w="2855"/>
        <w:gridCol w:w="60"/>
        <w:gridCol w:w="363"/>
        <w:gridCol w:w="363"/>
        <w:gridCol w:w="155"/>
        <w:gridCol w:w="155"/>
        <w:gridCol w:w="363"/>
        <w:gridCol w:w="1763"/>
        <w:gridCol w:w="155"/>
        <w:gridCol w:w="60"/>
        <w:gridCol w:w="215"/>
        <w:gridCol w:w="1233"/>
        <w:gridCol w:w="92"/>
        <w:gridCol w:w="92"/>
        <w:gridCol w:w="215"/>
        <w:gridCol w:w="1233"/>
        <w:gridCol w:w="115"/>
      </w:tblGrid>
      <w:tr>
        <w:trPr/>
        <w:tc>
          <w:tcPr>
            <w:tcW w:w="2855" w:type="dxa"/>
            <w:tcBorders/>
            <w:vAlign w:val="center"/>
          </w:tcPr>
          <w:p>
            <w:pPr>
              <w:pStyle w:val="TableContents"/>
              <w:bidi w:val="0"/>
              <w:spacing w:before="0" w:after="283"/>
              <w:jc w:val="left"/>
              <w:rPr/>
            </w:pPr>
            <w:bookmarkStart w:id="682" w:name="xdx_8BC_z9wwnx20t9wl"/>
            <w:bookmarkEnd w:id="682"/>
            <w:r>
              <w:rPr/>
              <w:t>Schedule of interest expense</w:t>
            </w:r>
          </w:p>
        </w:tc>
        <w:tc>
          <w:tcPr>
            <w:tcW w:w="60" w:type="dxa"/>
            <w:tcBorders/>
            <w:vAlign w:val="center"/>
          </w:tcPr>
          <w:p>
            <w:pPr>
              <w:pStyle w:val="TableContents"/>
              <w:bidi w:val="0"/>
              <w:spacing w:before="0" w:after="283"/>
              <w:jc w:val="left"/>
              <w:rPr/>
            </w:pPr>
            <w:r>
              <w:rPr/>
              <w:t> </w:t>
            </w:r>
          </w:p>
        </w:tc>
        <w:tc>
          <w:tcPr>
            <w:tcW w:w="3317" w:type="dxa"/>
            <w:gridSpan w:val="7"/>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5" w:type="dxa"/>
            <w:gridSpan w:val="7"/>
            <w:tcBorders/>
            <w:vAlign w:val="center"/>
          </w:tcPr>
          <w:p>
            <w:pPr>
              <w:pStyle w:val="TableContents"/>
              <w:bidi w:val="0"/>
              <w:spacing w:before="0" w:after="283"/>
              <w:jc w:val="center"/>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7"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60" w:type="dxa"/>
            <w:tcBorders/>
            <w:vAlign w:val="center"/>
          </w:tcPr>
          <w:p>
            <w:pPr>
              <w:pStyle w:val="TableContents"/>
              <w:bidi w:val="0"/>
              <w:spacing w:before="0" w:after="283"/>
              <w:jc w:val="left"/>
              <w:rPr/>
            </w:pPr>
            <w:r>
              <w:rPr/>
              <w:t> </w:t>
            </w:r>
          </w:p>
        </w:tc>
        <w:tc>
          <w:tcPr>
            <w:tcW w:w="319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Nine Months Ended March 31,</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5" w:type="dxa"/>
            <w:tcBorders/>
            <w:vAlign w:val="center"/>
          </w:tcPr>
          <w:p>
            <w:pPr>
              <w:pStyle w:val="TableContents"/>
              <w:bidi w:val="0"/>
              <w:spacing w:before="0" w:after="283"/>
              <w:jc w:val="left"/>
              <w:rPr/>
            </w:pPr>
            <w:r>
              <w:rPr/>
              <w:t> </w:t>
            </w:r>
          </w:p>
        </w:tc>
        <w:tc>
          <w:tcPr>
            <w:tcW w:w="228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54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156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2855" w:type="dxa"/>
            <w:tcBorders/>
            <w:shd w:fill="EEEEEE" w:val="clear"/>
            <w:vAlign w:val="center"/>
          </w:tcPr>
          <w:p>
            <w:pPr>
              <w:pStyle w:val="TableContents"/>
              <w:bidi w:val="0"/>
              <w:spacing w:before="0" w:after="283"/>
              <w:jc w:val="left"/>
              <w:rPr/>
            </w:pPr>
            <w:r>
              <w:rPr/>
              <w:t>Accrued interest</w:t>
            </w:r>
          </w:p>
        </w:tc>
        <w:tc>
          <w:tcPr>
            <w:tcW w:w="60" w:type="dxa"/>
            <w:tcBorders/>
            <w:shd w:fill="EEEEEE" w:val="clear"/>
            <w:vAlign w:val="center"/>
          </w:tcPr>
          <w:p>
            <w:pPr>
              <w:pStyle w:val="TableContents"/>
              <w:bidi w:val="0"/>
              <w:spacing w:before="0" w:after="283"/>
              <w:jc w:val="left"/>
              <w:rPr/>
            </w:pPr>
            <w:r>
              <w:rPr/>
              <w:t> </w:t>
            </w:r>
          </w:p>
        </w:tc>
        <w:tc>
          <w:tcPr>
            <w:tcW w:w="363" w:type="dxa"/>
            <w:tcBorders/>
            <w:shd w:fill="EEEEEE" w:val="clear"/>
            <w:vAlign w:val="center"/>
          </w:tcPr>
          <w:p>
            <w:pPr>
              <w:pStyle w:val="TableContents"/>
              <w:bidi w:val="0"/>
              <w:spacing w:before="0" w:after="283"/>
              <w:jc w:val="left"/>
              <w:rPr/>
            </w:pPr>
            <w:r>
              <w:rPr/>
              <w:t>$</w:t>
            </w:r>
            <w:bookmarkStart w:id="683" w:name="xdx_988_eus-gaap--InterestExpense_d0_c20"/>
            <w:bookmarkEnd w:id="683"/>
          </w:p>
        </w:tc>
        <w:tc>
          <w:tcPr>
            <w:tcW w:w="363" w:type="dxa"/>
            <w:tcBorders/>
            <w:shd w:fill="EEEEEE" w:val="cle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363" w:type="dxa"/>
            <w:tcBorders/>
            <w:shd w:fill="EEEEEE" w:val="clear"/>
            <w:vAlign w:val="center"/>
          </w:tcPr>
          <w:p>
            <w:pPr>
              <w:pStyle w:val="TableContents"/>
              <w:bidi w:val="0"/>
              <w:spacing w:before="0" w:after="283"/>
              <w:jc w:val="left"/>
              <w:rPr/>
            </w:pPr>
            <w:r>
              <w:rPr/>
              <w:t>$</w:t>
            </w:r>
            <w:bookmarkStart w:id="684" w:name="xdx_987_eus-gaap--InterestExpense_c20250"/>
            <w:bookmarkEnd w:id="684"/>
          </w:p>
        </w:tc>
        <w:tc>
          <w:tcPr>
            <w:tcW w:w="1763" w:type="dxa"/>
            <w:tcBorders/>
            <w:shd w:fill="EEEEEE" w:val="clear"/>
            <w:vAlign w:val="center"/>
          </w:tcPr>
          <w:p>
            <w:pPr>
              <w:pStyle w:val="TableContents"/>
              <w:bidi w:val="0"/>
              <w:spacing w:before="0" w:after="283"/>
              <w:jc w:val="right"/>
              <w:rPr/>
            </w:pPr>
            <w:r>
              <w:rPr/>
              <w:t>71,879</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5" w:type="dxa"/>
            <w:tcBorders/>
            <w:shd w:fill="EEEEEE" w:val="clear"/>
            <w:vAlign w:val="center"/>
          </w:tcPr>
          <w:p>
            <w:pPr>
              <w:pStyle w:val="TableContents"/>
              <w:bidi w:val="0"/>
              <w:spacing w:before="0" w:after="283"/>
              <w:jc w:val="left"/>
              <w:rPr/>
            </w:pPr>
            <w:r>
              <w:rPr/>
              <w:t>$</w:t>
            </w:r>
            <w:bookmarkStart w:id="685" w:name="xdx_989_eus-gaap--InterestExpense_c20250"/>
            <w:bookmarkEnd w:id="685"/>
          </w:p>
        </w:tc>
        <w:tc>
          <w:tcPr>
            <w:tcW w:w="1233" w:type="dxa"/>
            <w:tcBorders/>
            <w:shd w:fill="EEEEEE" w:val="clear"/>
            <w:vAlign w:val="center"/>
          </w:tcPr>
          <w:p>
            <w:pPr>
              <w:pStyle w:val="TableContents"/>
              <w:bidi w:val="0"/>
              <w:spacing w:before="0" w:after="283"/>
              <w:jc w:val="right"/>
              <w:rPr/>
            </w:pPr>
            <w:r>
              <w:rPr/>
              <w:t>113,507</w:t>
            </w:r>
          </w:p>
        </w:tc>
        <w:tc>
          <w:tcPr>
            <w:tcW w:w="92"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215" w:type="dxa"/>
            <w:tcBorders/>
            <w:shd w:fill="EEEEEE" w:val="clear"/>
            <w:vAlign w:val="center"/>
          </w:tcPr>
          <w:p>
            <w:pPr>
              <w:pStyle w:val="TableContents"/>
              <w:bidi w:val="0"/>
              <w:spacing w:before="0" w:after="283"/>
              <w:jc w:val="left"/>
              <w:rPr/>
            </w:pPr>
            <w:r>
              <w:rPr/>
              <w:t>$</w:t>
            </w:r>
            <w:bookmarkStart w:id="686" w:name="xdx_98C_eus-gaap--InterestExpense_c20240"/>
            <w:bookmarkEnd w:id="686"/>
          </w:p>
        </w:tc>
        <w:tc>
          <w:tcPr>
            <w:tcW w:w="1233" w:type="dxa"/>
            <w:tcBorders/>
            <w:shd w:fill="EEEEEE" w:val="clear"/>
            <w:vAlign w:val="center"/>
          </w:tcPr>
          <w:p>
            <w:pPr>
              <w:pStyle w:val="TableContents"/>
              <w:bidi w:val="0"/>
              <w:spacing w:before="0" w:after="283"/>
              <w:jc w:val="right"/>
              <w:rPr/>
            </w:pPr>
            <w:r>
              <w:rPr/>
              <w:t>181,049</w:t>
            </w:r>
          </w:p>
        </w:tc>
        <w:tc>
          <w:tcPr>
            <w:tcW w:w="115" w:type="dxa"/>
            <w:tcBorders/>
            <w:shd w:fill="EEEEEE"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Credit utilization fees</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bookmarkStart w:id="687" w:name="xdx_983_eus-gaap--InterestExpense_d0_c20"/>
            <w:bookmarkEnd w:id="687"/>
          </w:p>
        </w:tc>
        <w:tc>
          <w:tcPr>
            <w:tcW w:w="363"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bookmarkStart w:id="688" w:name="xdx_98E_eus-gaap--InterestExpense_c20250"/>
            <w:bookmarkEnd w:id="688"/>
          </w:p>
        </w:tc>
        <w:tc>
          <w:tcPr>
            <w:tcW w:w="1763" w:type="dxa"/>
            <w:tcBorders/>
            <w:shd w:fill="FFFFFF" w:val="clear"/>
            <w:vAlign w:val="center"/>
          </w:tcPr>
          <w:p>
            <w:pPr>
              <w:pStyle w:val="TableContents"/>
              <w:bidi w:val="0"/>
              <w:spacing w:before="0" w:after="283"/>
              <w:jc w:val="right"/>
              <w:rPr/>
            </w:pPr>
            <w:r>
              <w:rPr/>
              <w:t>10,025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689" w:name="xdx_988_eus-gaap--InterestExpense_c20250"/>
            <w:bookmarkEnd w:id="689"/>
          </w:p>
        </w:tc>
        <w:tc>
          <w:tcPr>
            <w:tcW w:w="1233" w:type="dxa"/>
            <w:tcBorders/>
            <w:shd w:fill="FFFFFF" w:val="clear"/>
            <w:vAlign w:val="center"/>
          </w:tcPr>
          <w:p>
            <w:pPr>
              <w:pStyle w:val="TableContents"/>
              <w:bidi w:val="0"/>
              <w:spacing w:before="0" w:after="283"/>
              <w:jc w:val="right"/>
              <w:rPr/>
            </w:pPr>
            <w:r>
              <w:rPr/>
              <w:t>18,636</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690" w:name="xdx_984_eus-gaap--InterestExpense_c20240"/>
            <w:bookmarkEnd w:id="690"/>
          </w:p>
        </w:tc>
        <w:tc>
          <w:tcPr>
            <w:tcW w:w="1233" w:type="dxa"/>
            <w:tcBorders/>
            <w:shd w:fill="FFFFFF" w:val="clear"/>
            <w:vAlign w:val="center"/>
          </w:tcPr>
          <w:p>
            <w:pPr>
              <w:pStyle w:val="TableContents"/>
              <w:bidi w:val="0"/>
              <w:spacing w:before="0" w:after="283"/>
              <w:jc w:val="right"/>
              <w:rPr/>
            </w:pPr>
            <w:r>
              <w:rPr/>
              <w:t>46,375</w:t>
            </w:r>
          </w:p>
        </w:tc>
        <w:tc>
          <w:tcPr>
            <w:tcW w:w="115" w:type="dxa"/>
            <w:tcBorders/>
            <w:shd w:fill="FFFFFF" w:val="clear"/>
            <w:vAlign w:val="center"/>
          </w:tcPr>
          <w:p>
            <w:pPr>
              <w:pStyle w:val="TableContents"/>
              <w:bidi w:val="0"/>
              <w:spacing w:before="0" w:after="283"/>
              <w:jc w:val="left"/>
              <w:rPr/>
            </w:pPr>
            <w:r>
              <w:rPr/>
              <w:t> </w:t>
            </w:r>
          </w:p>
        </w:tc>
      </w:tr>
      <w:tr>
        <w:trPr/>
        <w:tc>
          <w:tcPr>
            <w:tcW w:w="2855" w:type="dxa"/>
            <w:tcBorders/>
            <w:shd w:fill="EEEEEE" w:val="clear"/>
            <w:vAlign w:val="center"/>
          </w:tcPr>
          <w:p>
            <w:pPr>
              <w:pStyle w:val="TableContents"/>
              <w:bidi w:val="0"/>
              <w:spacing w:before="0" w:after="283"/>
              <w:jc w:val="left"/>
              <w:rPr/>
            </w:pPr>
            <w:r>
              <w:rPr/>
              <w:t>Amortization of debt discount</w:t>
            </w:r>
          </w:p>
        </w:tc>
        <w:tc>
          <w:tcPr>
            <w:tcW w:w="60" w:type="dxa"/>
            <w:tcBorders/>
            <w:shd w:fill="EEEEEE" w:val="clear"/>
            <w:vAlign w:val="center"/>
          </w:tcPr>
          <w:p>
            <w:pPr>
              <w:pStyle w:val="TableContents"/>
              <w:bidi w:val="0"/>
              <w:spacing w:before="0" w:after="283"/>
              <w:jc w:val="left"/>
              <w:rPr/>
            </w:pPr>
            <w:r>
              <w:rPr/>
              <w:t> </w:t>
            </w:r>
          </w:p>
        </w:tc>
        <w:tc>
          <w:tcPr>
            <w:tcW w:w="36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91" w:name="xdx_98F_eus-gaap--InterestExpense_d0_c20"/>
            <w:bookmarkEnd w:id="691"/>
          </w:p>
        </w:tc>
        <w:tc>
          <w:tcPr>
            <w:tcW w:w="363"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36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92" w:name="xdx_982_eus-gaap--InterestExpense_d0_c20"/>
            <w:bookmarkEnd w:id="692"/>
          </w:p>
        </w:tc>
        <w:tc>
          <w:tcPr>
            <w:tcW w:w="1763"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93" w:name="xdx_984_eus-gaap--InterestExpense_d0_c20"/>
            <w:bookmarkEnd w:id="693"/>
          </w:p>
        </w:tc>
        <w:tc>
          <w:tcPr>
            <w:tcW w:w="1233"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2"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21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94" w:name="xdx_985_eus-gaap--InterestExpense_c20240"/>
            <w:bookmarkEnd w:id="694"/>
          </w:p>
        </w:tc>
        <w:tc>
          <w:tcPr>
            <w:tcW w:w="1233" w:type="dxa"/>
            <w:tcBorders>
              <w:bottom w:val="single" w:sz="8" w:space="0" w:color="000000"/>
            </w:tcBorders>
            <w:shd w:fill="EEEEEE" w:val="clear"/>
            <w:tcMar>
              <w:bottom w:w="28" w:type="dxa"/>
            </w:tcMar>
            <w:vAlign w:val="center"/>
          </w:tcPr>
          <w:p>
            <w:pPr>
              <w:pStyle w:val="TableContents"/>
              <w:bidi w:val="0"/>
              <w:spacing w:before="0" w:after="283"/>
              <w:jc w:val="right"/>
              <w:rPr/>
            </w:pPr>
            <w:r>
              <w:rPr/>
              <w:t>125,906</w:t>
            </w:r>
          </w:p>
        </w:tc>
        <w:tc>
          <w:tcPr>
            <w:tcW w:w="115" w:type="dxa"/>
            <w:tcBorders/>
            <w:shd w:fill="EEEEEE"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95" w:name="xdx_98E_eus-gaap--InterestExpense_d0_c20"/>
            <w:bookmarkEnd w:id="695"/>
          </w:p>
        </w:tc>
        <w:tc>
          <w:tcPr>
            <w:tcW w:w="36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96" w:name="xdx_98B_eus-gaap--InterestExpense_c20250"/>
            <w:bookmarkEnd w:id="696"/>
          </w:p>
        </w:tc>
        <w:tc>
          <w:tcPr>
            <w:tcW w:w="1763" w:type="dxa"/>
            <w:tcBorders>
              <w:bottom w:val="double" w:sz="6" w:space="0" w:color="000000"/>
            </w:tcBorders>
            <w:shd w:fill="FFFFFF" w:val="clear"/>
            <w:tcMar>
              <w:bottom w:w="28" w:type="dxa"/>
            </w:tcMar>
            <w:vAlign w:val="center"/>
          </w:tcPr>
          <w:p>
            <w:pPr>
              <w:pStyle w:val="TableContents"/>
              <w:bidi w:val="0"/>
              <w:spacing w:before="0" w:after="283"/>
              <w:jc w:val="right"/>
              <w:rPr/>
            </w:pPr>
            <w:r>
              <w:rPr/>
              <w:t>81,904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97" w:name="xdx_988_eus-gaap--InterestExpense_c20250"/>
            <w:bookmarkEnd w:id="697"/>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pPr>
            <w:r>
              <w:rPr/>
              <w:t>132,143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98" w:name="xdx_988_eus-gaap--InterestExpense_c20240"/>
            <w:bookmarkEnd w:id="698"/>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pPr>
            <w:r>
              <w:rPr/>
              <w:t>353,330</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99" w:name="xdx_8AB_zsv6I2H40V2e"/>
      <w:bookmarkEnd w:id="69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2022, in connection with the acquisition of Anivia Limited, the Company and JPM entered into an amendment to the Pledge and Security Agreement, pursuant to which the Company pledged 65% of its ownership interest in Anivia Limited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entered into a second amendment to the credit agreement and consent (the “Second Amendment to the Credit Agreement”), originally dated November 12, 2021, as amended, with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grows or cultivates cannabis; it being acknowledged, however, that the Company does not generally conduct due diligence on its individual retail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2024, the Company entered into a third amendment (the “Third Amendment”) to that certain credit agreement, initially entered into by and among the Company and its subsidiaries and JPMorgan Chase Bank, N.A., as administrative agent for the Lender and a lender (the “Administrative Agent” or “Lender”), on November 12, 2021 (the “Credit Agreement”). The Third Amendment to the Credit Agreement amended, among other things, (i) the defined term “Aggregate Revolving Commitment” to mean $</w:t>
      </w:r>
      <w:bookmarkStart w:id="700" w:name="xdx_904_eus-gaap--LineOfCreditFacilityMa"/>
      <w:bookmarkEnd w:id="700"/>
      <w:r>
        <w:rPr>
          <w:rFonts w:ascii="Times New Roman;Times;Serif" w:hAnsi="Times New Roman;Times;Serif"/>
          <w:b w:val="false"/>
          <w:i w:val="false"/>
          <w:caps w:val="false"/>
          <w:smallCaps w:val="false"/>
          <w:sz w:val="20"/>
        </w:rPr>
        <w:t>15,000,000, and (ii) extended the maturity date to “November 8, 2027 or any earlier date on which the Revolving Commitments are reduced to zero or otherwise terminated pursuant to the terms hereof.” The borrowing rate is SOFR plus 2.25% to 2.50% depending on utilization of the borrowing availability.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2025, the Company repaid in full the outstanding amount resulting in the termination of the ABL.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June 30, 2025, the outstanding amount of the ABL, which was classified as current revolving loan payable, including interest payable, was $</w:t>
      </w:r>
      <w:bookmarkStart w:id="701" w:name="xdx_903_eus-gaap--LineOfCredit_iI_c20260"/>
      <w:bookmarkEnd w:id="701"/>
      <w:r>
        <w:rPr>
          <w:rFonts w:ascii="Times New Roman;Times;Serif" w:hAnsi="Times New Roman;Times;Serif"/>
          <w:b w:val="false"/>
          <w:i w:val="false"/>
          <w:caps w:val="false"/>
          <w:smallCaps w:val="false"/>
          <w:sz w:val="20"/>
        </w:rPr>
        <w:t>0 and $</w:t>
      </w:r>
      <w:bookmarkStart w:id="702" w:name="xdx_900_eus-gaap--LineOfCredit_iI_c20250"/>
      <w:bookmarkEnd w:id="702"/>
      <w:r>
        <w:rPr>
          <w:rFonts w:ascii="Times New Roman;Times;Serif" w:hAnsi="Times New Roman;Times;Serif"/>
          <w:b w:val="false"/>
          <w:i w:val="false"/>
          <w:caps w:val="false"/>
          <w:smallCaps w:val="false"/>
          <w:sz w:val="20"/>
        </w:rPr>
        <w:t>3,737,602,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Short-term loan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three and nine months ended March 31, 2026, the Company did not record interest expense as the On-demand Loan 2 had been fully paid off. For the three and nine months ended March 31, 2025, the Company recorded interest expense of $</w:t>
      </w:r>
      <w:bookmarkStart w:id="703" w:name="xdx_90B_eus-gaap--InterestExpenseDebt_c2"/>
      <w:bookmarkEnd w:id="703"/>
      <w:r>
        <w:rPr>
          <w:rFonts w:ascii="Times New Roman;Times;Serif" w:hAnsi="Times New Roman;Times;Serif"/>
          <w:b w:val="false"/>
          <w:i w:val="false"/>
          <w:caps w:val="false"/>
          <w:smallCaps w:val="false"/>
          <w:sz w:val="20"/>
        </w:rPr>
        <w:t>0 and $</w:t>
      </w:r>
      <w:bookmarkStart w:id="704" w:name="xdx_903_eus-gaap--InterestExpenseDebt_c2"/>
      <w:bookmarkEnd w:id="704"/>
      <w:r>
        <w:rPr>
          <w:rFonts w:ascii="Times New Roman;Times;Serif" w:hAnsi="Times New Roman;Times;Serif"/>
          <w:b w:val="false"/>
          <w:i w:val="false"/>
          <w:caps w:val="false"/>
          <w:smallCaps w:val="false"/>
          <w:sz w:val="20"/>
        </w:rPr>
        <w:t>3,733, respectively.</w:t>
      </w:r>
    </w:p>
    <w:p>
      <w:pPr>
        <w:pStyle w:val="TextBody"/>
        <w:bidi w:val="0"/>
        <w:spacing w:before="0" w:after="0"/>
        <w:ind w:left="0" w:right="0" w:hanging="0"/>
        <w:jc w:val="both"/>
        <w:rPr>
          <w:caps w:val="false"/>
          <w:smallCaps w:val="false"/>
        </w:rPr>
      </w:pPr>
      <w:bookmarkStart w:id="705" w:name="xdx_234_zuPxGsKn6879"/>
      <w:bookmarkEnd w:id="705"/>
      <w:r>
        <w:rPr>
          <w:caps w:val="false"/>
          <w:smallCaps w:val="false"/>
        </w:rPr>
        <w:t> </w:t>
      </w:r>
    </w:p>
    <w:p>
      <w:pPr>
        <w:pStyle w:val="TextBody"/>
        <w:bidi w:val="0"/>
        <w:spacing w:before="0" w:after="0"/>
        <w:ind w:left="0" w:right="0" w:hanging="0"/>
        <w:jc w:val="both"/>
        <w:rPr>
          <w:caps w:val="false"/>
          <w:smallCaps w:val="false"/>
        </w:rPr>
      </w:pPr>
      <w:bookmarkStart w:id="706" w:name="xdx_238_zYXzxXcpgrH8"/>
      <w:bookmarkEnd w:id="706"/>
      <w:r>
        <w:rPr>
          <w:caps w:val="false"/>
          <w:smallCaps w:val="false"/>
        </w:rPr>
        <w:t> </w:t>
      </w:r>
    </w:p>
    <w:p>
      <w:pPr>
        <w:pStyle w:val="TextBody"/>
        <w:bidi w:val="0"/>
        <w:spacing w:before="0" w:after="0"/>
        <w:ind w:left="0" w:right="0" w:hanging="0"/>
        <w:jc w:val="both"/>
        <w:rPr>
          <w:caps w:val="false"/>
          <w:smallCaps w:val="false"/>
        </w:rPr>
      </w:pPr>
      <w:bookmarkStart w:id="707" w:name="xdx_231_zSrRuFaKMpR9"/>
      <w:bookmarkEnd w:id="70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Company borrowed $500,000 as a short-term loan (“RP Loan 2”) from an entity owned by Mr. Allan Huang, one of the majority shareholders of the Company. The RP Loan 2 bears no interest and is due upon receipt of request of repayment. As of March 31, 2026, The RP Loan 2 had been fully paid 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issued three promissory notes totaling $</w:t>
      </w:r>
      <w:bookmarkStart w:id="708" w:name="xdx_909_eus-gaap--ProceedsFromNotesPayab"/>
      <w:bookmarkEnd w:id="708"/>
      <w:r>
        <w:rPr>
          <w:rFonts w:ascii="Times New Roman;Times;Serif" w:hAnsi="Times New Roman;Times;Serif"/>
          <w:b w:val="false"/>
          <w:i w:val="false"/>
          <w:caps w:val="false"/>
          <w:smallCaps w:val="false"/>
          <w:sz w:val="20"/>
        </w:rPr>
        <w:t>2 million (the “Promissory Notes”) in exchange for gross proceeds of $</w:t>
      </w:r>
      <w:bookmarkStart w:id="709" w:name="xdx_900_eus-gaap--NotesPayable_iI_pn6n6_"/>
      <w:bookmarkEnd w:id="709"/>
      <w:r>
        <w:rPr>
          <w:rFonts w:ascii="Times New Roman;Times;Serif" w:hAnsi="Times New Roman;Times;Serif"/>
          <w:b w:val="false"/>
          <w:i w:val="false"/>
          <w:caps w:val="false"/>
          <w:smallCaps w:val="false"/>
          <w:sz w:val="20"/>
        </w:rPr>
        <w:t>2 million. The Promissory Notes were entered into with certain investors and related parties, including an entity controlled by the Company’s CEO, Chenlong Tan. The Promissory Notes bear 6.5% interest per annum and are repayable upon the earlier of 90 days or the Company’s entry into new financing arrangements. The funds received in connection with the Company’s issuance of the Promissory Notes was used to pay off the Company’s existing ABL with JPMorgan Chase Bank, N.A. (“JPMorgan”). For the three and nine months ended March 31, 2026, the Company recorded interest expense of $</w:t>
      </w:r>
      <w:bookmarkStart w:id="710" w:name="xdx_90A_eus-gaap--InterestExpenseDebt_c2"/>
      <w:bookmarkEnd w:id="710"/>
      <w:r>
        <w:rPr>
          <w:rFonts w:ascii="Times New Roman;Times;Serif" w:hAnsi="Times New Roman;Times;Serif"/>
          <w:b w:val="false"/>
          <w:i w:val="false"/>
          <w:caps w:val="false"/>
          <w:smallCaps w:val="false"/>
          <w:sz w:val="20"/>
        </w:rPr>
        <w:t>16,072 and $</w:t>
      </w:r>
      <w:bookmarkStart w:id="711" w:name="xdx_90D_eus-gaap--InterestExpenseDebt_c2"/>
      <w:bookmarkEnd w:id="711"/>
      <w:r>
        <w:rPr>
          <w:rFonts w:ascii="Times New Roman;Times;Serif" w:hAnsi="Times New Roman;Times;Serif"/>
          <w:b w:val="false"/>
          <w:i w:val="false"/>
          <w:caps w:val="false"/>
          <w:smallCaps w:val="false"/>
          <w:sz w:val="20"/>
        </w:rPr>
        <w:t>29,250, respectively. As of March 31, 2026, the On-demand Loan 2 had been fully paid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2" w:name="xdx_809_eus-gaap--RelatedPartyTransactio"/>
      <w:bookmarkEnd w:id="712"/>
      <w:r>
        <w:rPr>
          <w:rFonts w:ascii="Times New Roman;Times;Serif" w:hAnsi="Times New Roman;Times;Serif"/>
          <w:b/>
          <w:i w:val="false"/>
          <w:caps w:val="false"/>
          <w:smallCaps w:val="false"/>
          <w:sz w:val="20"/>
        </w:rPr>
        <w:t xml:space="preserve">Note 13 - </w:t>
      </w:r>
      <w:bookmarkStart w:id="713" w:name="xdx_820_zKYAM44yppc"/>
      <w:bookmarkEnd w:id="713"/>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Company borrowed $</w:t>
      </w:r>
      <w:bookmarkStart w:id="714" w:name="xdx_90F_eus-gaap--DebtInstrumentFaceAmou"/>
      <w:bookmarkEnd w:id="714"/>
      <w:r>
        <w:rPr>
          <w:rFonts w:ascii="Times New Roman;Times;Serif" w:hAnsi="Times New Roman;Times;Serif"/>
          <w:b w:val="false"/>
          <w:i w:val="false"/>
          <w:caps w:val="false"/>
          <w:smallCaps w:val="false"/>
          <w:sz w:val="20"/>
        </w:rPr>
        <w:t>500,000 as a short-term loan from an entity owned by Mr. Allan Huang, one of the majority shareholders of the Company. See Note 12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issued a Promissory Note in exchange for gross proceeds of $</w:t>
      </w:r>
      <w:bookmarkStart w:id="715" w:name="xdx_90D_eus-gaap--DebtInstrumentFaceAmou"/>
      <w:bookmarkEnd w:id="715"/>
      <w:r>
        <w:rPr>
          <w:rFonts w:ascii="Times New Roman;Times;Serif" w:hAnsi="Times New Roman;Times;Serif"/>
          <w:b w:val="false"/>
          <w:i w:val="false"/>
          <w:caps w:val="false"/>
          <w:smallCaps w:val="false"/>
          <w:sz w:val="20"/>
        </w:rPr>
        <w:t>550,000 to an entity controlled by the Company’s CEO, Chenlong Tan. See Note 12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Custom Cup Factory, Inc. (“CCF”) and Ms. Yi Yang, our new director appointed on June 6, 2025, entered into the Limited Liability Company Operating Agreement (the “Operating Agreement”) of United Package NV, LLC, a Nevada limited liability corporation (the “Joint Venture”). The Joint Venture will focus on the domestic production of packaging materials to serve the rapidly growing demands of U.S. businesses seeking reliable, sustainable, and cost-effective supply chain solutions without reliance on offshore manufacturing. See Note 3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Ms. Yang’s entity, Pacelor Inc. (“Pacelor”), manages a warehouse and provides fulfillment services for the Company and receives a monthly service fee, which fluctuates from month to month. Ms. Yang is the Founder and Chief Executive Officer of Pacelor. As a result, Pacelor has become a related party of the Company since June 6, 2025. For the three and nine months ended March 31, 2026, the Company received $</w:t>
      </w:r>
      <w:bookmarkStart w:id="716" w:name="xdx_90C_eus-gaap--CostOfRevenue_c2026010"/>
      <w:bookmarkEnd w:id="716"/>
      <w:r>
        <w:rPr>
          <w:rFonts w:ascii="Times New Roman;Times;Serif" w:hAnsi="Times New Roman;Times;Serif"/>
          <w:b w:val="false"/>
          <w:i w:val="false"/>
          <w:caps w:val="false"/>
          <w:smallCaps w:val="false"/>
          <w:sz w:val="20"/>
        </w:rPr>
        <w:t>925,209 and $</w:t>
      </w:r>
      <w:bookmarkStart w:id="717" w:name="xdx_90B_eus-gaap--CostOfRevenue_c2025070"/>
      <w:bookmarkEnd w:id="717"/>
      <w:r>
        <w:rPr>
          <w:rFonts w:ascii="Times New Roman;Times;Serif" w:hAnsi="Times New Roman;Times;Serif"/>
          <w:b w:val="false"/>
          <w:i w:val="false"/>
          <w:caps w:val="false"/>
          <w:smallCaps w:val="false"/>
          <w:sz w:val="20"/>
        </w:rPr>
        <w:t>2,193,126 in services from Pacelor. As of March 31, 2026 and June 30, 2025, the accounts payable to Pacelor was $</w:t>
      </w:r>
      <w:bookmarkStart w:id="718" w:name="xdx_90F_ecustom--AccountsPayablePrepayme"/>
      <w:bookmarkEnd w:id="718"/>
      <w:r>
        <w:rPr>
          <w:rFonts w:ascii="Times New Roman;Times;Serif" w:hAnsi="Times New Roman;Times;Serif"/>
          <w:b w:val="false"/>
          <w:i w:val="false"/>
          <w:caps w:val="false"/>
          <w:smallCaps w:val="false"/>
          <w:sz w:val="20"/>
        </w:rPr>
        <w:t>724,842 and $</w:t>
      </w:r>
      <w:bookmarkStart w:id="719" w:name="xdx_906_ecustom--AccountsPayablePrepayme"/>
      <w:bookmarkEnd w:id="719"/>
      <w:r>
        <w:rPr>
          <w:rFonts w:ascii="Times New Roman;Times;Serif" w:hAnsi="Times New Roman;Times;Serif"/>
          <w:b w:val="false"/>
          <w:i w:val="false"/>
          <w:caps w:val="false"/>
          <w:smallCaps w:val="false"/>
          <w:sz w:val="20"/>
        </w:rPr>
        <w:t>78,831, respectively. Ms. Yang’s other entity, Pacelor NV Inc. (“Pacelor NV”) also provides marketing services for the Company. As of March 31, 2026 and June 30, 2025, the outstanding accounts payable to Pacelor NV was $</w:t>
      </w:r>
      <w:bookmarkStart w:id="720" w:name="xdx_900_eus-gaap--AccountsPayableCurrent"/>
      <w:bookmarkEnd w:id="720"/>
      <w:r>
        <w:rPr>
          <w:rFonts w:ascii="Times New Roman;Times;Serif" w:hAnsi="Times New Roman;Times;Serif"/>
          <w:b w:val="false"/>
          <w:i w:val="false"/>
          <w:caps w:val="false"/>
          <w:smallCaps w:val="false"/>
          <w:sz w:val="20"/>
        </w:rPr>
        <w:t>315,019 and $</w:t>
      </w:r>
      <w:bookmarkStart w:id="721" w:name="xdx_905_eus-gaap--AccountsPayableCurrent"/>
      <w:bookmarkEnd w:id="721"/>
      <w:r>
        <w:rPr>
          <w:rFonts w:ascii="Times New Roman;Times;Serif" w:hAnsi="Times New Roman;Times;Serif"/>
          <w:b w:val="false"/>
          <w:i w:val="false"/>
          <w:caps w:val="false"/>
          <w:smallCaps w:val="false"/>
          <w:sz w:val="20"/>
        </w:rPr>
        <w:t>315,019,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22" w:name="xdx_808_eus-gaap--IncomeTaxDisclosureTex"/>
      <w:bookmarkEnd w:id="722"/>
      <w:r>
        <w:rPr>
          <w:rFonts w:ascii="Times New Roman;Times;Serif" w:hAnsi="Times New Roman;Times;Serif"/>
          <w:b/>
          <w:i w:val="false"/>
          <w:caps w:val="false"/>
          <w:smallCaps w:val="false"/>
          <w:sz w:val="20"/>
        </w:rPr>
        <w:t xml:space="preserve">Note 14 – </w:t>
      </w:r>
      <w:bookmarkStart w:id="723" w:name="xdx_82A_zgyfcTIA5fng"/>
      <w:bookmarkEnd w:id="723"/>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corporate income taxes in the United States, upon completion of the acquisition of Anivia in February 2022, the Company is subject to corporate income taxes in People’s Republic of China (“PRC”). Anivia and its subsidiaries are subject to BVI or Hong Kong income taxes but did not have any operations in those jurisdictions for the year ended June 30, 2022. The Company’s subsidiary in China, Dayourenzai (Shenzhen) Technology Co., Ltd. (“WFOE”), is subject to the Global Intangible Low-Taxed Income (or GILTI) Tax. WFOE is subject to 5% tax rate in PRC until December 31, 2027. Since WFOE had losses during the nine months ended March 31, 2026 and 2025 and the year ended June 30, 2025, no GILTI tax was recorded as of March 31, 2026 and June 30, 2025. The Company is not eligible for the GILTI high-tax exclusion. In addition, as a result of the acquisition, the Company recognized goodwill in the amount of $</w:t>
      </w:r>
      <w:bookmarkStart w:id="724" w:name="xdx_904_eus-gaap--Goodwill_iI_c20260331_"/>
      <w:bookmarkEnd w:id="724"/>
      <w:r>
        <w:rPr>
          <w:rFonts w:ascii="Times New Roman;Times;Serif" w:hAnsi="Times New Roman;Times;Serif"/>
          <w:b w:val="false"/>
          <w:i w:val="false"/>
          <w:caps w:val="false"/>
          <w:smallCaps w:val="false"/>
          <w:sz w:val="20"/>
        </w:rPr>
        <w:t>3,034,110. Since the acquisition was a stock acquisition, the goodwill is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March 31, 2026 and 2025, as a result of the Company’s inability to establish a reliable estimate for annual effective tax rate, the Company calculated income tax expense using the actual effective tax rate year to date, as opposed to the estimated annual effective tax rate, as provided in Accounting Standards Codification (ASC) 740-270-30-18.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March 31, 2026, the Company had income tax benefit of $</w:t>
      </w:r>
      <w:bookmarkStart w:id="725" w:name="xdx_90F_eus-gaap--IncomeTaxExpenseBenefi"/>
      <w:bookmarkEnd w:id="725"/>
      <w:r>
        <w:rPr>
          <w:rFonts w:ascii="Times New Roman;Times;Serif" w:hAnsi="Times New Roman;Times;Serif"/>
          <w:b w:val="false"/>
          <w:i w:val="false"/>
          <w:caps w:val="false"/>
          <w:smallCaps w:val="false"/>
          <w:sz w:val="20"/>
        </w:rPr>
        <w:t>326,502 and $</w:t>
      </w:r>
      <w:bookmarkStart w:id="726" w:name="xdx_90B_eus-gaap--IncomeTaxExpenseBenefi"/>
      <w:bookmarkEnd w:id="726"/>
      <w:r>
        <w:rPr>
          <w:rFonts w:ascii="Times New Roman;Times;Serif" w:hAnsi="Times New Roman;Times;Serif"/>
          <w:b w:val="false"/>
          <w:i w:val="false"/>
          <w:caps w:val="false"/>
          <w:smallCaps w:val="false"/>
          <w:sz w:val="20"/>
        </w:rPr>
        <w:t>1,839,874, respectively. For the three and nine months ended March 31, 2025, the Company had income tax expense of $</w:t>
      </w:r>
      <w:bookmarkStart w:id="727" w:name="xdx_90C_eus-gaap--IncomeTaxExpenseBenefi"/>
      <w:bookmarkEnd w:id="727"/>
      <w:r>
        <w:rPr>
          <w:rFonts w:ascii="Times New Roman;Times;Serif" w:hAnsi="Times New Roman;Times;Serif"/>
          <w:b w:val="false"/>
          <w:i w:val="false"/>
          <w:caps w:val="false"/>
          <w:smallCaps w:val="false"/>
          <w:sz w:val="20"/>
        </w:rPr>
        <w:t>6,364 and income tax benefit of $</w:t>
      </w:r>
      <w:bookmarkStart w:id="728" w:name="xdx_900_eus-gaap--IncomeTaxExpenseBenefi"/>
      <w:bookmarkEnd w:id="728"/>
      <w:r>
        <w:rPr>
          <w:rFonts w:ascii="Times New Roman;Times;Serif" w:hAnsi="Times New Roman;Times;Serif"/>
          <w:b w:val="false"/>
          <w:i w:val="false"/>
          <w:caps w:val="false"/>
          <w:smallCaps w:val="false"/>
          <w:sz w:val="20"/>
        </w:rPr>
        <w:t>637,108,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income tax rate was </w:t>
      </w:r>
      <w:bookmarkStart w:id="729" w:name="xdx_909_ecustom--EffectiveIncomeTaxRateC"/>
      <w:bookmarkEnd w:id="729"/>
      <w:r>
        <w:rPr>
          <w:rFonts w:ascii="Times New Roman;Times;Serif" w:hAnsi="Times New Roman;Times;Serif"/>
          <w:b w:val="false"/>
          <w:i w:val="false"/>
          <w:caps w:val="false"/>
          <w:smallCaps w:val="false"/>
          <w:sz w:val="20"/>
        </w:rPr>
        <w:t xml:space="preserve">21.82% and </w:t>
      </w:r>
      <w:bookmarkStart w:id="730" w:name="xdx_90E_ecustom--EffectiveIncomeTaxRateC"/>
      <w:bookmarkEnd w:id="730"/>
      <w:r>
        <w:rPr>
          <w:rFonts w:ascii="Times New Roman;Times;Serif" w:hAnsi="Times New Roman;Times;Serif"/>
          <w:b w:val="false"/>
          <w:i w:val="false"/>
          <w:caps w:val="false"/>
          <w:smallCaps w:val="false"/>
          <w:sz w:val="20"/>
        </w:rPr>
        <w:t>18.50% for the nine months ended March 31, 2026 and 2025, respectively. The Company’s effective tax rate differs from the U.S. statutory rate of 21% primarily due the combination of U.S. state income tax deduction, other permanent differences and the impact of foreign jurisdictions.</w:t>
      </w:r>
    </w:p>
    <w:p>
      <w:pPr>
        <w:pStyle w:val="TextBody"/>
        <w:bidi w:val="0"/>
        <w:spacing w:before="0" w:after="0"/>
        <w:ind w:left="0" w:right="0" w:hanging="0"/>
        <w:jc w:val="both"/>
        <w:rPr>
          <w:caps w:val="false"/>
          <w:smallCaps w:val="false"/>
        </w:rPr>
      </w:pPr>
      <w:bookmarkStart w:id="731" w:name="xdx_23C_zh7rVpGjiwb4"/>
      <w:bookmarkEnd w:id="731"/>
      <w:r>
        <w:rPr>
          <w:caps w:val="false"/>
          <w:smallCaps w:val="false"/>
        </w:rPr>
        <w:t> </w:t>
      </w:r>
    </w:p>
    <w:p>
      <w:pPr>
        <w:pStyle w:val="TextBody"/>
        <w:bidi w:val="0"/>
        <w:spacing w:before="0" w:after="0"/>
        <w:ind w:left="0" w:right="0" w:hanging="0"/>
        <w:jc w:val="both"/>
        <w:rPr>
          <w:caps w:val="false"/>
          <w:smallCaps w:val="false"/>
        </w:rPr>
      </w:pPr>
      <w:bookmarkStart w:id="732" w:name="xdx_23B_z5VKKlicerUe"/>
      <w:bookmarkEnd w:id="732"/>
      <w:r>
        <w:rPr>
          <w:caps w:val="false"/>
          <w:smallCaps w:val="false"/>
        </w:rPr>
        <w:t> </w:t>
      </w:r>
    </w:p>
    <w:p>
      <w:pPr>
        <w:pStyle w:val="TextBody"/>
        <w:bidi w:val="0"/>
        <w:spacing w:before="0" w:after="0"/>
        <w:ind w:left="0" w:right="0" w:hanging="0"/>
        <w:jc w:val="both"/>
        <w:rPr>
          <w:caps w:val="false"/>
          <w:smallCaps w:val="false"/>
        </w:rPr>
      </w:pPr>
      <w:bookmarkStart w:id="733" w:name="xdx_236_zkDO2jGuewdb"/>
      <w:bookmarkEnd w:id="73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prepaid income taxes to US tax authorities was $</w:t>
      </w:r>
      <w:bookmarkStart w:id="734" w:name="xdx_90A_eus-gaap--PrepaidTaxes_iI_pp0p0_"/>
      <w:bookmarkEnd w:id="734"/>
      <w:r>
        <w:rPr>
          <w:rFonts w:ascii="Times New Roman;Times;Serif" w:hAnsi="Times New Roman;Times;Serif"/>
          <w:b w:val="false"/>
          <w:i w:val="false"/>
          <w:caps w:val="false"/>
          <w:smallCaps w:val="false"/>
          <w:sz w:val="20"/>
        </w:rPr>
        <w:t>95,328. As of June 30, 2025, prepaid income taxes to US tax authorities and income tax payable to Chinese tax authorities was $</w:t>
      </w:r>
      <w:bookmarkStart w:id="735" w:name="xdx_90C_eus-gaap--AccruedIncomeTaxes_iI_"/>
      <w:bookmarkEnd w:id="735"/>
      <w:r>
        <w:rPr>
          <w:rFonts w:ascii="Times New Roman;Times;Serif" w:hAnsi="Times New Roman;Times;Serif"/>
          <w:b w:val="false"/>
          <w:i w:val="false"/>
          <w:caps w:val="false"/>
          <w:smallCaps w:val="false"/>
          <w:sz w:val="20"/>
        </w:rPr>
        <w:t>19,073 and $</w:t>
      </w:r>
      <w:bookmarkStart w:id="736" w:name="xdx_909_eus-gaap--AccruedIncomeTaxes_iI_"/>
      <w:bookmarkEnd w:id="736"/>
      <w:r>
        <w:rPr>
          <w:rFonts w:ascii="Times New Roman;Times;Serif" w:hAnsi="Times New Roman;Times;Serif"/>
          <w:b w:val="false"/>
          <w:i w:val="false"/>
          <w:caps w:val="false"/>
          <w:smallCaps w:val="false"/>
          <w:sz w:val="20"/>
        </w:rPr>
        <w:t>280,155,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which give rise to significant portions of the deferred taxes are summarized as follows:</w:t>
      </w:r>
    </w:p>
    <w:p>
      <w:pPr>
        <w:pStyle w:val="Normal"/>
        <w:bidi w:val="0"/>
        <w:spacing w:before="0" w:after="0"/>
        <w:jc w:val="left"/>
        <w:rPr>
          <w:sz w:val="4"/>
          <w:szCs w:val="4"/>
        </w:rPr>
      </w:pPr>
      <w:r>
        <w:rPr>
          <w:sz w:val="4"/>
          <w:szCs w:val="4"/>
        </w:rPr>
      </w:r>
      <w:bookmarkStart w:id="737" w:name="xdx_894_eus-gaap--ScheduleOfDeferredTaxA"/>
      <w:bookmarkStart w:id="738" w:name="xdx_894_eus-gaap--ScheduleOfDeferredTaxA"/>
      <w:bookmarkEnd w:id="738"/>
    </w:p>
    <w:tbl>
      <w:tblPr>
        <w:tblW w:w="5981" w:type="dxa"/>
        <w:jc w:val="left"/>
        <w:tblInd w:w="0" w:type="dxa"/>
        <w:tblLayout w:type="fixed"/>
        <w:tblCellMar>
          <w:top w:w="0" w:type="dxa"/>
          <w:left w:w="0" w:type="dxa"/>
          <w:bottom w:w="0" w:type="dxa"/>
          <w:right w:w="0" w:type="dxa"/>
        </w:tblCellMar>
      </w:tblPr>
      <w:tblGrid>
        <w:gridCol w:w="2825"/>
        <w:gridCol w:w="60"/>
        <w:gridCol w:w="185"/>
        <w:gridCol w:w="1298"/>
        <w:gridCol w:w="125"/>
        <w:gridCol w:w="60"/>
        <w:gridCol w:w="162"/>
        <w:gridCol w:w="1139"/>
        <w:gridCol w:w="127"/>
      </w:tblGrid>
      <w:tr>
        <w:trPr/>
        <w:tc>
          <w:tcPr>
            <w:tcW w:w="2825" w:type="dxa"/>
            <w:tcBorders/>
            <w:vAlign w:val="center"/>
          </w:tcPr>
          <w:p>
            <w:pPr>
              <w:pStyle w:val="TableContents"/>
              <w:bidi w:val="0"/>
              <w:spacing w:before="0" w:after="283"/>
              <w:jc w:val="left"/>
              <w:rPr/>
            </w:pPr>
            <w:bookmarkStart w:id="739" w:name="xdx_8BC_zRNnVfRbRa41"/>
            <w:bookmarkEnd w:id="739"/>
            <w:r>
              <w:rPr/>
              <w:t>Schedule of deferred taxes</w:t>
            </w:r>
          </w:p>
        </w:tc>
        <w:tc>
          <w:tcPr>
            <w:tcW w:w="60" w:type="dxa"/>
            <w:tcBorders/>
            <w:vAlign w:val="center"/>
          </w:tcPr>
          <w:p>
            <w:pPr>
              <w:pStyle w:val="TableContents"/>
              <w:bidi w:val="0"/>
              <w:spacing w:before="0" w:after="283"/>
              <w:jc w:val="left"/>
              <w:rPr/>
            </w:pPr>
            <w:r>
              <w:rPr/>
              <w:t> </w:t>
            </w:r>
            <w:bookmarkStart w:id="740" w:name="xdx_492_20260331"/>
            <w:bookmarkEnd w:id="740"/>
          </w:p>
        </w:tc>
        <w:tc>
          <w:tcPr>
            <w:tcW w:w="160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41" w:name="xdx_493_20250630"/>
            <w:bookmarkEnd w:id="741"/>
          </w:p>
        </w:tc>
        <w:tc>
          <w:tcPr>
            <w:tcW w:w="1428" w:type="dxa"/>
            <w:gridSpan w:val="3"/>
            <w:tcBorders/>
            <w:vAlign w:val="center"/>
          </w:tcPr>
          <w:p>
            <w:pPr>
              <w:pStyle w:val="TableContents"/>
              <w:bidi w:val="0"/>
              <w:spacing w:before="0" w:after="283"/>
              <w:jc w:val="center"/>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142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2025</w:t>
            </w:r>
            <w:bookmarkStart w:id="742" w:name="xdx_40C_eus-gaap--DeferredTaxAssetsNetAb"/>
            <w:bookmarkEnd w:id="742"/>
          </w:p>
        </w:tc>
      </w:tr>
      <w:tr>
        <w:trPr/>
        <w:tc>
          <w:tcPr>
            <w:tcW w:w="2825" w:type="dxa"/>
            <w:tcBorders/>
            <w:shd w:fill="EEEEEE" w:val="clear"/>
            <w:vAlign w:val="center"/>
          </w:tcPr>
          <w:p>
            <w:pPr>
              <w:pStyle w:val="TableContents"/>
              <w:bidi w:val="0"/>
              <w:spacing w:before="0" w:after="283"/>
              <w:jc w:val="left"/>
              <w:rPr>
                <w:b/>
              </w:rPr>
            </w:pPr>
            <w:r>
              <w:rPr>
                <w:b/>
              </w:rPr>
              <w:t>Deferred tax assets</w:t>
            </w:r>
          </w:p>
        </w:tc>
        <w:tc>
          <w:tcPr>
            <w:tcW w:w="60" w:type="dxa"/>
            <w:tcBorders/>
            <w:shd w:fill="EEEEEE" w:val="clear"/>
            <w:vAlign w:val="center"/>
          </w:tcPr>
          <w:p>
            <w:pPr>
              <w:pStyle w:val="TableContents"/>
              <w:bidi w:val="0"/>
              <w:spacing w:before="0" w:after="283"/>
              <w:jc w:val="left"/>
              <w:rPr/>
            </w:pPr>
            <w:r>
              <w:rPr/>
              <w:t> </w:t>
            </w:r>
          </w:p>
        </w:tc>
        <w:tc>
          <w:tcPr>
            <w:tcW w:w="185"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1139" w:type="dxa"/>
            <w:tcBorders/>
            <w:shd w:fill="EEEEEE" w:val="clear"/>
            <w:vAlign w:val="center"/>
          </w:tcPr>
          <w:p>
            <w:pPr>
              <w:pStyle w:val="TableContents"/>
              <w:bidi w:val="0"/>
              <w:spacing w:before="0" w:after="283"/>
              <w:jc w:val="right"/>
              <w:rPr/>
            </w:pPr>
            <w:r>
              <w:rPr/>
              <w:t> </w:t>
            </w:r>
          </w:p>
        </w:tc>
        <w:tc>
          <w:tcPr>
            <w:tcW w:w="127" w:type="dxa"/>
            <w:tcBorders/>
            <w:shd w:fill="EEEEEE" w:val="clear"/>
            <w:vAlign w:val="center"/>
          </w:tcPr>
          <w:p>
            <w:pPr>
              <w:pStyle w:val="TableContents"/>
              <w:bidi w:val="0"/>
              <w:spacing w:before="0" w:after="283"/>
              <w:jc w:val="left"/>
              <w:rPr/>
            </w:pPr>
            <w:r>
              <w:rPr/>
              <w:t> </w:t>
            </w:r>
            <w:bookmarkStart w:id="743" w:name="xdx_400_eus-gaap--DeferredTaxAssetsTaxDe"/>
            <w:bookmarkEnd w:id="743"/>
          </w:p>
        </w:tc>
      </w:tr>
      <w:tr>
        <w:trPr/>
        <w:tc>
          <w:tcPr>
            <w:tcW w:w="2825" w:type="dxa"/>
            <w:tcBorders/>
            <w:shd w:fill="FFFFFF" w:val="clear"/>
            <w:vAlign w:val="center"/>
          </w:tcPr>
          <w:p>
            <w:pPr>
              <w:pStyle w:val="TableContents"/>
              <w:bidi w:val="0"/>
              <w:spacing w:before="0" w:after="283"/>
              <w:jc w:val="left"/>
              <w:rPr/>
            </w:pPr>
            <w:r>
              <w:rPr/>
              <w:t>263A calculation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1298" w:type="dxa"/>
            <w:tcBorders/>
            <w:shd w:fill="FFFFFF" w:val="clear"/>
            <w:vAlign w:val="center"/>
          </w:tcPr>
          <w:p>
            <w:pPr>
              <w:pStyle w:val="TableContents"/>
              <w:bidi w:val="0"/>
              <w:spacing w:before="0" w:after="283"/>
              <w:jc w:val="right"/>
              <w:rPr/>
            </w:pPr>
            <w:r>
              <w:rPr/>
              <w:t>73,139</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1139" w:type="dxa"/>
            <w:tcBorders/>
            <w:shd w:fill="FFFFFF" w:val="clear"/>
            <w:vAlign w:val="center"/>
          </w:tcPr>
          <w:p>
            <w:pPr>
              <w:pStyle w:val="TableContents"/>
              <w:bidi w:val="0"/>
              <w:spacing w:before="0" w:after="283"/>
              <w:jc w:val="right"/>
              <w:rPr/>
            </w:pPr>
            <w:r>
              <w:rPr/>
              <w:t>256,568</w:t>
            </w:r>
          </w:p>
        </w:tc>
        <w:tc>
          <w:tcPr>
            <w:tcW w:w="127" w:type="dxa"/>
            <w:tcBorders/>
            <w:shd w:fill="FFFFFF" w:val="clear"/>
            <w:vAlign w:val="center"/>
          </w:tcPr>
          <w:p>
            <w:pPr>
              <w:pStyle w:val="TableContents"/>
              <w:bidi w:val="0"/>
              <w:spacing w:before="0" w:after="283"/>
              <w:jc w:val="left"/>
              <w:rPr/>
            </w:pPr>
            <w:r>
              <w:rPr/>
              <w:t> </w:t>
            </w:r>
            <w:bookmarkStart w:id="744" w:name="xdx_408_eus-gaap--DeferredTaxAssetsInven"/>
            <w:bookmarkEnd w:id="744"/>
          </w:p>
        </w:tc>
      </w:tr>
      <w:tr>
        <w:trPr/>
        <w:tc>
          <w:tcPr>
            <w:tcW w:w="2825" w:type="dxa"/>
            <w:tcBorders/>
            <w:shd w:fill="EEEEEE" w:val="clear"/>
            <w:vAlign w:val="center"/>
          </w:tcPr>
          <w:p>
            <w:pPr>
              <w:pStyle w:val="TableContents"/>
              <w:bidi w:val="0"/>
              <w:spacing w:before="0" w:after="283"/>
              <w:jc w:val="left"/>
              <w:rPr/>
            </w:pPr>
            <w:r>
              <w:rPr/>
              <w:t>Inventory reserve</w:t>
            </w:r>
          </w:p>
        </w:tc>
        <w:tc>
          <w:tcPr>
            <w:tcW w:w="60" w:type="dxa"/>
            <w:tcBorders/>
            <w:shd w:fill="EEEEEE" w:val="clear"/>
            <w:vAlign w:val="center"/>
          </w:tcPr>
          <w:p>
            <w:pPr>
              <w:pStyle w:val="TableContents"/>
              <w:bidi w:val="0"/>
              <w:spacing w:before="0" w:after="283"/>
              <w:jc w:val="left"/>
              <w:rPr/>
            </w:pPr>
            <w:r>
              <w:rPr/>
              <w:t> </w:t>
            </w:r>
          </w:p>
        </w:tc>
        <w:tc>
          <w:tcPr>
            <w:tcW w:w="185"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97,902</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1139" w:type="dxa"/>
            <w:tcBorders/>
            <w:shd w:fill="EEEEEE" w:val="clear"/>
            <w:vAlign w:val="center"/>
          </w:tcPr>
          <w:p>
            <w:pPr>
              <w:pStyle w:val="TableContents"/>
              <w:bidi w:val="0"/>
              <w:spacing w:before="0" w:after="283"/>
              <w:jc w:val="right"/>
              <w:rPr/>
            </w:pPr>
            <w:r>
              <w:rPr/>
              <w:t>83,180</w:t>
            </w:r>
          </w:p>
        </w:tc>
        <w:tc>
          <w:tcPr>
            <w:tcW w:w="127" w:type="dxa"/>
            <w:tcBorders/>
            <w:shd w:fill="EEEEEE" w:val="clear"/>
            <w:vAlign w:val="center"/>
          </w:tcPr>
          <w:p>
            <w:pPr>
              <w:pStyle w:val="TableContents"/>
              <w:bidi w:val="0"/>
              <w:spacing w:before="0" w:after="283"/>
              <w:jc w:val="left"/>
              <w:rPr/>
            </w:pPr>
            <w:r>
              <w:rPr/>
              <w:t> </w:t>
            </w:r>
            <w:bookmarkStart w:id="745" w:name="xdx_402_eus-gaap--DeferredTaxAssetsState"/>
            <w:bookmarkEnd w:id="745"/>
          </w:p>
        </w:tc>
      </w:tr>
      <w:tr>
        <w:trPr/>
        <w:tc>
          <w:tcPr>
            <w:tcW w:w="2825" w:type="dxa"/>
            <w:tcBorders/>
            <w:shd w:fill="FFFFFF" w:val="clear"/>
            <w:vAlign w:val="center"/>
          </w:tcPr>
          <w:p>
            <w:pPr>
              <w:pStyle w:val="TableContents"/>
              <w:bidi w:val="0"/>
              <w:spacing w:before="0" w:after="283"/>
              <w:jc w:val="left"/>
              <w:rPr/>
            </w:pPr>
            <w:r>
              <w:rPr/>
              <w:t>State taxes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3,797</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4,844</w:t>
            </w:r>
          </w:p>
        </w:tc>
        <w:tc>
          <w:tcPr>
            <w:tcW w:w="127" w:type="dxa"/>
            <w:tcBorders/>
            <w:shd w:fill="FFFFFF" w:val="clear"/>
            <w:vAlign w:val="center"/>
          </w:tcPr>
          <w:p>
            <w:pPr>
              <w:pStyle w:val="TableContents"/>
              <w:bidi w:val="0"/>
              <w:spacing w:before="0" w:after="283"/>
              <w:jc w:val="left"/>
              <w:rPr/>
            </w:pPr>
            <w:r>
              <w:rPr/>
              <w:t> </w:t>
            </w:r>
            <w:bookmarkStart w:id="746" w:name="xdx_405_eus-gaap--DeferredTaxAssetsTaxDe"/>
            <w:bookmarkEnd w:id="746"/>
          </w:p>
        </w:tc>
      </w:tr>
      <w:tr>
        <w:trPr/>
        <w:tc>
          <w:tcPr>
            <w:tcW w:w="2825" w:type="dxa"/>
            <w:tcBorders/>
            <w:shd w:fill="EEEEEE" w:val="clear"/>
            <w:vAlign w:val="center"/>
          </w:tcPr>
          <w:p>
            <w:pPr>
              <w:pStyle w:val="TableContents"/>
              <w:bidi w:val="0"/>
              <w:spacing w:before="0" w:after="283"/>
              <w:jc w:val="left"/>
              <w:rPr/>
            </w:pPr>
            <w:r>
              <w:rPr/>
              <w:t>Accrued expenses</w:t>
            </w:r>
          </w:p>
        </w:tc>
        <w:tc>
          <w:tcPr>
            <w:tcW w:w="60" w:type="dxa"/>
            <w:tcBorders/>
            <w:shd w:fill="EEEEEE" w:val="clear"/>
            <w:vAlign w:val="center"/>
          </w:tcPr>
          <w:p>
            <w:pPr>
              <w:pStyle w:val="TableContents"/>
              <w:bidi w:val="0"/>
              <w:spacing w:before="0" w:after="283"/>
              <w:jc w:val="left"/>
              <w:rPr/>
            </w:pPr>
            <w:r>
              <w:rPr/>
              <w:t> </w:t>
            </w:r>
          </w:p>
        </w:tc>
        <w:tc>
          <w:tcPr>
            <w:tcW w:w="185"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21,753</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1139" w:type="dxa"/>
            <w:tcBorders/>
            <w:shd w:fill="EEEEEE" w:val="clear"/>
            <w:vAlign w:val="center"/>
          </w:tcPr>
          <w:p>
            <w:pPr>
              <w:pStyle w:val="TableContents"/>
              <w:bidi w:val="0"/>
              <w:spacing w:before="0" w:after="283"/>
              <w:jc w:val="right"/>
              <w:rPr/>
            </w:pPr>
            <w:r>
              <w:rPr/>
              <w:t>21,750</w:t>
            </w:r>
          </w:p>
        </w:tc>
        <w:tc>
          <w:tcPr>
            <w:tcW w:w="127" w:type="dxa"/>
            <w:tcBorders/>
            <w:shd w:fill="EEEEEE" w:val="clear"/>
            <w:vAlign w:val="center"/>
          </w:tcPr>
          <w:p>
            <w:pPr>
              <w:pStyle w:val="TableContents"/>
              <w:bidi w:val="0"/>
              <w:spacing w:before="0" w:after="283"/>
              <w:jc w:val="left"/>
              <w:rPr/>
            </w:pPr>
            <w:r>
              <w:rPr/>
              <w:t> </w:t>
            </w:r>
            <w:bookmarkStart w:id="747" w:name="xdx_40A_ecustom--DeferredTaxAssetsLeaseA"/>
            <w:bookmarkEnd w:id="747"/>
          </w:p>
        </w:tc>
      </w:tr>
      <w:tr>
        <w:trPr/>
        <w:tc>
          <w:tcPr>
            <w:tcW w:w="2825" w:type="dxa"/>
            <w:tcBorders/>
            <w:shd w:fill="FFFFFF" w:val="clear"/>
            <w:vAlign w:val="center"/>
          </w:tcPr>
          <w:p>
            <w:pPr>
              <w:pStyle w:val="TableContents"/>
              <w:bidi w:val="0"/>
              <w:spacing w:before="0" w:after="283"/>
              <w:jc w:val="left"/>
              <w:rPr/>
            </w:pPr>
            <w:r>
              <w:rPr/>
              <w:t>ROU assets /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79,524</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95,711</w:t>
            </w:r>
          </w:p>
        </w:tc>
        <w:tc>
          <w:tcPr>
            <w:tcW w:w="127" w:type="dxa"/>
            <w:tcBorders/>
            <w:shd w:fill="FFFFFF" w:val="clear"/>
            <w:vAlign w:val="center"/>
          </w:tcPr>
          <w:p>
            <w:pPr>
              <w:pStyle w:val="TableContents"/>
              <w:bidi w:val="0"/>
              <w:spacing w:before="0" w:after="283"/>
              <w:jc w:val="left"/>
              <w:rPr/>
            </w:pPr>
            <w:r>
              <w:rPr/>
              <w:t> </w:t>
            </w:r>
            <w:bookmarkStart w:id="748" w:name="xdx_40E_eus-gaap--DeferredTaxAssetsOpera"/>
            <w:bookmarkEnd w:id="748"/>
          </w:p>
        </w:tc>
      </w:tr>
      <w:tr>
        <w:trPr/>
        <w:tc>
          <w:tcPr>
            <w:tcW w:w="2825" w:type="dxa"/>
            <w:tcBorders/>
            <w:shd w:fill="EEEEEE" w:val="clear"/>
            <w:vAlign w:val="center"/>
          </w:tcPr>
          <w:p>
            <w:pPr>
              <w:pStyle w:val="TableContents"/>
              <w:bidi w:val="0"/>
              <w:spacing w:before="0" w:after="283"/>
              <w:jc w:val="left"/>
              <w:rPr/>
            </w:pPr>
            <w:r>
              <w:rPr/>
              <w:t>Net operating loss</w:t>
            </w:r>
          </w:p>
        </w:tc>
        <w:tc>
          <w:tcPr>
            <w:tcW w:w="60" w:type="dxa"/>
            <w:tcBorders/>
            <w:shd w:fill="EEEEEE" w:val="clear"/>
            <w:vAlign w:val="center"/>
          </w:tcPr>
          <w:p>
            <w:pPr>
              <w:pStyle w:val="TableContents"/>
              <w:bidi w:val="0"/>
              <w:spacing w:before="0" w:after="283"/>
              <w:jc w:val="left"/>
              <w:rPr/>
            </w:pPr>
            <w:r>
              <w:rPr/>
              <w:t> </w:t>
            </w:r>
          </w:p>
        </w:tc>
        <w:tc>
          <w:tcPr>
            <w:tcW w:w="185"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3,076,619</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1139" w:type="dxa"/>
            <w:tcBorders/>
            <w:shd w:fill="EEEEEE" w:val="clear"/>
            <w:vAlign w:val="center"/>
          </w:tcPr>
          <w:p>
            <w:pPr>
              <w:pStyle w:val="TableContents"/>
              <w:bidi w:val="0"/>
              <w:spacing w:before="0" w:after="283"/>
              <w:jc w:val="right"/>
              <w:rPr/>
            </w:pPr>
            <w:r>
              <w:rPr/>
              <w:t>3,081,145</w:t>
            </w:r>
          </w:p>
        </w:tc>
        <w:tc>
          <w:tcPr>
            <w:tcW w:w="127" w:type="dxa"/>
            <w:tcBorders/>
            <w:shd w:fill="EEEEEE" w:val="clear"/>
            <w:vAlign w:val="center"/>
          </w:tcPr>
          <w:p>
            <w:pPr>
              <w:pStyle w:val="TableContents"/>
              <w:bidi w:val="0"/>
              <w:spacing w:before="0" w:after="283"/>
              <w:jc w:val="left"/>
              <w:rPr/>
            </w:pPr>
            <w:r>
              <w:rPr/>
              <w:t> </w:t>
            </w:r>
            <w:bookmarkStart w:id="749" w:name="xdx_40B_ecustom--DisallowedInterestExpen"/>
            <w:bookmarkEnd w:id="749"/>
          </w:p>
        </w:tc>
      </w:tr>
      <w:tr>
        <w:trPr/>
        <w:tc>
          <w:tcPr>
            <w:tcW w:w="2825" w:type="dxa"/>
            <w:tcBorders/>
            <w:shd w:fill="FFFFFF" w:val="clear"/>
            <w:vAlign w:val="center"/>
          </w:tcPr>
          <w:p>
            <w:pPr>
              <w:pStyle w:val="TableContents"/>
              <w:bidi w:val="0"/>
              <w:spacing w:before="0" w:after="283"/>
              <w:jc w:val="left"/>
              <w:rPr/>
            </w:pPr>
            <w:r>
              <w:rPr/>
              <w:t>Disallowed interest expense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369,542</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311,662</w:t>
            </w:r>
          </w:p>
        </w:tc>
        <w:tc>
          <w:tcPr>
            <w:tcW w:w="127" w:type="dxa"/>
            <w:tcBorders/>
            <w:shd w:fill="FFFFFF" w:val="clear"/>
            <w:vAlign w:val="center"/>
          </w:tcPr>
          <w:p>
            <w:pPr>
              <w:pStyle w:val="TableContents"/>
              <w:bidi w:val="0"/>
              <w:spacing w:before="0" w:after="283"/>
              <w:jc w:val="left"/>
              <w:rPr/>
            </w:pPr>
            <w:r>
              <w:rPr/>
              <w:t> </w:t>
            </w:r>
            <w:bookmarkStart w:id="750" w:name="xdx_40B_eus-gaap--DeferredTaxAssetsTaxDe"/>
            <w:bookmarkEnd w:id="750"/>
          </w:p>
        </w:tc>
      </w:tr>
      <w:tr>
        <w:trPr/>
        <w:tc>
          <w:tcPr>
            <w:tcW w:w="2825"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185"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644,971</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1139" w:type="dxa"/>
            <w:tcBorders/>
            <w:shd w:fill="EEEEEE" w:val="clear"/>
            <w:vAlign w:val="center"/>
          </w:tcPr>
          <w:p>
            <w:pPr>
              <w:pStyle w:val="TableContents"/>
              <w:bidi w:val="0"/>
              <w:spacing w:before="0" w:after="283"/>
              <w:jc w:val="right"/>
              <w:rPr/>
            </w:pPr>
            <w:r>
              <w:rPr/>
              <w:t>336,394</w:t>
            </w:r>
          </w:p>
        </w:tc>
        <w:tc>
          <w:tcPr>
            <w:tcW w:w="127" w:type="dxa"/>
            <w:tcBorders/>
            <w:shd w:fill="EEEEEE" w:val="clear"/>
            <w:vAlign w:val="center"/>
          </w:tcPr>
          <w:p>
            <w:pPr>
              <w:pStyle w:val="TableContents"/>
              <w:bidi w:val="0"/>
              <w:spacing w:before="0" w:after="283"/>
              <w:jc w:val="left"/>
              <w:rPr/>
            </w:pPr>
            <w:r>
              <w:rPr/>
              <w:t> </w:t>
            </w:r>
            <w:bookmarkStart w:id="751" w:name="xdx_40B_eus-gaap--DeferredTaxAssetsValua"/>
            <w:bookmarkEnd w:id="751"/>
          </w:p>
        </w:tc>
      </w:tr>
      <w:tr>
        <w:trPr/>
        <w:tc>
          <w:tcPr>
            <w:tcW w:w="282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(129,171</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(118,191</w:t>
            </w:r>
          </w:p>
        </w:tc>
        <w:tc>
          <w:tcPr>
            <w:tcW w:w="127" w:type="dxa"/>
            <w:tcBorders/>
            <w:shd w:fill="FFFFFF" w:val="clear"/>
            <w:vAlign w:val="center"/>
          </w:tcPr>
          <w:p>
            <w:pPr>
              <w:pStyle w:val="TableContents"/>
              <w:bidi w:val="0"/>
              <w:spacing w:before="0" w:after="283"/>
              <w:jc w:val="left"/>
              <w:rPr/>
            </w:pPr>
            <w:r>
              <w:rPr/>
              <w:t>)</w:t>
            </w:r>
            <w:bookmarkStart w:id="752" w:name="xdx_406_eus-gaap--DeferredTaxAssetsOther"/>
            <w:bookmarkEnd w:id="752"/>
          </w:p>
        </w:tc>
      </w:tr>
      <w:tr>
        <w:trPr/>
        <w:tc>
          <w:tcPr>
            <w:tcW w:w="2825" w:type="dxa"/>
            <w:tcBorders/>
            <w:shd w:fill="EEEEEE" w:val="clear"/>
            <w:vAlign w:val="center"/>
          </w:tcPr>
          <w:p>
            <w:pPr>
              <w:pStyle w:val="TableContents"/>
              <w:bidi w:val="0"/>
              <w:spacing w:before="0" w:after="283"/>
              <w:jc w:val="left"/>
              <w:rPr/>
            </w:pPr>
            <w:r>
              <w:rPr/>
              <w:t>Allowance for credit loss</w:t>
            </w:r>
          </w:p>
        </w:tc>
        <w:tc>
          <w:tcPr>
            <w:tcW w:w="60" w:type="dxa"/>
            <w:tcBorders/>
            <w:shd w:fill="EEEEEE" w:val="clear"/>
            <w:vAlign w:val="center"/>
          </w:tcPr>
          <w:p>
            <w:pPr>
              <w:pStyle w:val="TableContents"/>
              <w:bidi w:val="0"/>
              <w:spacing w:before="0" w:after="283"/>
              <w:jc w:val="left"/>
              <w:rPr/>
            </w:pPr>
            <w:r>
              <w:rPr/>
              <w:t> </w:t>
            </w:r>
          </w:p>
        </w:tc>
        <w:tc>
          <w:tcPr>
            <w:tcW w:w="185"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521,060</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1139" w:type="dxa"/>
            <w:tcBorders/>
            <w:shd w:fill="EEEEEE" w:val="clear"/>
            <w:vAlign w:val="center"/>
          </w:tcPr>
          <w:p>
            <w:pPr>
              <w:pStyle w:val="TableContents"/>
              <w:bidi w:val="0"/>
              <w:spacing w:before="0" w:after="283"/>
              <w:jc w:val="right"/>
              <w:rPr/>
            </w:pPr>
            <w:r>
              <w:rPr/>
              <w:t>512,289</w:t>
            </w:r>
          </w:p>
        </w:tc>
        <w:tc>
          <w:tcPr>
            <w:tcW w:w="127" w:type="dxa"/>
            <w:tcBorders/>
            <w:shd w:fill="EEEEEE" w:val="clear"/>
            <w:vAlign w:val="center"/>
          </w:tcPr>
          <w:p>
            <w:pPr>
              <w:pStyle w:val="TableContents"/>
              <w:bidi w:val="0"/>
              <w:spacing w:before="0" w:after="283"/>
              <w:jc w:val="left"/>
              <w:rPr/>
            </w:pPr>
            <w:r>
              <w:rPr/>
              <w:t> </w:t>
            </w:r>
            <w:bookmarkStart w:id="753" w:name="xdx_40F_eus-gaap--DeferredTaxAssetsGoodw"/>
            <w:bookmarkEnd w:id="753"/>
          </w:p>
        </w:tc>
      </w:tr>
      <w:tr>
        <w:trPr/>
        <w:tc>
          <w:tcPr>
            <w:tcW w:w="2825" w:type="dxa"/>
            <w:tcBorders/>
            <w:shd w:fill="FFFFFF" w:val="clear"/>
            <w:vAlign w:val="center"/>
          </w:tcPr>
          <w:p>
            <w:pPr>
              <w:pStyle w:val="TableContents"/>
              <w:bidi w:val="0"/>
              <w:spacing w:before="0" w:after="283"/>
              <w:jc w:val="left"/>
              <w:rPr/>
            </w:pPr>
            <w:r>
              <w:rPr/>
              <w:t>Goodwill impairment loss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pPr>
            <w:r>
              <w:rPr/>
              <w:t>800,836</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bookmarkStart w:id="754" w:name="xdx_408_eus-gaap--DeferredTaxAssetsGross"/>
            <w:bookmarkEnd w:id="754"/>
          </w:p>
        </w:tc>
      </w:tr>
      <w:tr>
        <w:trPr/>
        <w:tc>
          <w:tcPr>
            <w:tcW w:w="2825" w:type="dxa"/>
            <w:tcBorders/>
            <w:shd w:fill="EEEEEE" w:val="clear"/>
            <w:vAlign w:val="center"/>
          </w:tcPr>
          <w:p>
            <w:pPr>
              <w:pStyle w:val="TableContents"/>
              <w:bidi w:val="0"/>
              <w:spacing w:before="0" w:after="283"/>
              <w:jc w:val="left"/>
              <w:rPr>
                <w:b/>
              </w:rPr>
            </w:pPr>
            <w:r>
              <w:rPr>
                <w:b/>
              </w:rPr>
              <w:t>Total deferred tax assets</w:t>
            </w:r>
          </w:p>
        </w:tc>
        <w:tc>
          <w:tcPr>
            <w:tcW w:w="60" w:type="dxa"/>
            <w:tcBorders/>
            <w:shd w:fill="EEEEEE" w:val="clear"/>
            <w:vAlign w:val="center"/>
          </w:tcPr>
          <w:p>
            <w:pPr>
              <w:pStyle w:val="TableContents"/>
              <w:bidi w:val="0"/>
              <w:spacing w:before="0" w:after="283"/>
              <w:jc w:val="left"/>
              <w:rPr/>
            </w:pPr>
            <w:r>
              <w:rPr/>
              <w:t> </w:t>
            </w:r>
          </w:p>
        </w:tc>
        <w:tc>
          <w:tcPr>
            <w:tcW w:w="18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EEEEEE" w:val="clear"/>
            <w:tcMar>
              <w:bottom w:w="28" w:type="dxa"/>
            </w:tcMar>
            <w:vAlign w:val="center"/>
          </w:tcPr>
          <w:p>
            <w:pPr>
              <w:pStyle w:val="TableContents"/>
              <w:bidi w:val="0"/>
              <w:spacing w:before="0" w:after="283"/>
              <w:jc w:val="right"/>
              <w:rPr/>
            </w:pPr>
            <w:r>
              <w:rPr/>
              <w:t>5,559,972</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EEEEEE" w:val="clear"/>
            <w:tcMar>
              <w:bottom w:w="28" w:type="dxa"/>
            </w:tcMar>
            <w:vAlign w:val="center"/>
          </w:tcPr>
          <w:p>
            <w:pPr>
              <w:pStyle w:val="TableContents"/>
              <w:bidi w:val="0"/>
              <w:spacing w:before="0" w:after="283"/>
              <w:jc w:val="right"/>
              <w:rPr/>
            </w:pPr>
            <w:r>
              <w:rPr/>
              <w:t>4,585,352</w:t>
            </w:r>
          </w:p>
        </w:tc>
        <w:tc>
          <w:tcPr>
            <w:tcW w:w="127" w:type="dxa"/>
            <w:tcBorders/>
            <w:shd w:fill="EEEEEE"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bookmarkStart w:id="755" w:name="xdx_40F_eus-gaap--DeferredTaxLiabilities"/>
            <w:bookmarkEnd w:id="755"/>
          </w:p>
        </w:tc>
      </w:tr>
      <w:tr>
        <w:trPr/>
        <w:tc>
          <w:tcPr>
            <w:tcW w:w="2825" w:type="dxa"/>
            <w:tcBorders/>
            <w:shd w:fill="EEEEEE" w:val="clear"/>
            <w:vAlign w:val="center"/>
          </w:tcPr>
          <w:p>
            <w:pPr>
              <w:pStyle w:val="TableContents"/>
              <w:bidi w:val="0"/>
              <w:spacing w:before="0" w:after="283"/>
              <w:jc w:val="left"/>
              <w:rPr>
                <w:b/>
              </w:rPr>
            </w:pPr>
            <w:r>
              <w:rPr>
                <w:b/>
              </w:rPr>
              <w:t>Deferred tax liabilities</w:t>
            </w:r>
          </w:p>
        </w:tc>
        <w:tc>
          <w:tcPr>
            <w:tcW w:w="60" w:type="dxa"/>
            <w:tcBorders/>
            <w:shd w:fill="EEEEEE" w:val="clear"/>
            <w:vAlign w:val="center"/>
          </w:tcPr>
          <w:p>
            <w:pPr>
              <w:pStyle w:val="TableContents"/>
              <w:bidi w:val="0"/>
              <w:spacing w:before="0" w:after="283"/>
              <w:jc w:val="left"/>
              <w:rPr/>
            </w:pPr>
            <w:r>
              <w:rPr/>
              <w:t> </w:t>
            </w:r>
          </w:p>
        </w:tc>
        <w:tc>
          <w:tcPr>
            <w:tcW w:w="185"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 </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1139" w:type="dxa"/>
            <w:tcBorders/>
            <w:shd w:fill="EEEEEE" w:val="clear"/>
            <w:vAlign w:val="center"/>
          </w:tcPr>
          <w:p>
            <w:pPr>
              <w:pStyle w:val="TableContents"/>
              <w:bidi w:val="0"/>
              <w:spacing w:before="0" w:after="283"/>
              <w:jc w:val="right"/>
              <w:rPr/>
            </w:pPr>
            <w:r>
              <w:rPr/>
              <w:t> </w:t>
            </w:r>
          </w:p>
        </w:tc>
        <w:tc>
          <w:tcPr>
            <w:tcW w:w="127" w:type="dxa"/>
            <w:tcBorders/>
            <w:shd w:fill="EEEEEE" w:val="clear"/>
            <w:vAlign w:val="center"/>
          </w:tcPr>
          <w:p>
            <w:pPr>
              <w:pStyle w:val="TableContents"/>
              <w:bidi w:val="0"/>
              <w:spacing w:before="0" w:after="283"/>
              <w:jc w:val="left"/>
              <w:rPr/>
            </w:pPr>
            <w:r>
              <w:rPr/>
              <w:t> </w:t>
            </w:r>
            <w:bookmarkStart w:id="756" w:name="xdx_407_eus-gaap--DeferredTaxLiabilities"/>
            <w:bookmarkEnd w:id="756"/>
          </w:p>
        </w:tc>
      </w:tr>
      <w:tr>
        <w:trPr/>
        <w:tc>
          <w:tcPr>
            <w:tcW w:w="282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(35,630</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(56,648</w:t>
            </w:r>
          </w:p>
        </w:tc>
        <w:tc>
          <w:tcPr>
            <w:tcW w:w="127" w:type="dxa"/>
            <w:tcBorders/>
            <w:shd w:fill="FFFFFF" w:val="clear"/>
            <w:vAlign w:val="center"/>
          </w:tcPr>
          <w:p>
            <w:pPr>
              <w:pStyle w:val="TableContents"/>
              <w:bidi w:val="0"/>
              <w:spacing w:before="0" w:after="283"/>
              <w:jc w:val="left"/>
              <w:rPr/>
            </w:pPr>
            <w:r>
              <w:rPr/>
              <w:t>)</w:t>
            </w:r>
            <w:bookmarkStart w:id="757" w:name="xdx_40B_eus-gaap--DeferredTaxLiabilities"/>
            <w:bookmarkEnd w:id="757"/>
          </w:p>
        </w:tc>
      </w:tr>
      <w:tr>
        <w:trPr/>
        <w:tc>
          <w:tcPr>
            <w:tcW w:w="2825" w:type="dxa"/>
            <w:tcBorders/>
            <w:shd w:fill="EEEEEE" w:val="clear"/>
            <w:vAlign w:val="center"/>
          </w:tcPr>
          <w:p>
            <w:pPr>
              <w:pStyle w:val="TableContents"/>
              <w:bidi w:val="0"/>
              <w:spacing w:before="0" w:after="283"/>
              <w:jc w:val="left"/>
              <w:rPr/>
            </w:pPr>
            <w:r>
              <w:rPr/>
              <w:t>Unrealized gain/loss</w:t>
            </w:r>
          </w:p>
        </w:tc>
        <w:tc>
          <w:tcPr>
            <w:tcW w:w="60" w:type="dxa"/>
            <w:tcBorders/>
            <w:shd w:fill="EEEEEE" w:val="clear"/>
            <w:vAlign w:val="center"/>
          </w:tcPr>
          <w:p>
            <w:pPr>
              <w:pStyle w:val="TableContents"/>
              <w:bidi w:val="0"/>
              <w:spacing w:before="0" w:after="283"/>
              <w:jc w:val="left"/>
              <w:rPr/>
            </w:pPr>
            <w:r>
              <w:rPr/>
              <w:t> </w:t>
            </w:r>
          </w:p>
        </w:tc>
        <w:tc>
          <w:tcPr>
            <w:tcW w:w="185"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142,188</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1139" w:type="dxa"/>
            <w:tcBorders/>
            <w:shd w:fill="EEEEEE" w:val="clear"/>
            <w:vAlign w:val="center"/>
          </w:tcPr>
          <w:p>
            <w:pPr>
              <w:pStyle w:val="TableContents"/>
              <w:bidi w:val="0"/>
              <w:spacing w:before="0" w:after="283"/>
              <w:jc w:val="right"/>
              <w:rPr/>
            </w:pPr>
            <w:r>
              <w:rPr/>
              <w:t>–</w:t>
            </w:r>
          </w:p>
        </w:tc>
        <w:tc>
          <w:tcPr>
            <w:tcW w:w="127" w:type="dxa"/>
            <w:tcBorders/>
            <w:shd w:fill="EEEEEE" w:val="clear"/>
            <w:vAlign w:val="center"/>
          </w:tcPr>
          <w:p>
            <w:pPr>
              <w:pStyle w:val="TableContents"/>
              <w:bidi w:val="0"/>
              <w:spacing w:before="0" w:after="283"/>
              <w:jc w:val="left"/>
              <w:rPr/>
            </w:pPr>
            <w:r>
              <w:rPr/>
              <w:t> </w:t>
            </w:r>
            <w:bookmarkStart w:id="758" w:name="xdx_404_eus-gaap--DeferredTaxLiabilities"/>
            <w:bookmarkEnd w:id="758"/>
          </w:p>
        </w:tc>
      </w:tr>
      <w:tr>
        <w:trPr/>
        <w:tc>
          <w:tcPr>
            <w:tcW w:w="2825" w:type="dxa"/>
            <w:tcBorders/>
            <w:shd w:fill="FFFFFF" w:val="clear"/>
            <w:vAlign w:val="center"/>
          </w:tcPr>
          <w:p>
            <w:pPr>
              <w:pStyle w:val="TableContents"/>
              <w:bidi w:val="0"/>
              <w:spacing w:before="0" w:after="283"/>
              <w:jc w:val="left"/>
              <w:rPr/>
            </w:pPr>
            <w:r>
              <w:rPr/>
              <w:t>Intangible assets acquired</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pPr>
            <w:r>
              <w:rPr/>
              <w:t>(675,694</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(804,242</w:t>
            </w:r>
          </w:p>
        </w:tc>
        <w:tc>
          <w:tcPr>
            <w:tcW w:w="127" w:type="dxa"/>
            <w:tcBorders/>
            <w:shd w:fill="FFFFFF" w:val="clear"/>
            <w:vAlign w:val="center"/>
          </w:tcPr>
          <w:p>
            <w:pPr>
              <w:pStyle w:val="TableContents"/>
              <w:bidi w:val="0"/>
              <w:spacing w:before="0" w:after="283"/>
              <w:jc w:val="left"/>
              <w:rPr/>
            </w:pPr>
            <w:r>
              <w:rPr/>
              <w:t>)</w:t>
            </w:r>
            <w:bookmarkStart w:id="759" w:name="xdx_40A_eus-gaap--DeferredIncomeTaxLiabi"/>
            <w:bookmarkEnd w:id="759"/>
          </w:p>
        </w:tc>
      </w:tr>
      <w:tr>
        <w:trPr/>
        <w:tc>
          <w:tcPr>
            <w:tcW w:w="2825" w:type="dxa"/>
            <w:tcBorders/>
            <w:shd w:fill="EEEEEE" w:val="clear"/>
            <w:vAlign w:val="center"/>
          </w:tcPr>
          <w:p>
            <w:pPr>
              <w:pStyle w:val="TableContents"/>
              <w:bidi w:val="0"/>
              <w:spacing w:before="0" w:after="283"/>
              <w:jc w:val="left"/>
              <w:rPr>
                <w:b/>
              </w:rPr>
            </w:pPr>
            <w:r>
              <w:rPr>
                <w:b/>
              </w:rPr>
              <w:t>Total deferred tax liabilities</w:t>
            </w:r>
          </w:p>
        </w:tc>
        <w:tc>
          <w:tcPr>
            <w:tcW w:w="60" w:type="dxa"/>
            <w:tcBorders/>
            <w:shd w:fill="EEEEEE" w:val="clear"/>
            <w:vAlign w:val="center"/>
          </w:tcPr>
          <w:p>
            <w:pPr>
              <w:pStyle w:val="TableContents"/>
              <w:bidi w:val="0"/>
              <w:spacing w:before="0" w:after="283"/>
              <w:jc w:val="left"/>
              <w:rPr/>
            </w:pPr>
            <w:r>
              <w:rPr/>
              <w:t> </w:t>
            </w:r>
          </w:p>
        </w:tc>
        <w:tc>
          <w:tcPr>
            <w:tcW w:w="18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EEEEEE" w:val="clear"/>
            <w:tcMar>
              <w:bottom w:w="28" w:type="dxa"/>
            </w:tcMar>
            <w:vAlign w:val="center"/>
          </w:tcPr>
          <w:p>
            <w:pPr>
              <w:pStyle w:val="TableContents"/>
              <w:bidi w:val="0"/>
              <w:spacing w:before="0" w:after="283"/>
              <w:jc w:val="right"/>
              <w:rPr/>
            </w:pPr>
            <w:r>
              <w:rPr/>
              <w:t>(569,136</w:t>
            </w:r>
          </w:p>
        </w:tc>
        <w:tc>
          <w:tcPr>
            <w:tcW w:w="12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6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EEEEEE" w:val="clear"/>
            <w:tcMar>
              <w:bottom w:w="28" w:type="dxa"/>
            </w:tcMar>
            <w:vAlign w:val="center"/>
          </w:tcPr>
          <w:p>
            <w:pPr>
              <w:pStyle w:val="TableContents"/>
              <w:bidi w:val="0"/>
              <w:spacing w:before="0" w:after="283"/>
              <w:jc w:val="right"/>
              <w:rPr/>
            </w:pPr>
            <w:r>
              <w:rPr/>
              <w:t>(860,890</w:t>
            </w:r>
          </w:p>
        </w:tc>
        <w:tc>
          <w:tcPr>
            <w:tcW w:w="127" w:type="dxa"/>
            <w:tcBorders/>
            <w:shd w:fill="EEEEEE" w:val="clear"/>
            <w:vAlign w:val="center"/>
          </w:tcPr>
          <w:p>
            <w:pPr>
              <w:pStyle w:val="TableContents"/>
              <w:bidi w:val="0"/>
              <w:spacing w:before="0" w:after="283"/>
              <w:jc w:val="left"/>
              <w:rPr/>
            </w:pPr>
            <w:r>
              <w:rPr/>
              <w:t>)</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bookmarkStart w:id="760" w:name="xdx_40F_eus-gaap--DeferredTaxAssetsLiabi"/>
            <w:bookmarkEnd w:id="760"/>
          </w:p>
        </w:tc>
      </w:tr>
      <w:tr>
        <w:trPr/>
        <w:tc>
          <w:tcPr>
            <w:tcW w:w="2825" w:type="dxa"/>
            <w:tcBorders/>
            <w:shd w:fill="EEEEEE" w:val="clear"/>
            <w:vAlign w:val="center"/>
          </w:tcPr>
          <w:p>
            <w:pPr>
              <w:pStyle w:val="TableContents"/>
              <w:bidi w:val="0"/>
              <w:spacing w:before="0" w:after="283"/>
              <w:jc w:val="left"/>
              <w:rPr>
                <w:b/>
              </w:rPr>
            </w:pPr>
            <w:r>
              <w:rPr>
                <w:b/>
              </w:rPr>
              <w:t>Net deferred tax assets</w:t>
            </w:r>
          </w:p>
        </w:tc>
        <w:tc>
          <w:tcPr>
            <w:tcW w:w="60" w:type="dxa"/>
            <w:tcBorders/>
            <w:shd w:fill="EEEEEE" w:val="clear"/>
            <w:vAlign w:val="center"/>
          </w:tcPr>
          <w:p>
            <w:pPr>
              <w:pStyle w:val="TableContents"/>
              <w:bidi w:val="0"/>
              <w:spacing w:before="0" w:after="283"/>
              <w:jc w:val="left"/>
              <w:rPr/>
            </w:pPr>
            <w:r>
              <w:rPr/>
              <w:t> </w:t>
            </w:r>
          </w:p>
        </w:tc>
        <w:tc>
          <w:tcPr>
            <w:tcW w:w="18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98" w:type="dxa"/>
            <w:tcBorders>
              <w:bottom w:val="double" w:sz="6" w:space="0" w:color="000000"/>
            </w:tcBorders>
            <w:shd w:fill="EEEEEE" w:val="clear"/>
            <w:tcMar>
              <w:bottom w:w="28" w:type="dxa"/>
            </w:tcMar>
            <w:vAlign w:val="center"/>
          </w:tcPr>
          <w:p>
            <w:pPr>
              <w:pStyle w:val="TableContents"/>
              <w:bidi w:val="0"/>
              <w:spacing w:before="0" w:after="283"/>
              <w:jc w:val="right"/>
              <w:rPr/>
            </w:pPr>
            <w:r>
              <w:rPr/>
              <w:t>4,990,836</w:t>
            </w:r>
          </w:p>
        </w:tc>
        <w:tc>
          <w:tcPr>
            <w:tcW w:w="1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39" w:type="dxa"/>
            <w:tcBorders>
              <w:bottom w:val="double" w:sz="6" w:space="0" w:color="000000"/>
            </w:tcBorders>
            <w:shd w:fill="EEEEEE" w:val="clear"/>
            <w:tcMar>
              <w:bottom w:w="28" w:type="dxa"/>
            </w:tcMar>
            <w:vAlign w:val="center"/>
          </w:tcPr>
          <w:p>
            <w:pPr>
              <w:pStyle w:val="TableContents"/>
              <w:bidi w:val="0"/>
              <w:spacing w:before="0" w:after="283"/>
              <w:jc w:val="right"/>
              <w:rPr/>
            </w:pPr>
            <w:r>
              <w:rPr/>
              <w:t>3,724,462</w:t>
            </w:r>
          </w:p>
        </w:tc>
        <w:tc>
          <w:tcPr>
            <w:tcW w:w="127"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61" w:name="xdx_8A8_zFmRazIGpmb7"/>
      <w:bookmarkEnd w:id="761"/>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62" w:name="xdx_806_eus-gaap--EarningsPerShareTextBl"/>
      <w:bookmarkEnd w:id="762"/>
      <w:r>
        <w:rPr>
          <w:rFonts w:ascii="Times New Roman;Times;Serif" w:hAnsi="Times New Roman;Times;Serif"/>
          <w:b/>
          <w:i w:val="false"/>
          <w:caps w:val="false"/>
          <w:smallCaps w:val="false"/>
          <w:sz w:val="20"/>
        </w:rPr>
        <w:t>Note 15 –</w:t>
      </w:r>
      <w:bookmarkStart w:id="763" w:name="xdx_82B_zfMRAgvog6H2"/>
      <w:bookmarkEnd w:id="763"/>
      <w:r>
        <w:rPr>
          <w:rFonts w:ascii="Times New Roman;Times;Serif" w:hAnsi="Times New Roman;Times;Serif"/>
          <w:b/>
          <w:i w:val="false"/>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earnings per share for the periods presented:</w:t>
      </w:r>
    </w:p>
    <w:p>
      <w:pPr>
        <w:pStyle w:val="Normal"/>
        <w:bidi w:val="0"/>
        <w:spacing w:before="0" w:after="0"/>
        <w:jc w:val="left"/>
        <w:rPr>
          <w:sz w:val="4"/>
          <w:szCs w:val="4"/>
        </w:rPr>
      </w:pPr>
      <w:r>
        <w:rPr>
          <w:sz w:val="4"/>
          <w:szCs w:val="4"/>
        </w:rPr>
      </w:r>
      <w:bookmarkStart w:id="764" w:name="xdx_897_eus-gaap--ScheduleOfEarningsPerS"/>
      <w:bookmarkStart w:id="765" w:name="xdx_897_eus-gaap--ScheduleOfEarningsPerS"/>
      <w:bookmarkEnd w:id="765"/>
    </w:p>
    <w:tbl>
      <w:tblPr>
        <w:tblW w:w="10205" w:type="dxa"/>
        <w:jc w:val="left"/>
        <w:tblInd w:w="0" w:type="dxa"/>
        <w:tblLayout w:type="fixed"/>
        <w:tblCellMar>
          <w:top w:w="0" w:type="dxa"/>
          <w:left w:w="0" w:type="dxa"/>
          <w:bottom w:w="0" w:type="dxa"/>
          <w:right w:w="0" w:type="dxa"/>
        </w:tblCellMar>
      </w:tblPr>
      <w:tblGrid>
        <w:gridCol w:w="4865"/>
        <w:gridCol w:w="60"/>
        <w:gridCol w:w="140"/>
        <w:gridCol w:w="1055"/>
        <w:gridCol w:w="95"/>
        <w:gridCol w:w="60"/>
        <w:gridCol w:w="140"/>
        <w:gridCol w:w="980"/>
        <w:gridCol w:w="95"/>
        <w:gridCol w:w="60"/>
        <w:gridCol w:w="140"/>
        <w:gridCol w:w="1055"/>
        <w:gridCol w:w="95"/>
        <w:gridCol w:w="60"/>
        <w:gridCol w:w="140"/>
        <w:gridCol w:w="1055"/>
        <w:gridCol w:w="110"/>
      </w:tblGrid>
      <w:tr>
        <w:trPr/>
        <w:tc>
          <w:tcPr>
            <w:tcW w:w="4865" w:type="dxa"/>
            <w:tcBorders/>
            <w:vAlign w:val="center"/>
          </w:tcPr>
          <w:p>
            <w:pPr>
              <w:pStyle w:val="TableContents"/>
              <w:bidi w:val="0"/>
              <w:spacing w:before="0" w:after="283"/>
              <w:jc w:val="left"/>
              <w:rPr/>
            </w:pPr>
            <w:bookmarkStart w:id="766" w:name="xdx_8BB_zm5GXV5F74Tl"/>
            <w:bookmarkEnd w:id="766"/>
            <w:r>
              <w:rPr/>
              <w:t>Schedule of computation of basic and diluted earnings per share</w:t>
            </w:r>
          </w:p>
        </w:tc>
        <w:tc>
          <w:tcPr>
            <w:tcW w:w="60" w:type="dxa"/>
            <w:tcBorders/>
            <w:vAlign w:val="center"/>
          </w:tcPr>
          <w:p>
            <w:pPr>
              <w:pStyle w:val="TableContents"/>
              <w:bidi w:val="0"/>
              <w:spacing w:before="0" w:after="283"/>
              <w:jc w:val="left"/>
              <w:rPr/>
            </w:pPr>
            <w:r>
              <w:rPr/>
              <w:t> </w:t>
            </w:r>
            <w:bookmarkStart w:id="767" w:name="xdx_49A_20260101__20260331_zHHlXOjEfwV1"/>
            <w:bookmarkEnd w:id="767"/>
          </w:p>
        </w:tc>
        <w:tc>
          <w:tcPr>
            <w:tcW w:w="129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68" w:name="xdx_490_20250101__20250331_zT3AqofIEGri"/>
            <w:bookmarkEnd w:id="768"/>
          </w:p>
        </w:tc>
        <w:tc>
          <w:tcPr>
            <w:tcW w:w="121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69" w:name="xdx_495_20250701__20260331_zhbHzMVDJt4k"/>
            <w:bookmarkEnd w:id="769"/>
          </w:p>
        </w:tc>
        <w:tc>
          <w:tcPr>
            <w:tcW w:w="129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70" w:name="xdx_497_20240701__20250331_z5mS3zWcp4dl"/>
            <w:bookmarkEnd w:id="770"/>
          </w:p>
        </w:tc>
        <w:tc>
          <w:tcPr>
            <w:tcW w:w="1305" w:type="dxa"/>
            <w:gridSpan w:val="3"/>
            <w:tcBorders/>
            <w:vAlign w:val="center"/>
          </w:tcPr>
          <w:p>
            <w:pPr>
              <w:pStyle w:val="TableContents"/>
              <w:bidi w:val="0"/>
              <w:spacing w:before="0" w:after="283"/>
              <w:jc w:val="center"/>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60" w:type="dxa"/>
            <w:tcBorders/>
            <w:vAlign w:val="center"/>
          </w:tcPr>
          <w:p>
            <w:pPr>
              <w:pStyle w:val="TableContents"/>
              <w:bidi w:val="0"/>
              <w:spacing w:before="0" w:after="283"/>
              <w:jc w:val="left"/>
              <w:rPr/>
            </w:pPr>
            <w:r>
              <w:rPr/>
              <w:t> </w:t>
            </w:r>
          </w:p>
        </w:tc>
        <w:tc>
          <w:tcPr>
            <w:tcW w:w="265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March 31,</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2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3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bookmarkStart w:id="771" w:name="xdx_404_ecustom--NumeratorAbstract_iB_zc"/>
            <w:bookmarkEnd w:id="771"/>
          </w:p>
        </w:tc>
      </w:tr>
      <w:tr>
        <w:trPr/>
        <w:tc>
          <w:tcPr>
            <w:tcW w:w="4865"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29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1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9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05" w:type="dxa"/>
            <w:gridSpan w:val="3"/>
            <w:tcBorders/>
            <w:vAlign w:val="center"/>
          </w:tcPr>
          <w:p>
            <w:pPr>
              <w:pStyle w:val="TableContents"/>
              <w:bidi w:val="0"/>
              <w:spacing w:before="0" w:after="283"/>
              <w:jc w:val="right"/>
              <w:rPr/>
            </w:pPr>
            <w:r>
              <w:rPr/>
              <w:t> </w:t>
            </w:r>
            <w:bookmarkStart w:id="772" w:name="xdx_409_eus-gaap--NetIncomeLossAvailable"/>
            <w:bookmarkEnd w:id="772"/>
          </w:p>
        </w:tc>
      </w:tr>
      <w:tr>
        <w:trPr/>
        <w:tc>
          <w:tcPr>
            <w:tcW w:w="4865" w:type="dxa"/>
            <w:tcBorders/>
            <w:shd w:fill="EEEEEE" w:val="clear"/>
            <w:vAlign w:val="center"/>
          </w:tcPr>
          <w:p>
            <w:pPr>
              <w:pStyle w:val="TableContents"/>
              <w:bidi w:val="0"/>
              <w:spacing w:before="0" w:after="283"/>
              <w:jc w:val="left"/>
              <w:rPr/>
            </w:pPr>
            <w:r>
              <w:rPr/>
              <w:t>Net loss attributable to iPower Inc.</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(3,454,878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(339,599</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(5,181,807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(2,150,061</w:t>
            </w:r>
          </w:p>
        </w:tc>
        <w:tc>
          <w:tcPr>
            <w:tcW w:w="110" w:type="dxa"/>
            <w:tcBorders/>
            <w:shd w:fill="EEEEEE"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73" w:name="xdx_40B_ecustom--DenominatorAbstract_iB_"/>
            <w:bookmarkEnd w:id="773"/>
          </w:p>
        </w:tc>
      </w:tr>
      <w:tr>
        <w:trPr/>
        <w:tc>
          <w:tcPr>
            <w:tcW w:w="4865" w:type="dxa"/>
            <w:tcBorders/>
            <w:shd w:fill="EEEEEE" w:val="clear"/>
            <w:vAlign w:val="center"/>
          </w:tcPr>
          <w:p>
            <w:pPr>
              <w:pStyle w:val="TableContents"/>
              <w:bidi w:val="0"/>
              <w:spacing w:before="0" w:after="283"/>
              <w:jc w:val="left"/>
              <w:rPr/>
            </w:pPr>
            <w:r>
              <w:rPr/>
              <w:t>Denominator:</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Weighted-average shares used in computing basic and diluted earnings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74" w:name="xdx_90A_eus-gaap--WeightedAverageNumberO"/>
            <w:bookmarkStart w:id="775" w:name="xdx_904_eus-gaap--WeightedAverageNumberO"/>
            <w:bookmarkEnd w:id="774"/>
            <w:bookmarkEnd w:id="775"/>
            <w:r>
              <w:rPr/>
              <w:t>1,453,875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76" w:name="xdx_904_eus-gaap--WeightedAverageNumberO"/>
            <w:bookmarkStart w:id="777" w:name="xdx_90E_eus-gaap--WeightedAverageNumberO"/>
            <w:bookmarkEnd w:id="776"/>
            <w:bookmarkEnd w:id="777"/>
            <w:r>
              <w:rPr/>
              <w:t>1,048,508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78" w:name="xdx_909_eus-gaap--WeightedAverageNumberO"/>
            <w:bookmarkStart w:id="779" w:name="xdx_90C_eus-gaap--WeightedAverageNumberO"/>
            <w:bookmarkEnd w:id="778"/>
            <w:bookmarkEnd w:id="779"/>
            <w:r>
              <w:rPr/>
              <w:t>1,200,110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80" w:name="xdx_90F_eus-gaap--WeightedAverageNumberO"/>
            <w:bookmarkStart w:id="781" w:name="xdx_90F_eus-gaap--WeightedAverageNumberO"/>
            <w:bookmarkEnd w:id="780"/>
            <w:bookmarkEnd w:id="781"/>
            <w:r>
              <w:rPr/>
              <w:t>1,047,816</w:t>
            </w:r>
          </w:p>
        </w:tc>
        <w:tc>
          <w:tcPr>
            <w:tcW w:w="110" w:type="dxa"/>
            <w:tcBorders/>
            <w:shd w:fill="FFFFFF" w:val="clear"/>
            <w:vAlign w:val="center"/>
          </w:tcPr>
          <w:p>
            <w:pPr>
              <w:pStyle w:val="TableContents"/>
              <w:bidi w:val="0"/>
              <w:spacing w:before="0" w:after="283"/>
              <w:jc w:val="left"/>
              <w:rPr/>
            </w:pPr>
            <w:r>
              <w:rPr/>
              <w:t> </w:t>
            </w:r>
          </w:p>
        </w:tc>
      </w:tr>
      <w:tr>
        <w:trPr/>
        <w:tc>
          <w:tcPr>
            <w:tcW w:w="4865" w:type="dxa"/>
            <w:tcBorders/>
            <w:shd w:fill="EEEEEE" w:val="clear"/>
            <w:vAlign w:val="center"/>
          </w:tcPr>
          <w:p>
            <w:pPr>
              <w:pStyle w:val="TableContents"/>
              <w:bidi w:val="0"/>
              <w:spacing w:before="0" w:after="283"/>
              <w:jc w:val="left"/>
              <w:rPr/>
            </w:pPr>
            <w:r>
              <w:rPr/>
              <w:t>Earnings (losses) per share of ordinary shares - basic and diluted</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82" w:name="xdx_90F_eus-gaap--EarningsPerShareDilute"/>
            <w:bookmarkStart w:id="783" w:name="xdx_90A_eus-gaap--EarningsPerShareBasic_"/>
            <w:bookmarkEnd w:id="782"/>
            <w:bookmarkEnd w:id="783"/>
            <w:r>
              <w:rPr/>
              <w:t>(2.38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84" w:name="xdx_906_eus-gaap--EarningsPerShareDilute"/>
            <w:bookmarkStart w:id="785" w:name="xdx_906_eus-gaap--EarningsPerShareBasic_"/>
            <w:bookmarkEnd w:id="784"/>
            <w:bookmarkEnd w:id="785"/>
            <w:r>
              <w:rPr/>
              <w:t>(0.33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86" w:name="xdx_905_eus-gaap--EarningsPerShareDilute"/>
            <w:bookmarkStart w:id="787" w:name="xdx_901_eus-gaap--EarningsPerShareBasic_"/>
            <w:bookmarkEnd w:id="786"/>
            <w:bookmarkEnd w:id="787"/>
            <w:r>
              <w:rPr/>
              <w:t>(4.32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88" w:name="xdx_905_eus-gaap--EarningsPerShareDilute"/>
            <w:bookmarkStart w:id="789" w:name="xdx_90F_eus-gaap--EarningsPerShareBasic_"/>
            <w:bookmarkEnd w:id="788"/>
            <w:bookmarkEnd w:id="789"/>
            <w:r>
              <w:rPr/>
              <w:t>(2.06</w:t>
            </w:r>
          </w:p>
        </w:tc>
        <w:tc>
          <w:tcPr>
            <w:tcW w:w="110" w:type="dxa"/>
            <w:tcBorders/>
            <w:shd w:fill="EEEEEE"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Due to the anti-dilutive effect, the computation of basic and diluted EPS did not include the shares underlying the exercise of warrants, options, and unvested RSUs as the Company had a net loss for the three and nine months ended March 31, 2026 and 2025.</w:t>
            </w:r>
          </w:p>
        </w:tc>
      </w:tr>
      <w:tr>
        <w:trPr/>
        <w:tc>
          <w:tcPr>
            <w:tcW w:w="140" w:type="dxa"/>
            <w:tcBorders/>
            <w:vAlign w:val="center"/>
          </w:tcPr>
          <w:p>
            <w:pPr>
              <w:pStyle w:val="TableContents"/>
              <w:bidi w:val="0"/>
              <w:spacing w:before="0" w:after="283"/>
              <w:jc w:val="both"/>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the three and nine months ended March 31, 2026, </w:t>
            </w:r>
            <w:bookmarkStart w:id="790" w:name="xdx_90E_eus-gaap--AntidilutiveSecurities"/>
            <w:bookmarkEnd w:id="790"/>
            <w:r>
              <w:rPr>
                <w:rFonts w:ascii="Times New Roman;Times;Serif" w:hAnsi="Times New Roman;Times;Serif"/>
                <w:sz w:val="20"/>
              </w:rPr>
              <w:t xml:space="preserve">541 and </w:t>
            </w:r>
            <w:bookmarkStart w:id="791" w:name="xdx_904_eus-gaap--AntidilutiveSecurities"/>
            <w:bookmarkEnd w:id="791"/>
            <w:r>
              <w:rPr>
                <w:rFonts w:ascii="Times New Roman;Times;Serif" w:hAnsi="Times New Roman;Times;Serif"/>
                <w:sz w:val="20"/>
              </w:rPr>
              <w:t>82,759 vested but unissued shares of restricted stock units under the 2020 Equity Incentive Plan (as discussed in Note 16) are considered issued shares and therefore are included in the computation of basic losses per share when the shares are fully vested.</w:t>
            </w:r>
          </w:p>
        </w:tc>
      </w:tr>
      <w:tr>
        <w:trPr/>
        <w:tc>
          <w:tcPr>
            <w:tcW w:w="140" w:type="dxa"/>
            <w:tcBorders/>
            <w:vAlign w:val="center"/>
          </w:tcPr>
          <w:p>
            <w:pPr>
              <w:pStyle w:val="TableContents"/>
              <w:bidi w:val="0"/>
              <w:spacing w:before="0" w:after="283"/>
              <w:jc w:val="both"/>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the three and nine months ended March 31, 2025, </w:t>
            </w:r>
            <w:bookmarkStart w:id="792" w:name="xdx_904_eus-gaap--AntidilutiveSecurities"/>
            <w:bookmarkEnd w:id="792"/>
            <w:r>
              <w:rPr>
                <w:rFonts w:ascii="Times New Roman;Times;Serif" w:hAnsi="Times New Roman;Times;Serif"/>
                <w:sz w:val="20"/>
              </w:rPr>
              <w:t xml:space="preserve">17,857 and </w:t>
            </w:r>
            <w:bookmarkStart w:id="793" w:name="xdx_905_eus-gaap--AntidilutiveSecurities"/>
            <w:bookmarkEnd w:id="793"/>
            <w:r>
              <w:rPr>
                <w:rFonts w:ascii="Times New Roman;Times;Serif" w:hAnsi="Times New Roman;Times;Serif"/>
                <w:sz w:val="20"/>
              </w:rPr>
              <w:t>62,771 vested but unissued shares of restricted stock units under the 2020 Equity Incentive Plan (as discussed in Note 16) are considered issued shares and therefore are included in the computation of basic losses per share when the shares are fully vested.</w:t>
            </w:r>
          </w:p>
        </w:tc>
      </w:tr>
    </w:tbl>
    <w:p>
      <w:pPr>
        <w:pStyle w:val="TextBody"/>
        <w:bidi w:val="0"/>
        <w:spacing w:before="0" w:after="0"/>
        <w:ind w:left="0" w:right="0" w:hanging="0"/>
        <w:jc w:val="left"/>
        <w:rPr>
          <w:caps w:val="false"/>
          <w:smallCaps w:val="false"/>
        </w:rPr>
      </w:pPr>
      <w:bookmarkStart w:id="794" w:name="xdx_8AD_zBRONVV9ji4j"/>
      <w:bookmarkEnd w:id="794"/>
      <w:r>
        <w:rPr>
          <w:caps w:val="false"/>
          <w:smallCaps w:val="false"/>
        </w:rPr>
        <w:t> </w:t>
      </w:r>
    </w:p>
    <w:p>
      <w:pPr>
        <w:pStyle w:val="TextBody"/>
        <w:bidi w:val="0"/>
        <w:spacing w:before="0" w:after="0"/>
        <w:ind w:left="0" w:right="0" w:hanging="0"/>
        <w:jc w:val="left"/>
        <w:rPr>
          <w:caps w:val="false"/>
          <w:smallCaps w:val="false"/>
        </w:rPr>
      </w:pPr>
      <w:bookmarkStart w:id="795" w:name="xdx_232_zz0YnerPqbT5"/>
      <w:bookmarkEnd w:id="79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6" w:name="xdx_801_eus-gaap--StockholdersEquityNote"/>
      <w:bookmarkEnd w:id="796"/>
      <w:r>
        <w:rPr>
          <w:rFonts w:ascii="Times New Roman;Times;Serif" w:hAnsi="Times New Roman;Times;Serif"/>
          <w:b/>
          <w:i w:val="false"/>
          <w:caps w:val="false"/>
          <w:smallCaps w:val="false"/>
          <w:sz w:val="20"/>
        </w:rPr>
        <w:t xml:space="preserve">Note 16 – </w:t>
      </w:r>
      <w:bookmarkStart w:id="797" w:name="xdx_825_zGncQXiePGZc"/>
      <w:bookmarkEnd w:id="797"/>
      <w:r>
        <w:rPr>
          <w:rFonts w:ascii="Times New Roman;Times;Serif" w:hAnsi="Times New Roman;Times;Serif"/>
          <w:b/>
          <w:i w:val="false"/>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total authorized shares of capital stock were 200,000,000 shares consisting of </w:t>
      </w:r>
      <w:bookmarkStart w:id="798" w:name="xdx_904_eus-gaap--CommonStockSharesAutho"/>
      <w:bookmarkEnd w:id="798"/>
      <w:r>
        <w:rPr>
          <w:rFonts w:ascii="Times New Roman;Times;Serif" w:hAnsi="Times New Roman;Times;Serif"/>
          <w:b w:val="false"/>
          <w:i w:val="false"/>
          <w:caps w:val="false"/>
          <w:smallCaps w:val="false"/>
          <w:sz w:val="20"/>
        </w:rPr>
        <w:t xml:space="preserve">180,000,000 shares of Common Stock (“Common Stock”) and </w:t>
      </w:r>
      <w:bookmarkStart w:id="799" w:name="xdx_90B_eus-gaap--PreferredStockSharesAu"/>
      <w:bookmarkEnd w:id="799"/>
      <w:r>
        <w:rPr>
          <w:rFonts w:ascii="Times New Roman;Times;Serif" w:hAnsi="Times New Roman;Times;Serif"/>
          <w:b w:val="false"/>
          <w:i w:val="false"/>
          <w:caps w:val="false"/>
          <w:smallCaps w:val="false"/>
          <w:sz w:val="20"/>
        </w:rPr>
        <w:t>20,000,000 shares of preferred stock (the “Preferred Stock”), each with a par value of $</w:t>
      </w:r>
      <w:bookmarkStart w:id="800" w:name="xdx_902_eus-gaap--PreferredStockParOrSta"/>
      <w:bookmarkEnd w:id="800"/>
      <w:r>
        <w:rPr>
          <w:rFonts w:ascii="Times New Roman;Times;Serif" w:hAnsi="Times New Roman;Times;Serif"/>
          <w:b w:val="false"/>
          <w:i w:val="false"/>
          <w:caps w:val="false"/>
          <w:smallCaps w:val="false"/>
          <w:sz w:val="20"/>
        </w:rPr>
        <w:t>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the Company effectuated the 1-for-30 Reverse Stock Split. When the Reverse Stock Split became effective, every thirty (30) shares of the Company’s issued and outstanding Common Stock immediately prior to the Effective Time automatically reclassified into one (1) share of Common Stock, without any change in the par value per share. The Reverse Stock Split did not change the total number of authorized shares of Common Stock or preferred stock. As a result, unless otherwise indicated, all references to common stock, restricted stock units, warrants and options to purchase common stock, share data, per-share data, and related information have been retroactively adjusted, where applicable in the unaudited condensed consolidated financial statements and notes, to reflect the 1-for-30 reverse stock split of the Company’s common stock as if the split had occurred at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March 31, 2026, the Company issued </w:t>
      </w:r>
      <w:bookmarkStart w:id="801" w:name="xdx_909_eus-gaap--StockIssuedDuringPerio"/>
      <w:bookmarkEnd w:id="801"/>
      <w:r>
        <w:rPr>
          <w:rFonts w:ascii="Times New Roman;Times;Serif" w:hAnsi="Times New Roman;Times;Serif"/>
          <w:b w:val="false"/>
          <w:i w:val="false"/>
          <w:caps w:val="false"/>
          <w:smallCaps w:val="false"/>
          <w:sz w:val="20"/>
        </w:rPr>
        <w:t>4,460 shares of restricted Common Stock for RSUs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2024, the Company closed on a registered direct offering (the “Registered Direct”) of </w:t>
      </w:r>
      <w:bookmarkStart w:id="802" w:name="xdx_90A_eus-gaap--StockIssuedDuringPerio"/>
      <w:bookmarkEnd w:id="802"/>
      <w:r>
        <w:rPr>
          <w:rFonts w:ascii="Times New Roman;Times;Serif" w:hAnsi="Times New Roman;Times;Serif"/>
          <w:b w:val="false"/>
          <w:i w:val="false"/>
          <w:caps w:val="false"/>
          <w:smallCaps w:val="false"/>
          <w:sz w:val="20"/>
        </w:rPr>
        <w:t xml:space="preserve">69,445 shares of common stock (the “Shares”) and a concurrent private placement (“Private Placement,” and together with the Registered Direct, the “Offering”) of warrants (the “Warrants”) to purchase </w:t>
      </w:r>
      <w:bookmarkStart w:id="803" w:name="xdx_907_eus-gaap--ClassOfWarrantOrRightN"/>
      <w:bookmarkEnd w:id="803"/>
      <w:r>
        <w:rPr>
          <w:rFonts w:ascii="Times New Roman;Times;Serif" w:hAnsi="Times New Roman;Times;Serif"/>
          <w:b w:val="false"/>
          <w:i w:val="false"/>
          <w:caps w:val="false"/>
          <w:smallCaps w:val="false"/>
          <w:sz w:val="20"/>
        </w:rPr>
        <w:t>69,445 shares of common stock (the “Warrant Shares”), which were sold for gross aggregate proceeds of $</w:t>
      </w:r>
      <w:bookmarkStart w:id="804" w:name="xdx_902_ecustom--GrossProceedsFromIssuan"/>
      <w:bookmarkEnd w:id="804"/>
      <w:r>
        <w:rPr>
          <w:rFonts w:ascii="Times New Roman;Times;Serif" w:hAnsi="Times New Roman;Times;Serif"/>
          <w:b w:val="false"/>
          <w:i w:val="false"/>
          <w:caps w:val="false"/>
          <w:smallCaps w:val="false"/>
          <w:sz w:val="20"/>
        </w:rPr>
        <w:t xml:space="preserve">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pursuant to Section 4(a)(2) or Regulation D on the Securities Act, have a term of </w:t>
      </w:r>
      <w:bookmarkStart w:id="805" w:name="xdx_907_eus-gaap--WarrantsAndRightsOutst"/>
      <w:bookmarkEnd w:id="805"/>
      <w:r>
        <w:rPr>
          <w:rFonts w:ascii="Times New Roman;Times;Serif" w:hAnsi="Times New Roman;Times;Serif"/>
          <w:b w:val="false"/>
          <w:i w:val="false"/>
          <w:caps w:val="false"/>
          <w:smallCaps w:val="false"/>
          <w:sz w:val="20"/>
        </w:rPr>
        <w:t>five years and are immediately exercisable at $</w:t>
      </w:r>
      <w:bookmarkStart w:id="806" w:name="xdx_90B_eus-gaap--ClassOfWarrantOrRightE"/>
      <w:bookmarkEnd w:id="806"/>
      <w:r>
        <w:rPr>
          <w:rFonts w:ascii="Times New Roman;Times;Serif" w:hAnsi="Times New Roman;Times;Serif"/>
          <w:b w:val="false"/>
          <w:i w:val="false"/>
          <w:caps w:val="false"/>
          <w:smallCaps w:val="false"/>
          <w:sz w:val="20"/>
        </w:rPr>
        <w:t>72.0 per share. The Shares and Warrants were sold to a purchaser pursuant to a securities purchase agreement, dated June 16, 2024, between the Company and the purchaser (the “Purchase Agreement”). Roth Capital Partners, LLC (the “Placement Agent”) acted as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 The net proceeds of the Offering, after deducting $</w:t>
      </w:r>
      <w:bookmarkStart w:id="807" w:name="xdx_90D_eus-gaap--PaymentsOfStockIssuanc"/>
      <w:bookmarkEnd w:id="807"/>
      <w:r>
        <w:rPr>
          <w:rFonts w:ascii="Times New Roman;Times;Serif" w:hAnsi="Times New Roman;Times;Serif"/>
          <w:b w:val="false"/>
          <w:i w:val="false"/>
          <w:caps w:val="false"/>
          <w:smallCaps w:val="false"/>
          <w:sz w:val="20"/>
        </w:rPr>
        <w:t>456,913, the Placement Agent’s fees and expenses and other direct offering costs paid by the Company, was $</w:t>
      </w:r>
      <w:bookmarkStart w:id="808" w:name="xdx_903_eus-gaap--ProceedsFromIssuanceOr"/>
      <w:bookmarkEnd w:id="808"/>
      <w:r>
        <w:rPr>
          <w:rFonts w:ascii="Times New Roman;Times;Serif" w:hAnsi="Times New Roman;Times;Serif"/>
          <w:b w:val="false"/>
          <w:i w:val="false"/>
          <w:caps w:val="false"/>
          <w:smallCaps w:val="false"/>
          <w:sz w:val="20"/>
        </w:rPr>
        <w:t>4,543,089.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calculated the fair value of the Warrants at $</w:t>
      </w:r>
      <w:bookmarkStart w:id="809" w:name="xdx_909_ecustom--WarrantsFairValue_iI_pn"/>
      <w:bookmarkEnd w:id="809"/>
      <w:r>
        <w:rPr>
          <w:rFonts w:ascii="Times New Roman;Times;Serif" w:hAnsi="Times New Roman;Times;Serif"/>
          <w:b w:val="false"/>
          <w:i w:val="false"/>
          <w:caps w:val="false"/>
          <w:smallCaps w:val="false"/>
          <w:sz w:val="20"/>
        </w:rPr>
        <w:t>3.1 million, with a relative fair value of $</w:t>
      </w:r>
      <w:bookmarkStart w:id="810" w:name="xdx_90F_ecustom--RelativeFairValue_iI_pn"/>
      <w:bookmarkEnd w:id="810"/>
      <w:r>
        <w:rPr>
          <w:rFonts w:ascii="Times New Roman;Times;Serif" w:hAnsi="Times New Roman;Times;Serif"/>
          <w:b w:val="false"/>
          <w:i w:val="false"/>
          <w:caps w:val="false"/>
          <w:smallCaps w:val="false"/>
          <w:sz w:val="20"/>
        </w:rPr>
        <w:t>1.7 million after allocation of the fair value of the Shares, using the Black-Scholes Model with the following variables:</w:t>
      </w:r>
    </w:p>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95"/>
        <w:gridCol w:w="371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 - $</w:t>
            </w:r>
            <w:bookmarkStart w:id="811" w:name="xdx_90D_eus-gaap--SharePrice_iI_c2024061"/>
            <w:bookmarkEnd w:id="811"/>
            <w:r>
              <w:rPr>
                <w:rFonts w:ascii="Times New Roman;Times;Serif" w:hAnsi="Times New Roman;Times;Serif"/>
                <w:sz w:val="20"/>
              </w:rPr>
              <w:t>2.00 (pre-reverse-split price)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Price - $</w:t>
            </w:r>
            <w:bookmarkStart w:id="812" w:name="xdx_904_ecustom--WarrantExercisePrice_c2"/>
            <w:bookmarkEnd w:id="812"/>
            <w:r>
              <w:rPr>
                <w:rFonts w:ascii="Times New Roman;Times;Serif" w:hAnsi="Times New Roman;Times;Serif"/>
                <w:sz w:val="20"/>
              </w:rPr>
              <w:t>2.40 (pre-reverse-split price)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Volatility – </w:t>
            </w:r>
            <w:bookmarkStart w:id="813" w:name="xdx_90F_eus-gaap--ShareBasedCompensation"/>
            <w:bookmarkEnd w:id="813"/>
            <w:r>
              <w:rPr>
                <w:rFonts w:ascii="Times New Roman;Times;Serif" w:hAnsi="Times New Roman;Times;Serif"/>
                <w:sz w:val="20"/>
              </w:rPr>
              <w:t xml:space="preserve">104%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 –</w:t>
            </w:r>
            <w:bookmarkStart w:id="814" w:name="xdx_906_eus-gaap--SharebasedCompensation"/>
            <w:bookmarkEnd w:id="814"/>
            <w:r>
              <w:rPr>
                <w:rFonts w:ascii="Times New Roman;Times;Serif" w:hAnsi="Times New Roman;Times;Serif"/>
                <w:sz w:val="20"/>
              </w:rPr>
              <w:t>5 years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Risk Free Rate of Return – </w:t>
            </w:r>
            <w:bookmarkStart w:id="815" w:name="xdx_904_eus-gaap--ShareBasedCompensation"/>
            <w:bookmarkEnd w:id="815"/>
            <w:r>
              <w:rPr>
                <w:rFonts w:ascii="Times New Roman;Times;Serif" w:hAnsi="Times New Roman;Times;Serif"/>
                <w:sz w:val="20"/>
              </w:rPr>
              <w:t xml:space="preserve">4.24% </w:t>
            </w:r>
          </w:p>
        </w:tc>
      </w:tr>
    </w:tbl>
    <w:p>
      <w:pPr>
        <w:pStyle w:val="TextBody"/>
        <w:bidi w:val="0"/>
        <w:spacing w:before="0" w:after="0"/>
        <w:ind w:left="0" w:right="0" w:hanging="0"/>
        <w:jc w:val="both"/>
        <w:rPr>
          <w:caps w:val="false"/>
          <w:smallCaps w:val="false"/>
        </w:rPr>
      </w:pPr>
      <w:bookmarkStart w:id="816" w:name="xdx_23F_z6Hc5QxKlxHe"/>
      <w:bookmarkEnd w:id="816"/>
      <w:r>
        <w:rPr>
          <w:caps w:val="false"/>
          <w:smallCaps w:val="false"/>
        </w:rPr>
        <w:t>  </w:t>
      </w:r>
    </w:p>
    <w:p>
      <w:pPr>
        <w:pStyle w:val="TextBody"/>
        <w:bidi w:val="0"/>
        <w:spacing w:before="0" w:after="0"/>
        <w:ind w:left="0" w:right="0" w:hanging="0"/>
        <w:jc w:val="both"/>
        <w:rPr>
          <w:caps w:val="false"/>
          <w:smallCaps w:val="false"/>
        </w:rPr>
      </w:pPr>
      <w:bookmarkStart w:id="817" w:name="xdx_231_zRNtIOLrVMcc"/>
      <w:bookmarkEnd w:id="817"/>
      <w:r>
        <w:rPr>
          <w:caps w:val="false"/>
          <w:smallCaps w:val="false"/>
        </w:rPr>
        <w:t> </w:t>
      </w:r>
    </w:p>
    <w:p>
      <w:pPr>
        <w:pStyle w:val="TextBody"/>
        <w:bidi w:val="0"/>
        <w:spacing w:before="0" w:after="0"/>
        <w:ind w:left="0" w:right="0" w:hanging="0"/>
        <w:jc w:val="both"/>
        <w:rPr>
          <w:caps w:val="false"/>
          <w:smallCaps w:val="false"/>
        </w:rPr>
      </w:pPr>
      <w:bookmarkStart w:id="818" w:name="xdx_235_zb3yjGYyO0cd"/>
      <w:bookmarkEnd w:id="81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 except for some fundamental transactions within the Company’s control, in no event shall the Company be required to net cash settle the Warrants. The Company considered and followed the rules and guidelines under ASC 480-10 and ASC 815 and concluded that the Warrants should be classified and recorded as equity. Further, as the warrants were issued as part of the Offering, the relative fair value of the Warrants was included in the gross proceeds and recorded as additional paid-in capital. As of March 31, 2026 and June 30, 2025, none of the warrants had been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2024, in order to recoup the settlement payment made to Boustead Securities, LLC, the Company’s Chief Executive Officer and co-founder, Lawrence Tan, along with co-founder Allan Huang, returned a total of </w:t>
      </w:r>
      <w:bookmarkStart w:id="819" w:name="xdx_90C_eus-gaap--ShareBasedCompensation"/>
      <w:bookmarkEnd w:id="819"/>
      <w:r>
        <w:rPr>
          <w:rFonts w:ascii="Times New Roman;Times;Serif" w:hAnsi="Times New Roman;Times;Serif"/>
          <w:b w:val="false"/>
          <w:i w:val="false"/>
          <w:caps w:val="false"/>
          <w:smallCaps w:val="false"/>
          <w:sz w:val="20"/>
        </w:rPr>
        <w:t>18,056 shares to the Company for cancellation (the “Share Cancellation”). The Share Cancellation was completed in June 2024 and the par value of $</w:t>
      </w:r>
      <w:bookmarkStart w:id="820" w:name="xdx_90C_eus-gaap--AdjustmentsToAdditiona"/>
      <w:bookmarkEnd w:id="820"/>
      <w:r>
        <w:rPr>
          <w:rFonts w:ascii="Times New Roman;Times;Serif" w:hAnsi="Times New Roman;Times;Serif"/>
          <w:b w:val="false"/>
          <w:i w:val="false"/>
          <w:caps w:val="false"/>
          <w:smallCaps w:val="false"/>
          <w:sz w:val="20"/>
        </w:rPr>
        <w:t>542 was reduced against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2025, holders of a majority of the Company’s outstanding voting power (53.1%) approved (1) the Convertible Note Facility, (2) the issuance of in excess of 20% of the Company’s outstanding common stock at a price less than the “Minimum Price” under Nasdaq Listing Rule 5635(d), (3) an increase in authorized shares from 200,000,000 to 1,000,000,000, (4) authorization for the Board to approve one or more reverse stock splits in the range of 1-for-250 shares, and (5) authorization for the Board to adopt a mirror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March 31, 2026, the Company issued the following common stock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bookmarkStart w:id="821" w:name="xdx_909_eus-gaap--DebtConversionConverte"/>
            <w:bookmarkEnd w:id="821"/>
            <w:r>
              <w:rPr>
                <w:rFonts w:ascii="Times New Roman;Times;Serif" w:hAnsi="Times New Roman;Times;Serif"/>
                <w:sz w:val="20"/>
              </w:rPr>
              <w:t>703,487 shares in connection with the conversion of a $</w:t>
            </w:r>
            <w:bookmarkStart w:id="822" w:name="xdx_903_eus-gaap--DebtConversionConverte"/>
            <w:bookmarkEnd w:id="822"/>
            <w:r>
              <w:rPr>
                <w:rFonts w:ascii="Times New Roman;Times;Serif" w:hAnsi="Times New Roman;Times;Serif"/>
                <w:sz w:val="20"/>
              </w:rPr>
              <w:t>2,597,000 in aggregate fair value of convertible notes at a weighted-average conversion price of $3.69 per share;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bookmarkStart w:id="823" w:name="xdx_906_eus-gaap--StockIssuedDuringPerio"/>
            <w:bookmarkEnd w:id="823"/>
            <w:r>
              <w:rPr>
                <w:rFonts w:ascii="Times New Roman;Times;Serif" w:hAnsi="Times New Roman;Times;Serif"/>
                <w:sz w:val="20"/>
              </w:rPr>
              <w:t>20,680 shares for services to consultants;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bookmarkStart w:id="824" w:name="xdx_90D_eus-gaap--StockIssuedDuringPerio"/>
            <w:bookmarkEnd w:id="824"/>
            <w:r>
              <w:rPr>
                <w:rFonts w:ascii="Times New Roman;Times;Serif" w:hAnsi="Times New Roman;Times;Serif"/>
                <w:sz w:val="20"/>
              </w:rPr>
              <w:t>42 shares were issued as round-up shares in connection with the reverse stock split that became effective on October 27,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June 30, 2025, there were </w:t>
      </w:r>
      <w:bookmarkStart w:id="825" w:name="xdx_90D_eus-gaap--CommonStockSharesOutst"/>
      <w:bookmarkStart w:id="826" w:name="xdx_907_eus-gaap--CommonStockSharesIssue"/>
      <w:bookmarkEnd w:id="825"/>
      <w:bookmarkEnd w:id="826"/>
      <w:r>
        <w:rPr>
          <w:rFonts w:ascii="Times New Roman;Times;Serif" w:hAnsi="Times New Roman;Times;Serif"/>
          <w:b w:val="false"/>
          <w:i w:val="false"/>
          <w:caps w:val="false"/>
          <w:smallCaps w:val="false"/>
          <w:sz w:val="20"/>
        </w:rPr>
        <w:t xml:space="preserve">1,773,999 and </w:t>
      </w:r>
      <w:bookmarkStart w:id="827" w:name="xdx_905_eus-gaap--CommonStockSharesOutst"/>
      <w:bookmarkStart w:id="828" w:name="xdx_908_eus-gaap--CommonStockSharesIssue"/>
      <w:bookmarkEnd w:id="827"/>
      <w:bookmarkEnd w:id="828"/>
      <w:r>
        <w:rPr>
          <w:rFonts w:ascii="Times New Roman;Times;Serif" w:hAnsi="Times New Roman;Times;Serif"/>
          <w:b w:val="false"/>
          <w:i w:val="false"/>
          <w:caps w:val="false"/>
          <w:smallCaps w:val="false"/>
          <w:sz w:val="20"/>
        </w:rPr>
        <w:t>1,045,330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March 31, 2026 and June 30, 2025, respectively, there were </w:t>
      </w:r>
      <w:bookmarkStart w:id="829" w:name="xdx_90E_eus-gaap--PreferredStockSharesOu"/>
      <w:bookmarkStart w:id="830" w:name="xdx_902_eus-gaap--PreferredStockSharesIs"/>
      <w:bookmarkStart w:id="831" w:name="xdx_907_eus-gaap--PreferredStockSharesOu"/>
      <w:bookmarkStart w:id="832" w:name="xdx_90B_eus-gaap--PreferredStockSharesIs"/>
      <w:bookmarkEnd w:id="829"/>
      <w:bookmarkEnd w:id="830"/>
      <w:bookmarkEnd w:id="831"/>
      <w:bookmarkEnd w:id="832"/>
      <w:r>
        <w:rPr>
          <w:rFonts w:ascii="Times New Roman;Times;Serif" w:hAnsi="Times New Roman;Times;Serif"/>
          <w:b w:val="false"/>
          <w:i w:val="false"/>
          <w:caps w:val="false"/>
          <w:smallCaps w:val="false"/>
          <w:sz w:val="20"/>
        </w:rPr>
        <w:t>no shares of Preferred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5, 2021, the Company’s Board of Directors adopted, and its stockholders approved and ratified, the iPower Inc. Amended and Restated 2020 Equity Incentive Plan (the “Plan”). The Plan allows for the issuance of up to </w:t>
      </w:r>
      <w:bookmarkStart w:id="833" w:name="xdx_90E_eus-gaap--ShareBasedCompensation"/>
      <w:bookmarkEnd w:id="833"/>
      <w:r>
        <w:rPr>
          <w:rFonts w:ascii="Times New Roman;Times;Serif" w:hAnsi="Times New Roman;Times;Serif"/>
          <w:b w:val="false"/>
          <w:i w:val="false"/>
          <w:caps w:val="false"/>
          <w:smallCaps w:val="false"/>
          <w:sz w:val="20"/>
        </w:rPr>
        <w:t>50,000,000 shares of Common Stock, whether in the form of stock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was subsequently amended on December 6, 2022 and September 15, 2023, November 22, 2023, and April 17, 2026.</w:t>
      </w:r>
    </w:p>
    <w:p>
      <w:pPr>
        <w:pStyle w:val="TextBody"/>
        <w:bidi w:val="0"/>
        <w:spacing w:before="0" w:after="0"/>
        <w:ind w:left="0" w:right="0" w:hanging="0"/>
        <w:jc w:val="both"/>
        <w:rPr>
          <w:caps w:val="false"/>
          <w:smallCaps w:val="false"/>
        </w:rPr>
      </w:pPr>
      <w:bookmarkStart w:id="834" w:name="xdx_238_ziAs0LEnvQQ"/>
      <w:bookmarkEnd w:id="834"/>
      <w:r>
        <w:rPr>
          <w:caps w:val="false"/>
          <w:smallCaps w:val="false"/>
        </w:rPr>
        <w:t> </w:t>
      </w:r>
    </w:p>
    <w:p>
      <w:pPr>
        <w:pStyle w:val="TextBody"/>
        <w:bidi w:val="0"/>
        <w:spacing w:before="0" w:after="0"/>
        <w:ind w:left="0" w:right="0" w:hanging="0"/>
        <w:jc w:val="both"/>
        <w:rPr>
          <w:caps w:val="false"/>
          <w:smallCaps w:val="false"/>
        </w:rPr>
      </w:pPr>
      <w:bookmarkStart w:id="835" w:name="xdx_23A_z070lTs0qZoj"/>
      <w:bookmarkEnd w:id="835"/>
      <w:r>
        <w:rPr>
          <w:caps w:val="false"/>
          <w:smallCaps w:val="false"/>
        </w:rPr>
        <w:t> </w:t>
      </w:r>
    </w:p>
    <w:p>
      <w:pPr>
        <w:pStyle w:val="TextBody"/>
        <w:bidi w:val="0"/>
        <w:spacing w:before="0" w:after="0"/>
        <w:ind w:left="0" w:right="0" w:hanging="0"/>
        <w:jc w:val="both"/>
        <w:rPr>
          <w:caps w:val="false"/>
          <w:smallCaps w:val="false"/>
        </w:rPr>
      </w:pPr>
      <w:bookmarkStart w:id="836" w:name="xdx_23B_zxyO6QgozYqg"/>
      <w:bookmarkEnd w:id="83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granted $</w:t>
      </w:r>
      <w:bookmarkStart w:id="837" w:name="xdx_90E_eus-gaap--StockIssuedDuringPerio"/>
      <w:bookmarkEnd w:id="837"/>
      <w:r>
        <w:rPr>
          <w:rFonts w:ascii="Times New Roman;Times;Serif" w:hAnsi="Times New Roman;Times;Serif"/>
          <w:b w:val="false"/>
          <w:i w:val="false"/>
          <w:caps w:val="false"/>
          <w:smallCaps w:val="false"/>
          <w:sz w:val="20"/>
        </w:rPr>
        <w:t xml:space="preserve">800,000 in RSUs as bonus to Chenlong Tan, the CEO of the Company. As a result, </w:t>
      </w:r>
      <w:bookmarkStart w:id="838" w:name="xdx_905_eus-gaap--StockIssuedDuringPerio"/>
      <w:bookmarkEnd w:id="838"/>
      <w:r>
        <w:rPr>
          <w:rFonts w:ascii="Times New Roman;Times;Serif" w:hAnsi="Times New Roman;Times;Serif"/>
          <w:b w:val="false"/>
          <w:i w:val="false"/>
          <w:caps w:val="false"/>
          <w:smallCaps w:val="false"/>
          <w:sz w:val="20"/>
        </w:rPr>
        <w:t>81,136 RSUs, calculated based on the closing price, $</w:t>
      </w:r>
      <w:bookmarkStart w:id="839" w:name="xdx_903_ecustom--ClosingPrice_iI_c202511"/>
      <w:bookmarkEnd w:id="839"/>
      <w:r>
        <w:rPr>
          <w:rFonts w:ascii="Times New Roman;Times;Serif" w:hAnsi="Times New Roman;Times;Serif"/>
          <w:b w:val="false"/>
          <w:i w:val="false"/>
          <w:caps w:val="false"/>
          <w:smallCaps w:val="false"/>
          <w:sz w:val="20"/>
        </w:rPr>
        <w:t>9.86, on the grant date, were issued to Mr. Tan. The RSUs vested immediately but contained a deferred settlement provision. As a result, settlement of the vested RSUs shall occur on the earliest of the following Code Section 409A-permitted payment events: (1) change of control of the Company that qualifies as a “change in control event” as defined under Code Section 409A; (2) Reporting Person’s separation from service (subject to any required delay under the Amended and Restated 2020 Equity Incentive Plan; (3) upon the Reporting Person’s death or disability, or (4) in the event of an “unforeseeable financial emergency,” as defined under Code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March 31, 2026 and 2025, the Company granted an additional </w:t>
      </w:r>
      <w:bookmarkStart w:id="840" w:name="xdx_90D_eus-gaap--StockIssuedDuringPerio"/>
      <w:bookmarkEnd w:id="840"/>
      <w:r>
        <w:rPr>
          <w:rFonts w:ascii="Times New Roman;Times;Serif" w:hAnsi="Times New Roman;Times;Serif"/>
          <w:b w:val="false"/>
          <w:i w:val="false"/>
          <w:caps w:val="false"/>
          <w:smallCaps w:val="false"/>
          <w:sz w:val="20"/>
        </w:rPr>
        <w:t xml:space="preserve">82,742 and </w:t>
      </w:r>
      <w:bookmarkStart w:id="841" w:name="xdx_90F_eus-gaap--StockIssuedDuringPerio"/>
      <w:bookmarkEnd w:id="841"/>
      <w:r>
        <w:rPr>
          <w:rFonts w:ascii="Times New Roman;Times;Serif" w:hAnsi="Times New Roman;Times;Serif"/>
          <w:b w:val="false"/>
          <w:i w:val="false"/>
          <w:caps w:val="false"/>
          <w:smallCaps w:val="false"/>
          <w:sz w:val="20"/>
        </w:rPr>
        <w:t>2,381 shares of RSUs to the Company’s directors,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March 31, 2026, the Company recorded stock-based compensation expense of $</w:t>
      </w:r>
      <w:bookmarkStart w:id="842" w:name="xdx_90D_eus-gaap--ShareBasedCompensation"/>
      <w:bookmarkEnd w:id="842"/>
      <w:r>
        <w:rPr>
          <w:rFonts w:ascii="Times New Roman;Times;Serif" w:hAnsi="Times New Roman;Times;Serif"/>
          <w:b w:val="false"/>
          <w:i w:val="false"/>
          <w:caps w:val="false"/>
          <w:smallCaps w:val="false"/>
          <w:sz w:val="20"/>
        </w:rPr>
        <w:t>10,000 and $</w:t>
      </w:r>
      <w:bookmarkStart w:id="843" w:name="xdx_904_eus-gaap--ShareBasedCompensation"/>
      <w:bookmarkEnd w:id="843"/>
      <w:r>
        <w:rPr>
          <w:rFonts w:ascii="Times New Roman;Times;Serif" w:hAnsi="Times New Roman;Times;Serif"/>
          <w:b w:val="false"/>
          <w:i w:val="false"/>
          <w:caps w:val="false"/>
          <w:smallCaps w:val="false"/>
          <w:sz w:val="20"/>
        </w:rPr>
        <w:t>830,000, respectively, related to the vesting of RSUs. For the three and nine months ended March 31, 2025, the Company recorded $</w:t>
      </w:r>
      <w:bookmarkStart w:id="844" w:name="xdx_904_eus-gaap--ShareBasedCompensation"/>
      <w:bookmarkEnd w:id="844"/>
      <w:r>
        <w:rPr>
          <w:rFonts w:ascii="Times New Roman;Times;Serif" w:hAnsi="Times New Roman;Times;Serif"/>
          <w:b w:val="false"/>
          <w:i w:val="false"/>
          <w:caps w:val="false"/>
          <w:smallCaps w:val="false"/>
          <w:sz w:val="20"/>
        </w:rPr>
        <w:t>22,500 and $</w:t>
      </w:r>
      <w:bookmarkStart w:id="845" w:name="xdx_90A_eus-gaap--ShareBasedCompensation"/>
      <w:bookmarkEnd w:id="845"/>
      <w:r>
        <w:rPr>
          <w:rFonts w:ascii="Times New Roman;Times;Serif" w:hAnsi="Times New Roman;Times;Serif"/>
          <w:b w:val="false"/>
          <w:i w:val="false"/>
          <w:caps w:val="false"/>
          <w:smallCaps w:val="false"/>
          <w:sz w:val="20"/>
        </w:rPr>
        <w:t xml:space="preserve">76,788 of stock-based compensation expense. There was no forfeiture of RSUs occurred during the nine months ended March 31, 2026 and 2025. As of March 31, 2026 and June 30, 2025, the unvested number of RSUs was </w:t>
      </w:r>
      <w:bookmarkStart w:id="846" w:name="xdx_908_eus-gaap--ShareBasedCompensation"/>
      <w:bookmarkEnd w:id="846"/>
      <w:r>
        <w:rPr>
          <w:rFonts w:ascii="Times New Roman;Times;Serif" w:hAnsi="Times New Roman;Times;Serif"/>
          <w:b w:val="false"/>
          <w:i w:val="false"/>
          <w:caps w:val="false"/>
          <w:smallCaps w:val="false"/>
          <w:sz w:val="20"/>
        </w:rPr>
        <w:t xml:space="preserve">448 and </w:t>
      </w:r>
      <w:bookmarkStart w:id="847" w:name="xdx_905_eus-gaap--ShareBasedCompensation"/>
      <w:bookmarkEnd w:id="847"/>
      <w:r>
        <w:rPr>
          <w:rFonts w:ascii="Times New Roman;Times;Serif" w:hAnsi="Times New Roman;Times;Serif"/>
          <w:b w:val="false"/>
          <w:i w:val="false"/>
          <w:caps w:val="false"/>
          <w:smallCaps w:val="false"/>
          <w:sz w:val="20"/>
        </w:rPr>
        <w:t>463 and the unamortized expense was $</w:t>
      </w:r>
      <w:bookmarkStart w:id="848" w:name="xdx_906_eus-gaap--EmployeeServiceShareBa"/>
      <w:bookmarkEnd w:id="848"/>
      <w:r>
        <w:rPr>
          <w:rFonts w:ascii="Times New Roman;Times;Serif" w:hAnsi="Times New Roman;Times;Serif"/>
          <w:b w:val="false"/>
          <w:i w:val="false"/>
          <w:caps w:val="false"/>
          <w:smallCaps w:val="false"/>
          <w:sz w:val="20"/>
        </w:rPr>
        <w:t>8,333 and $</w:t>
      </w:r>
      <w:bookmarkStart w:id="849" w:name="xdx_90C_eus-gaap--EmployeeServiceShareBa"/>
      <w:bookmarkEnd w:id="849"/>
      <w:r>
        <w:rPr>
          <w:rFonts w:ascii="Times New Roman;Times;Serif" w:hAnsi="Times New Roman;Times;Serif"/>
          <w:b w:val="false"/>
          <w:i w:val="false"/>
          <w:caps w:val="false"/>
          <w:smallCaps w:val="false"/>
          <w:sz w:val="20"/>
        </w:rPr>
        <w:t>8,333,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RSU grants is summarized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March 31, 2026: </w:t>
      </w:r>
    </w:p>
    <w:p>
      <w:pPr>
        <w:pStyle w:val="Normal"/>
        <w:bidi w:val="0"/>
        <w:spacing w:before="0" w:after="0"/>
        <w:jc w:val="left"/>
        <w:rPr>
          <w:sz w:val="4"/>
          <w:szCs w:val="4"/>
        </w:rPr>
      </w:pPr>
      <w:r>
        <w:rPr>
          <w:sz w:val="4"/>
          <w:szCs w:val="4"/>
        </w:rPr>
      </w:r>
      <w:bookmarkStart w:id="850" w:name="xdx_898_eus-gaap--ScheduleOfShareBasedCo"/>
      <w:bookmarkStart w:id="851" w:name="xdx_898_eus-gaap--ScheduleOfShareBasedCo"/>
      <w:bookmarkEnd w:id="851"/>
    </w:p>
    <w:tbl>
      <w:tblPr>
        <w:tblW w:w="10205" w:type="dxa"/>
        <w:jc w:val="left"/>
        <w:tblInd w:w="0" w:type="dxa"/>
        <w:tblLayout w:type="fixed"/>
        <w:tblCellMar>
          <w:top w:w="0" w:type="dxa"/>
          <w:left w:w="0" w:type="dxa"/>
          <w:bottom w:w="0" w:type="dxa"/>
          <w:right w:w="0" w:type="dxa"/>
        </w:tblCellMar>
      </w:tblPr>
      <w:tblGrid>
        <w:gridCol w:w="3572"/>
        <w:gridCol w:w="60"/>
        <w:gridCol w:w="106"/>
        <w:gridCol w:w="1342"/>
        <w:gridCol w:w="168"/>
        <w:gridCol w:w="60"/>
        <w:gridCol w:w="673"/>
        <w:gridCol w:w="3857"/>
        <w:gridCol w:w="367"/>
      </w:tblGrid>
      <w:tr>
        <w:trPr/>
        <w:tc>
          <w:tcPr>
            <w:tcW w:w="3572" w:type="dxa"/>
            <w:tcBorders/>
            <w:vAlign w:val="center"/>
          </w:tcPr>
          <w:p>
            <w:pPr>
              <w:pStyle w:val="TableContents"/>
              <w:bidi w:val="0"/>
              <w:spacing w:before="0" w:after="283"/>
              <w:jc w:val="left"/>
              <w:rPr/>
            </w:pPr>
            <w:bookmarkStart w:id="852" w:name="xdx_8B9_zK9c3eovDQKd"/>
            <w:bookmarkEnd w:id="852"/>
            <w:r>
              <w:rPr/>
              <w:t>Schedule of RSU activity</w:t>
            </w:r>
          </w:p>
        </w:tc>
        <w:tc>
          <w:tcPr>
            <w:tcW w:w="60" w:type="dxa"/>
            <w:tcBorders/>
            <w:vAlign w:val="center"/>
          </w:tcPr>
          <w:p>
            <w:pPr>
              <w:pStyle w:val="TableContents"/>
              <w:bidi w:val="0"/>
              <w:spacing w:before="0" w:after="283"/>
              <w:jc w:val="left"/>
              <w:rPr/>
            </w:pPr>
            <w:r>
              <w:rPr/>
              <w:t> </w:t>
            </w:r>
          </w:p>
        </w:tc>
        <w:tc>
          <w:tcPr>
            <w:tcW w:w="1616"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97" w:type="dxa"/>
            <w:gridSpan w:val="3"/>
            <w:tcBorders/>
            <w:vAlign w:val="center"/>
          </w:tcPr>
          <w:p>
            <w:pPr>
              <w:pStyle w:val="TableContents"/>
              <w:bidi w:val="0"/>
              <w:spacing w:before="0" w:after="283"/>
              <w:jc w:val="center"/>
              <w:rPr/>
            </w:pPr>
            <w:r>
              <w:rPr/>
              <w:t> </w:t>
            </w:r>
          </w:p>
        </w:tc>
      </w:tr>
      <w:tr>
        <w:trPr/>
        <w:tc>
          <w:tcPr>
            <w:tcW w:w="3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 RSUs Issued</w:t>
            </w:r>
          </w:p>
        </w:tc>
        <w:tc>
          <w:tcPr>
            <w:tcW w:w="60" w:type="dxa"/>
            <w:tcBorders/>
            <w:vAlign w:val="center"/>
          </w:tcPr>
          <w:p>
            <w:pPr>
              <w:pStyle w:val="TableContents"/>
              <w:bidi w:val="0"/>
              <w:spacing w:before="0" w:after="283"/>
              <w:jc w:val="left"/>
              <w:rPr/>
            </w:pPr>
            <w:r>
              <w:rPr/>
              <w:t> </w:t>
            </w:r>
          </w:p>
        </w:tc>
        <w:tc>
          <w:tcPr>
            <w:tcW w:w="489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 Fair Market Value of RSUs Issued as Compensation (1)</w:t>
            </w:r>
          </w:p>
        </w:tc>
      </w:tr>
      <w:tr>
        <w:trPr/>
        <w:tc>
          <w:tcPr>
            <w:tcW w:w="3572" w:type="dxa"/>
            <w:tcBorders/>
            <w:shd w:fill="EEEEEE" w:val="clear"/>
            <w:vAlign w:val="center"/>
          </w:tcPr>
          <w:p>
            <w:pPr>
              <w:pStyle w:val="TableContents"/>
              <w:bidi w:val="0"/>
              <w:spacing w:before="0" w:after="283"/>
              <w:jc w:val="left"/>
              <w:rPr/>
            </w:pPr>
            <w:r>
              <w:rPr/>
              <w:t>RSUs granted, but not vested, at June 30, 2025</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bookmarkStart w:id="853" w:name="xdx_988_eus-gaap--ShareBasedCompensation"/>
            <w:bookmarkEnd w:id="853"/>
          </w:p>
        </w:tc>
        <w:tc>
          <w:tcPr>
            <w:tcW w:w="1342" w:type="dxa"/>
            <w:tcBorders/>
            <w:shd w:fill="EEEEEE" w:val="clear"/>
            <w:vAlign w:val="center"/>
          </w:tcPr>
          <w:p>
            <w:pPr>
              <w:pStyle w:val="TableContents"/>
              <w:bidi w:val="0"/>
              <w:spacing w:before="0" w:after="283"/>
              <w:jc w:val="right"/>
              <w:rPr/>
            </w:pPr>
            <w:r>
              <w:rPr/>
              <w:t>463</w:t>
            </w:r>
          </w:p>
        </w:tc>
        <w:tc>
          <w:tcPr>
            <w:tcW w:w="16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3" w:type="dxa"/>
            <w:tcBorders/>
            <w:shd w:fill="EEEEEE" w:val="clear"/>
            <w:vAlign w:val="center"/>
          </w:tcPr>
          <w:p>
            <w:pPr>
              <w:pStyle w:val="TableContents"/>
              <w:bidi w:val="0"/>
              <w:spacing w:before="0" w:after="283"/>
              <w:jc w:val="left"/>
              <w:rPr/>
            </w:pPr>
            <w:r>
              <w:rPr/>
              <w:t> </w:t>
            </w:r>
          </w:p>
        </w:tc>
        <w:tc>
          <w:tcPr>
            <w:tcW w:w="3857" w:type="dxa"/>
            <w:tcBorders/>
            <w:shd w:fill="EEEEEE" w:val="clear"/>
            <w:vAlign w:val="center"/>
          </w:tcPr>
          <w:p>
            <w:pPr>
              <w:pStyle w:val="TableContents"/>
              <w:bidi w:val="0"/>
              <w:spacing w:before="0" w:after="283"/>
              <w:jc w:val="right"/>
              <w:rPr/>
            </w:pPr>
            <w:r>
              <w:rPr/>
              <w:t> </w:t>
            </w:r>
          </w:p>
        </w:tc>
        <w:tc>
          <w:tcPr>
            <w:tcW w:w="367" w:type="dxa"/>
            <w:tcBorders/>
            <w:shd w:fill="EEEEEE" w:val="clear"/>
            <w:vAlign w:val="center"/>
          </w:tcPr>
          <w:p>
            <w:pPr>
              <w:pStyle w:val="TableContents"/>
              <w:bidi w:val="0"/>
              <w:spacing w:before="0" w:after="283"/>
              <w:jc w:val="left"/>
              <w:rPr/>
            </w:pPr>
            <w:r>
              <w:rPr/>
              <w:t> </w:t>
            </w:r>
          </w:p>
        </w:tc>
      </w:tr>
      <w:tr>
        <w:trPr/>
        <w:tc>
          <w:tcPr>
            <w:tcW w:w="3572" w:type="dxa"/>
            <w:tcBorders/>
            <w:shd w:fill="FFFFFF" w:val="clear"/>
            <w:vAlign w:val="center"/>
          </w:tcPr>
          <w:p>
            <w:pPr>
              <w:pStyle w:val="TableContents"/>
              <w:bidi w:val="0"/>
              <w:spacing w:before="0" w:after="283"/>
              <w:jc w:val="left"/>
              <w:rPr/>
            </w:pPr>
            <w:r>
              <w:rPr/>
              <w:t>RSUs granted</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bookmarkStart w:id="854" w:name="xdx_98D_eus-gaap--ShareBasedCompensation"/>
            <w:bookmarkEnd w:id="854"/>
          </w:p>
        </w:tc>
        <w:tc>
          <w:tcPr>
            <w:tcW w:w="1342" w:type="dxa"/>
            <w:tcBorders/>
            <w:shd w:fill="FFFFFF" w:val="clear"/>
            <w:vAlign w:val="center"/>
          </w:tcPr>
          <w:p>
            <w:pPr>
              <w:pStyle w:val="TableContents"/>
              <w:bidi w:val="0"/>
              <w:spacing w:before="0" w:after="283"/>
              <w:jc w:val="right"/>
              <w:rPr/>
            </w:pPr>
            <w:r>
              <w:rPr/>
              <w:t>82,742</w:t>
            </w:r>
          </w:p>
        </w:tc>
        <w:tc>
          <w:tcPr>
            <w:tcW w:w="1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w:t>
            </w:r>
            <w:bookmarkStart w:id="855" w:name="xdx_983_ecustom--ShareBasedCompensationA"/>
            <w:bookmarkEnd w:id="855"/>
          </w:p>
        </w:tc>
        <w:tc>
          <w:tcPr>
            <w:tcW w:w="3857" w:type="dxa"/>
            <w:tcBorders/>
            <w:shd w:fill="FFFFFF" w:val="clear"/>
            <w:vAlign w:val="center"/>
          </w:tcPr>
          <w:p>
            <w:pPr>
              <w:pStyle w:val="TableContents"/>
              <w:bidi w:val="0"/>
              <w:spacing w:before="0" w:after="283"/>
              <w:jc w:val="right"/>
              <w:rPr/>
            </w:pPr>
            <w:r>
              <w:rPr/>
              <w:t>830,000</w:t>
            </w:r>
          </w:p>
        </w:tc>
        <w:tc>
          <w:tcPr>
            <w:tcW w:w="367" w:type="dxa"/>
            <w:tcBorders/>
            <w:shd w:fill="FFFFFF" w:val="clear"/>
            <w:vAlign w:val="center"/>
          </w:tcPr>
          <w:p>
            <w:pPr>
              <w:pStyle w:val="TableContents"/>
              <w:bidi w:val="0"/>
              <w:spacing w:before="0" w:after="283"/>
              <w:jc w:val="left"/>
              <w:rPr/>
            </w:pPr>
            <w:r>
              <w:rPr/>
              <w:t> </w:t>
            </w:r>
          </w:p>
        </w:tc>
      </w:tr>
      <w:tr>
        <w:trPr/>
        <w:tc>
          <w:tcPr>
            <w:tcW w:w="3572" w:type="dxa"/>
            <w:tcBorders/>
            <w:shd w:fill="EEEEEE" w:val="clear"/>
            <w:vAlign w:val="center"/>
          </w:tcPr>
          <w:p>
            <w:pPr>
              <w:pStyle w:val="TableContents"/>
              <w:bidi w:val="0"/>
              <w:spacing w:before="0" w:after="283"/>
              <w:jc w:val="left"/>
              <w:rPr/>
            </w:pPr>
            <w:r>
              <w:rPr/>
              <w:t>RSUs forfeited</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bookmarkStart w:id="856" w:name="xdx_983_eus-gaap--ShareBasedCompensation"/>
            <w:bookmarkEnd w:id="856"/>
          </w:p>
        </w:tc>
        <w:tc>
          <w:tcPr>
            <w:tcW w:w="1342" w:type="dxa"/>
            <w:tcBorders/>
            <w:shd w:fill="EEEEEE" w:val="clear"/>
            <w:vAlign w:val="center"/>
          </w:tcPr>
          <w:p>
            <w:pPr>
              <w:pStyle w:val="TableContents"/>
              <w:bidi w:val="0"/>
              <w:spacing w:before="0" w:after="283"/>
              <w:jc w:val="right"/>
              <w:rPr/>
            </w:pPr>
            <w:r>
              <w:rPr/>
              <w:t>–</w:t>
            </w:r>
          </w:p>
        </w:tc>
        <w:tc>
          <w:tcPr>
            <w:tcW w:w="16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3" w:type="dxa"/>
            <w:tcBorders/>
            <w:shd w:fill="EEEEEE" w:val="clear"/>
            <w:vAlign w:val="center"/>
          </w:tcPr>
          <w:p>
            <w:pPr>
              <w:pStyle w:val="TableContents"/>
              <w:bidi w:val="0"/>
              <w:spacing w:before="0" w:after="283"/>
              <w:jc w:val="left"/>
              <w:rPr/>
            </w:pPr>
            <w:r>
              <w:rPr/>
              <w:t> </w:t>
            </w:r>
          </w:p>
        </w:tc>
        <w:tc>
          <w:tcPr>
            <w:tcW w:w="3857" w:type="dxa"/>
            <w:tcBorders/>
            <w:shd w:fill="EEEEEE" w:val="clear"/>
            <w:vAlign w:val="center"/>
          </w:tcPr>
          <w:p>
            <w:pPr>
              <w:pStyle w:val="TableContents"/>
              <w:bidi w:val="0"/>
              <w:spacing w:before="0" w:after="283"/>
              <w:jc w:val="right"/>
              <w:rPr/>
            </w:pPr>
            <w:r>
              <w:rPr/>
              <w:t> </w:t>
            </w:r>
          </w:p>
        </w:tc>
        <w:tc>
          <w:tcPr>
            <w:tcW w:w="367" w:type="dxa"/>
            <w:tcBorders/>
            <w:shd w:fill="EEEEEE" w:val="clear"/>
            <w:vAlign w:val="center"/>
          </w:tcPr>
          <w:p>
            <w:pPr>
              <w:pStyle w:val="TableContents"/>
              <w:bidi w:val="0"/>
              <w:spacing w:before="0" w:after="283"/>
              <w:jc w:val="left"/>
              <w:rPr/>
            </w:pPr>
            <w:r>
              <w:rPr/>
              <w:t> </w:t>
            </w:r>
          </w:p>
        </w:tc>
      </w:tr>
      <w:tr>
        <w:trPr/>
        <w:tc>
          <w:tcPr>
            <w:tcW w:w="3572" w:type="dxa"/>
            <w:tcBorders/>
            <w:shd w:fill="FFFFFF" w:val="clear"/>
            <w:vAlign w:val="center"/>
          </w:tcPr>
          <w:p>
            <w:pPr>
              <w:pStyle w:val="TableContents"/>
              <w:bidi w:val="0"/>
              <w:spacing w:before="0" w:after="283"/>
              <w:jc w:val="left"/>
              <w:rPr/>
            </w:pPr>
            <w:r>
              <w:rPr/>
              <w:t>RSUs vested</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57" w:name="xdx_981_eus-gaap--ShareBasedCompensation"/>
            <w:bookmarkEnd w:id="857"/>
          </w:p>
        </w:tc>
        <w:tc>
          <w:tcPr>
            <w:tcW w:w="1342" w:type="dxa"/>
            <w:tcBorders>
              <w:bottom w:val="single" w:sz="8" w:space="0" w:color="000000"/>
            </w:tcBorders>
            <w:shd w:fill="FFFFFF" w:val="clear"/>
            <w:tcMar>
              <w:bottom w:w="28" w:type="dxa"/>
            </w:tcMar>
            <w:vAlign w:val="center"/>
          </w:tcPr>
          <w:p>
            <w:pPr>
              <w:pStyle w:val="TableContents"/>
              <w:bidi w:val="0"/>
              <w:spacing w:before="0" w:after="283"/>
              <w:jc w:val="right"/>
              <w:rPr/>
            </w:pPr>
            <w:r>
              <w:rPr/>
              <w:t>(82,757</w:t>
            </w:r>
          </w:p>
        </w:tc>
        <w:tc>
          <w:tcPr>
            <w:tcW w:w="16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3857"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r>
      <w:tr>
        <w:trPr/>
        <w:tc>
          <w:tcPr>
            <w:tcW w:w="3572" w:type="dxa"/>
            <w:tcBorders/>
            <w:shd w:fill="EEEEEE" w:val="clear"/>
            <w:vAlign w:val="center"/>
          </w:tcPr>
          <w:p>
            <w:pPr>
              <w:pStyle w:val="TableContents"/>
              <w:bidi w:val="0"/>
              <w:spacing w:before="0" w:after="283"/>
              <w:jc w:val="left"/>
              <w:rPr/>
            </w:pPr>
            <w:r>
              <w:rPr/>
              <w:t>RSUs granted, but not vested, at March 31, 2026</w:t>
            </w:r>
          </w:p>
        </w:tc>
        <w:tc>
          <w:tcPr>
            <w:tcW w:w="60" w:type="dxa"/>
            <w:tcBorders/>
            <w:shd w:fill="EEEEEE" w:val="clear"/>
            <w:vAlign w:val="center"/>
          </w:tcPr>
          <w:p>
            <w:pPr>
              <w:pStyle w:val="TableContents"/>
              <w:bidi w:val="0"/>
              <w:spacing w:before="0" w:after="283"/>
              <w:jc w:val="left"/>
              <w:rPr/>
            </w:pPr>
            <w:r>
              <w:rPr/>
              <w:t> </w:t>
            </w:r>
          </w:p>
        </w:tc>
        <w:tc>
          <w:tcPr>
            <w:tcW w:w="106"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858" w:name="xdx_984_eus-gaap--ShareBasedCompensation"/>
            <w:bookmarkEnd w:id="858"/>
          </w:p>
        </w:tc>
        <w:tc>
          <w:tcPr>
            <w:tcW w:w="1342" w:type="dxa"/>
            <w:tcBorders>
              <w:bottom w:val="double" w:sz="6" w:space="0" w:color="000000"/>
            </w:tcBorders>
            <w:shd w:fill="EEEEEE" w:val="clear"/>
            <w:tcMar>
              <w:bottom w:w="28" w:type="dxa"/>
            </w:tcMar>
            <w:vAlign w:val="center"/>
          </w:tcPr>
          <w:p>
            <w:pPr>
              <w:pStyle w:val="TableContents"/>
              <w:bidi w:val="0"/>
              <w:spacing w:before="0" w:after="283"/>
              <w:jc w:val="right"/>
              <w:rPr/>
            </w:pPr>
            <w:r>
              <w:rPr/>
              <w:t>448</w:t>
            </w:r>
          </w:p>
        </w:tc>
        <w:tc>
          <w:tcPr>
            <w:tcW w:w="16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3" w:type="dxa"/>
            <w:tcBorders/>
            <w:shd w:fill="EEEEEE" w:val="clear"/>
            <w:vAlign w:val="center"/>
          </w:tcPr>
          <w:p>
            <w:pPr>
              <w:pStyle w:val="TableContents"/>
              <w:bidi w:val="0"/>
              <w:spacing w:before="0" w:after="283"/>
              <w:jc w:val="left"/>
              <w:rPr/>
            </w:pPr>
            <w:r>
              <w:rPr/>
              <w:t> </w:t>
            </w:r>
          </w:p>
        </w:tc>
        <w:tc>
          <w:tcPr>
            <w:tcW w:w="3857" w:type="dxa"/>
            <w:tcBorders/>
            <w:shd w:fill="EEEEEE" w:val="clear"/>
            <w:vAlign w:val="center"/>
          </w:tcPr>
          <w:p>
            <w:pPr>
              <w:pStyle w:val="TableContents"/>
              <w:bidi w:val="0"/>
              <w:spacing w:before="0" w:after="283"/>
              <w:jc w:val="right"/>
              <w:rPr/>
            </w:pPr>
            <w:r>
              <w:rPr/>
              <w:t> </w:t>
            </w:r>
          </w:p>
        </w:tc>
        <w:tc>
          <w:tcPr>
            <w:tcW w:w="367"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w:t>
      </w:r>
    </w:p>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total fair value was based on the current stock price on the 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of the </w:t>
      </w:r>
      <w:bookmarkStart w:id="859" w:name="xdx_906_eus-gaap--ConversionOfStockShare"/>
      <w:bookmarkEnd w:id="859"/>
      <w:r>
        <w:rPr>
          <w:rFonts w:ascii="Times New Roman;Times;Serif" w:hAnsi="Times New Roman;Times;Serif"/>
          <w:b w:val="false"/>
          <w:i w:val="false"/>
          <w:caps w:val="false"/>
          <w:smallCaps w:val="false"/>
          <w:sz w:val="20"/>
        </w:rPr>
        <w:t xml:space="preserve">96,345 vested RSUs, </w:t>
      </w:r>
      <w:bookmarkStart w:id="860" w:name="xdx_90F_eus-gaap--ConversionOfStockShare"/>
      <w:bookmarkEnd w:id="860"/>
      <w:r>
        <w:rPr>
          <w:rFonts w:ascii="Times New Roman;Times;Serif" w:hAnsi="Times New Roman;Times;Serif"/>
          <w:b w:val="false"/>
          <w:i w:val="false"/>
          <w:caps w:val="false"/>
          <w:smallCaps w:val="false"/>
          <w:sz w:val="20"/>
        </w:rPr>
        <w:t xml:space="preserve">13,989 shares of Common Stock were issued, and </w:t>
      </w:r>
      <w:bookmarkStart w:id="861" w:name="xdx_909_ecustom--ConversionOfStockShares"/>
      <w:bookmarkEnd w:id="861"/>
      <w:r>
        <w:rPr>
          <w:rFonts w:ascii="Times New Roman;Times;Serif" w:hAnsi="Times New Roman;Times;Serif"/>
          <w:b w:val="false"/>
          <w:i w:val="false"/>
          <w:caps w:val="false"/>
          <w:smallCaps w:val="false"/>
          <w:sz w:val="20"/>
        </w:rPr>
        <w:t xml:space="preserve">82,356 shares were to be issued in the future. As of June 30, 2025, of the </w:t>
      </w:r>
      <w:bookmarkStart w:id="862" w:name="xdx_90F_eus-gaap--ConversionOfStockShare"/>
      <w:bookmarkEnd w:id="862"/>
      <w:r>
        <w:rPr>
          <w:rFonts w:ascii="Times New Roman;Times;Serif" w:hAnsi="Times New Roman;Times;Serif"/>
          <w:b w:val="false"/>
          <w:i w:val="false"/>
          <w:caps w:val="false"/>
          <w:smallCaps w:val="false"/>
          <w:sz w:val="20"/>
        </w:rPr>
        <w:t xml:space="preserve">13,587 vested RSUs, </w:t>
      </w:r>
      <w:bookmarkStart w:id="863" w:name="xdx_90D_eus-gaap--ConversionOfStockShare"/>
      <w:bookmarkEnd w:id="863"/>
      <w:r>
        <w:rPr>
          <w:rFonts w:ascii="Times New Roman;Times;Serif" w:hAnsi="Times New Roman;Times;Serif"/>
          <w:b w:val="false"/>
          <w:i w:val="false"/>
          <w:caps w:val="false"/>
          <w:smallCaps w:val="false"/>
          <w:sz w:val="20"/>
        </w:rPr>
        <w:t xml:space="preserve">9,529 shares of Common Stock were issued, and </w:t>
      </w:r>
      <w:bookmarkStart w:id="864" w:name="xdx_90E_ecustom--ConversionOfStockShares"/>
      <w:bookmarkEnd w:id="864"/>
      <w:r>
        <w:rPr>
          <w:rFonts w:ascii="Times New Roman;Times;Serif" w:hAnsi="Times New Roman;Times;Serif"/>
          <w:b w:val="false"/>
          <w:i w:val="false"/>
          <w:caps w:val="false"/>
          <w:smallCaps w:val="false"/>
          <w:sz w:val="20"/>
        </w:rPr>
        <w:t>4,058 shares were to be issued in the near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March 31, 2025: </w:t>
      </w:r>
    </w:p>
    <w:tbl>
      <w:tblPr>
        <w:tblW w:w="10205" w:type="dxa"/>
        <w:jc w:val="left"/>
        <w:tblInd w:w="0" w:type="dxa"/>
        <w:tblLayout w:type="fixed"/>
        <w:tblCellMar>
          <w:top w:w="0" w:type="dxa"/>
          <w:left w:w="0" w:type="dxa"/>
          <w:bottom w:w="0" w:type="dxa"/>
          <w:right w:w="0" w:type="dxa"/>
        </w:tblCellMar>
      </w:tblPr>
      <w:tblGrid>
        <w:gridCol w:w="3573"/>
        <w:gridCol w:w="60"/>
        <w:gridCol w:w="120"/>
        <w:gridCol w:w="1277"/>
        <w:gridCol w:w="190"/>
        <w:gridCol w:w="60"/>
        <w:gridCol w:w="768"/>
        <w:gridCol w:w="3738"/>
        <w:gridCol w:w="419"/>
      </w:tblGrid>
      <w:tr>
        <w:trPr/>
        <w:tc>
          <w:tcPr>
            <w:tcW w:w="3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 RSUs Issued</w:t>
            </w:r>
          </w:p>
        </w:tc>
        <w:tc>
          <w:tcPr>
            <w:tcW w:w="60" w:type="dxa"/>
            <w:tcBorders/>
            <w:vAlign w:val="center"/>
          </w:tcPr>
          <w:p>
            <w:pPr>
              <w:pStyle w:val="TableContents"/>
              <w:bidi w:val="0"/>
              <w:spacing w:before="0" w:after="283"/>
              <w:jc w:val="left"/>
              <w:rPr/>
            </w:pPr>
            <w:r>
              <w:rPr/>
              <w:t> </w:t>
            </w:r>
          </w:p>
        </w:tc>
        <w:tc>
          <w:tcPr>
            <w:tcW w:w="49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 Fair Market Value of RSUs Issued as Compensation (1)</w:t>
            </w:r>
          </w:p>
        </w:tc>
      </w:tr>
      <w:tr>
        <w:trPr/>
        <w:tc>
          <w:tcPr>
            <w:tcW w:w="3573" w:type="dxa"/>
            <w:tcBorders/>
            <w:shd w:fill="EEEEEE" w:val="clear"/>
            <w:vAlign w:val="center"/>
          </w:tcPr>
          <w:p>
            <w:pPr>
              <w:pStyle w:val="TableContents"/>
              <w:bidi w:val="0"/>
              <w:spacing w:before="0" w:after="283"/>
              <w:jc w:val="both"/>
              <w:rPr/>
            </w:pPr>
            <w:r>
              <w:rPr/>
              <w:t>RSUs granted, but not vested, at June 30, 2024</w:t>
            </w:r>
          </w:p>
        </w:tc>
        <w:tc>
          <w:tcPr>
            <w:tcW w:w="60" w:type="dxa"/>
            <w:tcBorders/>
            <w:shd w:fill="EEEEEE" w:val="clear"/>
            <w:vAlign w:val="center"/>
          </w:tcPr>
          <w:p>
            <w:pPr>
              <w:pStyle w:val="TableContents"/>
              <w:bidi w:val="0"/>
              <w:spacing w:before="0" w:after="283"/>
              <w:jc w:val="left"/>
              <w:rPr/>
            </w:pPr>
            <w:r>
              <w:rPr/>
              <w:t> </w:t>
            </w:r>
          </w:p>
        </w:tc>
        <w:tc>
          <w:tcPr>
            <w:tcW w:w="120" w:type="dxa"/>
            <w:tcBorders/>
            <w:shd w:fill="EEEEEE" w:val="clear"/>
            <w:vAlign w:val="center"/>
          </w:tcPr>
          <w:p>
            <w:pPr>
              <w:pStyle w:val="TableContents"/>
              <w:bidi w:val="0"/>
              <w:spacing w:before="0" w:after="283"/>
              <w:jc w:val="left"/>
              <w:rPr/>
            </w:pPr>
            <w:r>
              <w:rPr/>
              <w:t> </w:t>
            </w:r>
            <w:bookmarkStart w:id="865" w:name="xdx_984_eus-gaap--ShareBasedCompensation"/>
            <w:bookmarkEnd w:id="865"/>
          </w:p>
        </w:tc>
        <w:tc>
          <w:tcPr>
            <w:tcW w:w="1277" w:type="dxa"/>
            <w:tcBorders/>
            <w:shd w:fill="EEEEEE" w:val="clear"/>
            <w:vAlign w:val="center"/>
          </w:tcPr>
          <w:p>
            <w:pPr>
              <w:pStyle w:val="TableContents"/>
              <w:bidi w:val="0"/>
              <w:spacing w:before="0" w:after="283"/>
              <w:jc w:val="right"/>
              <w:rPr/>
            </w:pPr>
            <w:r>
              <w:rPr/>
              <w:t>108</w:t>
            </w:r>
          </w:p>
        </w:tc>
        <w:tc>
          <w:tcPr>
            <w:tcW w:w="19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68" w:type="dxa"/>
            <w:tcBorders/>
            <w:shd w:fill="EEEEEE" w:val="clear"/>
            <w:vAlign w:val="center"/>
          </w:tcPr>
          <w:p>
            <w:pPr>
              <w:pStyle w:val="TableContents"/>
              <w:bidi w:val="0"/>
              <w:spacing w:before="0" w:after="283"/>
              <w:jc w:val="left"/>
              <w:rPr/>
            </w:pPr>
            <w:r>
              <w:rPr/>
              <w:t> </w:t>
            </w:r>
          </w:p>
        </w:tc>
        <w:tc>
          <w:tcPr>
            <w:tcW w:w="3738" w:type="dxa"/>
            <w:tcBorders/>
            <w:shd w:fill="EEEEEE" w:val="clear"/>
            <w:vAlign w:val="center"/>
          </w:tcPr>
          <w:p>
            <w:pPr>
              <w:pStyle w:val="TableContents"/>
              <w:bidi w:val="0"/>
              <w:spacing w:before="0" w:after="283"/>
              <w:jc w:val="right"/>
              <w:rPr/>
            </w:pPr>
            <w:r>
              <w:rPr/>
              <w:t> </w:t>
            </w:r>
          </w:p>
        </w:tc>
        <w:tc>
          <w:tcPr>
            <w:tcW w:w="419" w:type="dxa"/>
            <w:tcBorders/>
            <w:shd w:fill="EEEEEE" w:val="clear"/>
            <w:vAlign w:val="center"/>
          </w:tcPr>
          <w:p>
            <w:pPr>
              <w:pStyle w:val="TableContents"/>
              <w:bidi w:val="0"/>
              <w:spacing w:before="0" w:after="283"/>
              <w:jc w:val="left"/>
              <w:rPr/>
            </w:pPr>
            <w:r>
              <w:rPr/>
              <w:t> </w:t>
            </w:r>
          </w:p>
        </w:tc>
      </w:tr>
      <w:tr>
        <w:trPr/>
        <w:tc>
          <w:tcPr>
            <w:tcW w:w="3573" w:type="dxa"/>
            <w:tcBorders/>
            <w:shd w:fill="FFFFFF" w:val="clear"/>
            <w:vAlign w:val="center"/>
          </w:tcPr>
          <w:p>
            <w:pPr>
              <w:pStyle w:val="TableContents"/>
              <w:bidi w:val="0"/>
              <w:spacing w:before="0" w:after="283"/>
              <w:jc w:val="both"/>
              <w:rPr/>
            </w:pPr>
            <w:r>
              <w:rPr/>
              <w:t>RSUs granted</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bookmarkStart w:id="866" w:name="xdx_989_eus-gaap--ShareBasedCompensation"/>
            <w:bookmarkEnd w:id="866"/>
          </w:p>
        </w:tc>
        <w:tc>
          <w:tcPr>
            <w:tcW w:w="1277" w:type="dxa"/>
            <w:tcBorders/>
            <w:shd w:fill="FFFFFF" w:val="clear"/>
            <w:vAlign w:val="center"/>
          </w:tcPr>
          <w:p>
            <w:pPr>
              <w:pStyle w:val="TableContents"/>
              <w:bidi w:val="0"/>
              <w:spacing w:before="0" w:after="283"/>
              <w:jc w:val="right"/>
              <w:rPr/>
            </w:pPr>
            <w:r>
              <w:rPr/>
              <w:t>2,381</w:t>
            </w:r>
          </w:p>
        </w:tc>
        <w:tc>
          <w:tcPr>
            <w:tcW w:w="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w:t>
            </w:r>
            <w:bookmarkStart w:id="867" w:name="xdx_98B_ecustom--ShareBasedCompensationA"/>
            <w:bookmarkEnd w:id="867"/>
          </w:p>
        </w:tc>
        <w:tc>
          <w:tcPr>
            <w:tcW w:w="3738" w:type="dxa"/>
            <w:tcBorders/>
            <w:shd w:fill="FFFFFF" w:val="clear"/>
            <w:vAlign w:val="center"/>
          </w:tcPr>
          <w:p>
            <w:pPr>
              <w:pStyle w:val="TableContents"/>
              <w:bidi w:val="0"/>
              <w:spacing w:before="0" w:after="283"/>
              <w:jc w:val="right"/>
              <w:rPr/>
            </w:pPr>
            <w:r>
              <w:rPr/>
              <w:t>90,000</w:t>
            </w:r>
          </w:p>
        </w:tc>
        <w:tc>
          <w:tcPr>
            <w:tcW w:w="419" w:type="dxa"/>
            <w:tcBorders/>
            <w:shd w:fill="FFFFFF" w:val="clear"/>
            <w:vAlign w:val="center"/>
          </w:tcPr>
          <w:p>
            <w:pPr>
              <w:pStyle w:val="TableContents"/>
              <w:bidi w:val="0"/>
              <w:spacing w:before="0" w:after="283"/>
              <w:jc w:val="left"/>
              <w:rPr/>
            </w:pPr>
            <w:r>
              <w:rPr/>
              <w:t> </w:t>
            </w:r>
          </w:p>
        </w:tc>
      </w:tr>
      <w:tr>
        <w:trPr/>
        <w:tc>
          <w:tcPr>
            <w:tcW w:w="3573" w:type="dxa"/>
            <w:tcBorders/>
            <w:shd w:fill="EEEEEE" w:val="clear"/>
            <w:vAlign w:val="center"/>
          </w:tcPr>
          <w:p>
            <w:pPr>
              <w:pStyle w:val="TableContents"/>
              <w:bidi w:val="0"/>
              <w:spacing w:before="0" w:after="283"/>
              <w:jc w:val="both"/>
              <w:rPr/>
            </w:pPr>
            <w:r>
              <w:rPr/>
              <w:t>RSUs forfeited</w:t>
            </w:r>
          </w:p>
        </w:tc>
        <w:tc>
          <w:tcPr>
            <w:tcW w:w="60" w:type="dxa"/>
            <w:tcBorders/>
            <w:shd w:fill="EEEEEE" w:val="clear"/>
            <w:vAlign w:val="center"/>
          </w:tcPr>
          <w:p>
            <w:pPr>
              <w:pStyle w:val="TableContents"/>
              <w:bidi w:val="0"/>
              <w:spacing w:before="0" w:after="283"/>
              <w:jc w:val="left"/>
              <w:rPr/>
            </w:pPr>
            <w:r>
              <w:rPr/>
              <w:t> </w:t>
            </w:r>
          </w:p>
        </w:tc>
        <w:tc>
          <w:tcPr>
            <w:tcW w:w="120" w:type="dxa"/>
            <w:tcBorders/>
            <w:shd w:fill="EEEEEE" w:val="clear"/>
            <w:vAlign w:val="center"/>
          </w:tcPr>
          <w:p>
            <w:pPr>
              <w:pStyle w:val="TableContents"/>
              <w:bidi w:val="0"/>
              <w:spacing w:before="0" w:after="283"/>
              <w:jc w:val="left"/>
              <w:rPr/>
            </w:pPr>
            <w:r>
              <w:rPr/>
              <w:t> </w:t>
            </w:r>
            <w:bookmarkStart w:id="868" w:name="xdx_988_eus-gaap--ShareBasedCompensation"/>
            <w:bookmarkEnd w:id="868"/>
          </w:p>
        </w:tc>
        <w:tc>
          <w:tcPr>
            <w:tcW w:w="1277" w:type="dxa"/>
            <w:tcBorders/>
            <w:shd w:fill="EEEEEE" w:val="clear"/>
            <w:vAlign w:val="center"/>
          </w:tcPr>
          <w:p>
            <w:pPr>
              <w:pStyle w:val="TableContents"/>
              <w:bidi w:val="0"/>
              <w:spacing w:before="0" w:after="283"/>
              <w:jc w:val="right"/>
              <w:rPr/>
            </w:pPr>
            <w:r>
              <w:rPr/>
              <w:t>–</w:t>
            </w:r>
          </w:p>
        </w:tc>
        <w:tc>
          <w:tcPr>
            <w:tcW w:w="19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68" w:type="dxa"/>
            <w:tcBorders/>
            <w:shd w:fill="EEEEEE" w:val="clear"/>
            <w:vAlign w:val="center"/>
          </w:tcPr>
          <w:p>
            <w:pPr>
              <w:pStyle w:val="TableContents"/>
              <w:bidi w:val="0"/>
              <w:spacing w:before="0" w:after="283"/>
              <w:jc w:val="left"/>
              <w:rPr/>
            </w:pPr>
            <w:r>
              <w:rPr/>
              <w:t> </w:t>
            </w:r>
          </w:p>
        </w:tc>
        <w:tc>
          <w:tcPr>
            <w:tcW w:w="3738" w:type="dxa"/>
            <w:tcBorders/>
            <w:shd w:fill="EEEEEE" w:val="clear"/>
            <w:vAlign w:val="center"/>
          </w:tcPr>
          <w:p>
            <w:pPr>
              <w:pStyle w:val="TableContents"/>
              <w:bidi w:val="0"/>
              <w:spacing w:before="0" w:after="283"/>
              <w:jc w:val="right"/>
              <w:rPr/>
            </w:pPr>
            <w:r>
              <w:rPr/>
              <w:t> </w:t>
            </w:r>
          </w:p>
        </w:tc>
        <w:tc>
          <w:tcPr>
            <w:tcW w:w="419" w:type="dxa"/>
            <w:tcBorders/>
            <w:shd w:fill="EEEEEE" w:val="clear"/>
            <w:vAlign w:val="center"/>
          </w:tcPr>
          <w:p>
            <w:pPr>
              <w:pStyle w:val="TableContents"/>
              <w:bidi w:val="0"/>
              <w:spacing w:before="0" w:after="283"/>
              <w:jc w:val="left"/>
              <w:rPr/>
            </w:pPr>
            <w:r>
              <w:rPr/>
              <w:t> </w:t>
            </w:r>
          </w:p>
        </w:tc>
      </w:tr>
      <w:tr>
        <w:trPr/>
        <w:tc>
          <w:tcPr>
            <w:tcW w:w="3573" w:type="dxa"/>
            <w:tcBorders/>
            <w:shd w:fill="FFFFFF" w:val="clear"/>
            <w:vAlign w:val="center"/>
          </w:tcPr>
          <w:p>
            <w:pPr>
              <w:pStyle w:val="TableContents"/>
              <w:bidi w:val="0"/>
              <w:spacing w:before="0" w:after="283"/>
              <w:jc w:val="both"/>
              <w:rPr/>
            </w:pPr>
            <w:r>
              <w:rPr/>
              <w:t>RSUs vested</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9" w:name="xdx_98A_eus-gaap--ShareBasedCompensation"/>
            <w:bookmarkEnd w:id="869"/>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(2,092</w:t>
            </w:r>
          </w:p>
        </w:tc>
        <w:tc>
          <w:tcPr>
            <w:tcW w:w="1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3738" w:type="dxa"/>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jc w:val="left"/>
              <w:rPr/>
            </w:pPr>
            <w:r>
              <w:rPr/>
              <w:t> </w:t>
            </w:r>
          </w:p>
        </w:tc>
      </w:tr>
      <w:tr>
        <w:trPr/>
        <w:tc>
          <w:tcPr>
            <w:tcW w:w="3573" w:type="dxa"/>
            <w:tcBorders/>
            <w:shd w:fill="EEEEEE" w:val="clear"/>
            <w:vAlign w:val="center"/>
          </w:tcPr>
          <w:p>
            <w:pPr>
              <w:pStyle w:val="TableContents"/>
              <w:bidi w:val="0"/>
              <w:spacing w:before="0" w:after="283"/>
              <w:jc w:val="both"/>
              <w:rPr/>
            </w:pPr>
            <w:r>
              <w:rPr/>
              <w:t>RSUs granted, but not vested, at March 31, 2025</w:t>
            </w:r>
          </w:p>
        </w:tc>
        <w:tc>
          <w:tcPr>
            <w:tcW w:w="60" w:type="dxa"/>
            <w:tcBorders/>
            <w:shd w:fill="EEEEEE" w:val="clear"/>
            <w:vAlign w:val="center"/>
          </w:tcPr>
          <w:p>
            <w:pPr>
              <w:pStyle w:val="TableContents"/>
              <w:bidi w:val="0"/>
              <w:spacing w:before="0" w:after="283"/>
              <w:jc w:val="left"/>
              <w:rPr/>
            </w:pPr>
            <w:r>
              <w:rPr/>
              <w:t> </w:t>
            </w:r>
          </w:p>
        </w:tc>
        <w:tc>
          <w:tcPr>
            <w:tcW w:w="12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870" w:name="xdx_984_eus-gaap--ShareBasedCompensation"/>
            <w:bookmarkEnd w:id="870"/>
          </w:p>
        </w:tc>
        <w:tc>
          <w:tcPr>
            <w:tcW w:w="1277" w:type="dxa"/>
            <w:tcBorders>
              <w:bottom w:val="double" w:sz="6" w:space="0" w:color="000000"/>
            </w:tcBorders>
            <w:shd w:fill="EEEEEE" w:val="clear"/>
            <w:tcMar>
              <w:bottom w:w="28" w:type="dxa"/>
            </w:tcMar>
            <w:vAlign w:val="center"/>
          </w:tcPr>
          <w:p>
            <w:pPr>
              <w:pStyle w:val="TableContents"/>
              <w:bidi w:val="0"/>
              <w:spacing w:before="0" w:after="283"/>
              <w:jc w:val="right"/>
              <w:rPr/>
            </w:pPr>
            <w:r>
              <w:rPr/>
              <w:t>397</w:t>
            </w:r>
          </w:p>
        </w:tc>
        <w:tc>
          <w:tcPr>
            <w:tcW w:w="19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68" w:type="dxa"/>
            <w:tcBorders/>
            <w:shd w:fill="EEEEEE" w:val="clear"/>
            <w:vAlign w:val="center"/>
          </w:tcPr>
          <w:p>
            <w:pPr>
              <w:pStyle w:val="TableContents"/>
              <w:bidi w:val="0"/>
              <w:spacing w:before="0" w:after="283"/>
              <w:jc w:val="left"/>
              <w:rPr/>
            </w:pPr>
            <w:r>
              <w:rPr/>
              <w:t> </w:t>
            </w:r>
          </w:p>
        </w:tc>
        <w:tc>
          <w:tcPr>
            <w:tcW w:w="3738" w:type="dxa"/>
            <w:tcBorders/>
            <w:shd w:fill="EEEEEE" w:val="clear"/>
            <w:vAlign w:val="center"/>
          </w:tcPr>
          <w:p>
            <w:pPr>
              <w:pStyle w:val="TableContents"/>
              <w:bidi w:val="0"/>
              <w:spacing w:before="0" w:after="283"/>
              <w:jc w:val="right"/>
              <w:rPr/>
            </w:pPr>
            <w:r>
              <w:rPr/>
              <w:t> </w:t>
            </w:r>
          </w:p>
        </w:tc>
        <w:tc>
          <w:tcPr>
            <w:tcW w:w="419"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w:t>
      </w:r>
    </w:p>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fair value was based on the current stock price on the grant date.</w:t>
            </w:r>
          </w:p>
        </w:tc>
      </w:tr>
    </w:tbl>
    <w:p>
      <w:pPr>
        <w:pStyle w:val="TextBody"/>
        <w:bidi w:val="0"/>
        <w:spacing w:before="0" w:after="0"/>
        <w:ind w:left="0" w:right="0" w:hanging="0"/>
        <w:jc w:val="left"/>
        <w:rPr>
          <w:caps w:val="false"/>
          <w:smallCaps w:val="false"/>
        </w:rPr>
      </w:pPr>
      <w:bookmarkStart w:id="871" w:name="xdx_8A6_zbyhHvpmeXx7"/>
      <w:bookmarkEnd w:id="871"/>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2025, of the </w:t>
      </w:r>
      <w:bookmarkStart w:id="872" w:name="xdx_90D_eus-gaap--ConversionOfStockShare"/>
      <w:bookmarkEnd w:id="872"/>
      <w:r>
        <w:rPr>
          <w:rFonts w:ascii="Times New Roman;Times;Serif" w:hAnsi="Times New Roman;Times;Serif"/>
          <w:b w:val="false"/>
          <w:i w:val="false"/>
          <w:caps w:val="false"/>
          <w:smallCaps w:val="false"/>
          <w:sz w:val="20"/>
        </w:rPr>
        <w:t xml:space="preserve">13,097 vested RSUs, </w:t>
      </w:r>
      <w:bookmarkStart w:id="873" w:name="xdx_905_eus-gaap--ConversionOfStockShare"/>
      <w:bookmarkEnd w:id="873"/>
      <w:r>
        <w:rPr>
          <w:rFonts w:ascii="Times New Roman;Times;Serif" w:hAnsi="Times New Roman;Times;Serif"/>
          <w:b w:val="false"/>
          <w:i w:val="false"/>
          <w:caps w:val="false"/>
          <w:smallCaps w:val="false"/>
          <w:sz w:val="20"/>
        </w:rPr>
        <w:t>9,529 shares of Common Stock were issued, and $</w:t>
      </w:r>
      <w:bookmarkStart w:id="874" w:name="xdx_90C_ecustom--ConversionOfStockValueT"/>
      <w:bookmarkEnd w:id="874"/>
      <w:r>
        <w:rPr>
          <w:rFonts w:ascii="Times New Roman;Times;Serif" w:hAnsi="Times New Roman;Times;Serif"/>
          <w:b w:val="false"/>
          <w:i w:val="false"/>
          <w:caps w:val="false"/>
          <w:smallCaps w:val="false"/>
          <w:sz w:val="20"/>
        </w:rPr>
        <w:t>3,569 shares were to be issued in the near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75" w:name="xdx_23A_zRm9HRzYYvr4"/>
      <w:bookmarkEnd w:id="875"/>
      <w:r>
        <w:rPr>
          <w:caps w:val="false"/>
          <w:smallCaps w:val="false"/>
        </w:rPr>
        <w:t> </w:t>
      </w:r>
    </w:p>
    <w:p>
      <w:pPr>
        <w:pStyle w:val="TextBody"/>
        <w:bidi w:val="0"/>
        <w:spacing w:before="0" w:after="0"/>
        <w:ind w:left="0" w:right="0" w:hanging="0"/>
        <w:jc w:val="left"/>
        <w:rPr>
          <w:caps w:val="false"/>
          <w:smallCaps w:val="false"/>
        </w:rPr>
      </w:pPr>
      <w:bookmarkStart w:id="876" w:name="xdx_233_zDjnV9Xew1Dc"/>
      <w:bookmarkEnd w:id="87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877" w:name="xdx_23D_zEe9XfFL0BZh"/>
      <w:bookmarkEnd w:id="8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2022, the Compensation Committee of the Board of Directors approved an incentive plan for the Company’s executive officers consisting of a cash performance bonus of $</w:t>
      </w:r>
      <w:bookmarkStart w:id="878" w:name="xdx_900_eus-gaap--OfficersCompensation_p"/>
      <w:bookmarkEnd w:id="878"/>
      <w:r>
        <w:rPr>
          <w:rFonts w:ascii="Times New Roman;Times;Serif" w:hAnsi="Times New Roman;Times;Serif"/>
          <w:b w:val="false"/>
          <w:i w:val="false"/>
          <w:caps w:val="false"/>
          <w:smallCaps w:val="false"/>
          <w:sz w:val="20"/>
        </w:rPr>
        <w:t xml:space="preserve">60,000 to be awarded to Kevin Vassily, CFO of the Company, and grants of stock option (the “Option Grants”) exercisable to purchase (i) </w:t>
      </w:r>
      <w:bookmarkStart w:id="879" w:name="xdx_907_eus-gaap--ShareBasedCompensation"/>
      <w:bookmarkEnd w:id="879"/>
      <w:r>
        <w:rPr>
          <w:rFonts w:ascii="Times New Roman;Times;Serif" w:hAnsi="Times New Roman;Times;Serif"/>
          <w:b w:val="false"/>
          <w:i w:val="false"/>
          <w:caps w:val="false"/>
          <w:smallCaps w:val="false"/>
          <w:sz w:val="20"/>
        </w:rPr>
        <w:t xml:space="preserve">100,000 shares of Common Stock to Chenlong Tan, CEO and (ii) </w:t>
      </w:r>
      <w:bookmarkStart w:id="880" w:name="xdx_905_eus-gaap--ShareBasedCompensation"/>
      <w:bookmarkEnd w:id="880"/>
      <w:r>
        <w:rPr>
          <w:rFonts w:ascii="Times New Roman;Times;Serif" w:hAnsi="Times New Roman;Times;Serif"/>
          <w:b w:val="false"/>
          <w:i w:val="false"/>
          <w:caps w:val="false"/>
          <w:smallCaps w:val="false"/>
          <w:sz w:val="20"/>
        </w:rPr>
        <w:t>11,000 shares of Common Stock to Mr. Vassily. The Option Grants, which were issued on May 13, 2022, have an exercise price of $</w:t>
      </w:r>
      <w:bookmarkStart w:id="881" w:name="xdx_90D_eus-gaap--ShareBasedCompensation"/>
      <w:bookmarkEnd w:id="881"/>
      <w:r>
        <w:rPr>
          <w:rFonts w:ascii="Times New Roman;Times;Serif" w:hAnsi="Times New Roman;Times;Serif"/>
          <w:b w:val="false"/>
          <w:i w:val="false"/>
          <w:caps w:val="false"/>
          <w:smallCaps w:val="false"/>
          <w:sz w:val="20"/>
        </w:rPr>
        <w:t>33.6,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achievement status of the operational milestones as of March 31, 2026 was as follows:</w:t>
      </w:r>
    </w:p>
    <w:tbl>
      <w:tblPr>
        <w:tblW w:w="5679" w:type="dxa"/>
        <w:jc w:val="left"/>
        <w:tblInd w:w="0" w:type="dxa"/>
        <w:tblLayout w:type="fixed"/>
        <w:tblCellMar>
          <w:top w:w="0" w:type="dxa"/>
          <w:left w:w="0" w:type="dxa"/>
          <w:bottom w:w="28" w:type="dxa"/>
          <w:right w:w="0" w:type="dxa"/>
        </w:tblCellMar>
      </w:tblPr>
      <w:tblGrid>
        <w:gridCol w:w="155"/>
        <w:gridCol w:w="1055"/>
        <w:gridCol w:w="60"/>
        <w:gridCol w:w="60"/>
        <w:gridCol w:w="60"/>
        <w:gridCol w:w="1160"/>
        <w:gridCol w:w="60"/>
        <w:gridCol w:w="60"/>
        <w:gridCol w:w="140"/>
        <w:gridCol w:w="1231"/>
        <w:gridCol w:w="70"/>
        <w:gridCol w:w="70"/>
        <w:gridCol w:w="70"/>
        <w:gridCol w:w="1353"/>
        <w:gridCol w:w="75"/>
      </w:tblGrid>
      <w:tr>
        <w:trPr/>
        <w:tc>
          <w:tcPr>
            <w:tcW w:w="155" w:type="dxa"/>
            <w:tcBorders>
              <w:bottom w:val="single" w:sz="8" w:space="0" w:color="000000"/>
            </w:tcBorders>
            <w:vAlign w:val="center"/>
          </w:tcPr>
          <w:p>
            <w:pPr>
              <w:pStyle w:val="TableContents"/>
              <w:bidi w:val="0"/>
              <w:spacing w:before="0" w:after="283"/>
              <w:jc w:val="center"/>
              <w:rPr/>
            </w:pPr>
            <w:r>
              <w:rPr/>
              <w:t> </w:t>
            </w:r>
          </w:p>
        </w:tc>
        <w:tc>
          <w:tcPr>
            <w:tcW w:w="2395" w:type="dxa"/>
            <w:gridSpan w:val="5"/>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Revenue in Fiscal 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 w:type="dxa"/>
            <w:tcBorders>
              <w:bottom w:val="single" w:sz="8" w:space="0" w:color="000000"/>
            </w:tcBorders>
            <w:vAlign w:val="center"/>
          </w:tcPr>
          <w:p>
            <w:pPr>
              <w:pStyle w:val="TableContents"/>
              <w:bidi w:val="0"/>
              <w:spacing w:before="0" w:after="283"/>
              <w:jc w:val="center"/>
              <w:rPr/>
            </w:pPr>
            <w:r>
              <w:rPr/>
              <w:t> </w:t>
            </w:r>
          </w:p>
        </w:tc>
        <w:tc>
          <w:tcPr>
            <w:tcW w:w="2794" w:type="dxa"/>
            <w:gridSpan w:val="5"/>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Operating Income in Fiscal Year</w:t>
            </w:r>
          </w:p>
        </w:tc>
        <w:tc>
          <w:tcPr>
            <w:tcW w:w="75" w:type="dxa"/>
            <w:tcBorders/>
            <w:tcMar>
              <w:bottom w:w="0" w:type="dxa"/>
            </w:tcMar>
            <w:vAlign w:val="center"/>
          </w:tcPr>
          <w:p>
            <w:pPr>
              <w:pStyle w:val="TableContents"/>
              <w:bidi w:val="0"/>
              <w:spacing w:before="0" w:after="283"/>
              <w:jc w:val="center"/>
              <w:rPr/>
            </w:pPr>
            <w:r>
              <w:rPr/>
              <w:t> </w:t>
            </w:r>
          </w:p>
        </w:tc>
      </w:tr>
      <w:tr>
        <w:trPr/>
        <w:tc>
          <w:tcPr>
            <w:tcW w:w="155" w:type="dxa"/>
            <w:tcBorders>
              <w:bottom w:val="single" w:sz="8" w:space="0" w:color="000000"/>
            </w:tcBorders>
            <w:vAlign w:val="center"/>
          </w:tcPr>
          <w:p>
            <w:pPr>
              <w:pStyle w:val="TableContents"/>
              <w:bidi w:val="0"/>
              <w:spacing w:before="0" w:after="283"/>
              <w:jc w:val="center"/>
              <w:rPr/>
            </w:pPr>
            <w:r>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Milestone </w:t>
              <w:br/>
              <w:t>(in Millions)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Achievement </w:t>
              <w:br/>
              <w:t>Status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 w:type="dxa"/>
            <w:tcBorders>
              <w:bottom w:val="single" w:sz="8" w:space="0" w:color="000000"/>
            </w:tcBorders>
            <w:vAlign w:val="center"/>
          </w:tcPr>
          <w:p>
            <w:pPr>
              <w:pStyle w:val="TableContents"/>
              <w:bidi w:val="0"/>
              <w:spacing w:before="0" w:after="283"/>
              <w:jc w:val="center"/>
              <w:rPr/>
            </w:pPr>
            <w:r>
              <w:rPr/>
              <w:t> </w:t>
            </w:r>
          </w:p>
        </w:tc>
        <w:tc>
          <w:tcPr>
            <w:tcW w:w="123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Milestone </w:t>
              <w:br/>
              <w:t>(in Millions)</w:t>
            </w:r>
          </w:p>
        </w:tc>
        <w:tc>
          <w:tcPr>
            <w:tcW w:w="70" w:type="dxa"/>
            <w:tcBorders/>
            <w:tcMar>
              <w:bottom w:w="0" w:type="dxa"/>
            </w:tcMar>
            <w:vAlign w:val="center"/>
          </w:tcPr>
          <w:p>
            <w:pPr>
              <w:pStyle w:val="TableContents"/>
              <w:bidi w:val="0"/>
              <w:spacing w:before="0" w:after="283"/>
              <w:jc w:val="center"/>
              <w:rPr/>
            </w:pPr>
            <w:r>
              <w:rPr/>
              <w:t> </w:t>
            </w:r>
          </w:p>
        </w:tc>
        <w:tc>
          <w:tcPr>
            <w:tcW w:w="70" w:type="dxa"/>
            <w:tcBorders/>
            <w:tcMar>
              <w:bottom w:w="0" w:type="dxa"/>
            </w:tcMar>
            <w:vAlign w:val="center"/>
          </w:tcPr>
          <w:p>
            <w:pPr>
              <w:pStyle w:val="TableContents"/>
              <w:bidi w:val="0"/>
              <w:spacing w:before="0" w:after="283"/>
              <w:jc w:val="center"/>
              <w:rPr/>
            </w:pPr>
            <w:r>
              <w:rPr/>
              <w:t> </w:t>
            </w:r>
          </w:p>
        </w:tc>
        <w:tc>
          <w:tcPr>
            <w:tcW w:w="70" w:type="dxa"/>
            <w:tcBorders>
              <w:bottom w:val="single" w:sz="8" w:space="0" w:color="000000"/>
            </w:tcBorders>
            <w:vAlign w:val="center"/>
          </w:tcPr>
          <w:p>
            <w:pPr>
              <w:pStyle w:val="TableContents"/>
              <w:bidi w:val="0"/>
              <w:spacing w:before="0" w:after="283"/>
              <w:jc w:val="center"/>
              <w:rPr/>
            </w:pPr>
            <w:r>
              <w:rPr/>
              <w:t> </w:t>
            </w:r>
          </w:p>
        </w:tc>
        <w:tc>
          <w:tcPr>
            <w:tcW w:w="135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Achievement </w:t>
              <w:br/>
              <w:t>Status</w:t>
            </w:r>
          </w:p>
        </w:tc>
        <w:tc>
          <w:tcPr>
            <w:tcW w:w="75" w:type="dxa"/>
            <w:tcBorders/>
            <w:tcMar>
              <w:bottom w:w="0" w:type="dxa"/>
            </w:tcMar>
            <w:vAlign w:val="center"/>
          </w:tcPr>
          <w:p>
            <w:pPr>
              <w:pStyle w:val="TableContents"/>
              <w:bidi w:val="0"/>
              <w:spacing w:before="0" w:after="283"/>
              <w:jc w:val="center"/>
              <w:rPr/>
            </w:pPr>
            <w:r>
              <w:rPr/>
              <w:t> </w:t>
            </w:r>
          </w:p>
        </w:tc>
      </w:tr>
      <w:tr>
        <w:trPr/>
        <w:tc>
          <w:tcPr>
            <w:tcW w:w="155" w:type="dxa"/>
            <w:tcBorders/>
            <w:shd w:fill="EEEEEE" w:val="clear"/>
            <w:tcMar>
              <w:bottom w:w="0" w:type="dxa"/>
            </w:tcMar>
            <w:vAlign w:val="center"/>
          </w:tcPr>
          <w:p>
            <w:pPr>
              <w:pStyle w:val="TableContents"/>
              <w:bidi w:val="0"/>
              <w:spacing w:before="0" w:after="283"/>
              <w:jc w:val="left"/>
              <w:rPr/>
            </w:pPr>
            <w:r>
              <w:rPr/>
              <w:t> </w:t>
            </w:r>
          </w:p>
        </w:tc>
        <w:tc>
          <w:tcPr>
            <w:tcW w:w="1055"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60"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1231" w:type="dxa"/>
            <w:tcBorders/>
            <w:shd w:fill="EEEEEE" w:val="clear"/>
            <w:tcMar>
              <w:bottom w:w="0" w:type="dxa"/>
            </w:tcMar>
            <w:vAlign w:val="center"/>
          </w:tcPr>
          <w:p>
            <w:pPr>
              <w:pStyle w:val="TableContents"/>
              <w:bidi w:val="0"/>
              <w:spacing w:before="0" w:after="283"/>
              <w:jc w:val="right"/>
              <w:rPr/>
            </w:pPr>
            <w:r>
              <w:rPr/>
              <w:t> </w:t>
            </w:r>
          </w:p>
        </w:tc>
        <w:tc>
          <w:tcPr>
            <w:tcW w:w="70" w:type="dxa"/>
            <w:tcBorders/>
            <w:shd w:fill="EEEEEE" w:val="clear"/>
            <w:tcMar>
              <w:bottom w:w="0" w:type="dxa"/>
            </w:tcMar>
            <w:vAlign w:val="center"/>
          </w:tcPr>
          <w:p>
            <w:pPr>
              <w:pStyle w:val="TableContents"/>
              <w:bidi w:val="0"/>
              <w:spacing w:before="0" w:after="283"/>
              <w:jc w:val="left"/>
              <w:rPr/>
            </w:pPr>
            <w:r>
              <w:rPr/>
              <w:t> </w:t>
            </w:r>
          </w:p>
        </w:tc>
        <w:tc>
          <w:tcPr>
            <w:tcW w:w="70" w:type="dxa"/>
            <w:tcBorders/>
            <w:shd w:fill="EEEEEE" w:val="clear"/>
            <w:tcMar>
              <w:bottom w:w="0" w:type="dxa"/>
            </w:tcMar>
            <w:vAlign w:val="center"/>
          </w:tcPr>
          <w:p>
            <w:pPr>
              <w:pStyle w:val="TableContents"/>
              <w:bidi w:val="0"/>
              <w:spacing w:before="0" w:after="283"/>
              <w:jc w:val="left"/>
              <w:rPr/>
            </w:pPr>
            <w:r>
              <w:rPr/>
              <w:t> </w:t>
            </w:r>
          </w:p>
        </w:tc>
        <w:tc>
          <w:tcPr>
            <w:tcW w:w="70" w:type="dxa"/>
            <w:tcBorders/>
            <w:shd w:fill="EEEEEE" w:val="clear"/>
            <w:tcMar>
              <w:bottom w:w="0" w:type="dxa"/>
            </w:tcMar>
            <w:vAlign w:val="center"/>
          </w:tcPr>
          <w:p>
            <w:pPr>
              <w:pStyle w:val="TableContents"/>
              <w:bidi w:val="0"/>
              <w:spacing w:before="0" w:after="283"/>
              <w:jc w:val="left"/>
              <w:rPr/>
            </w:pPr>
            <w:r>
              <w:rPr/>
              <w:t> </w:t>
            </w:r>
          </w:p>
        </w:tc>
        <w:tc>
          <w:tcPr>
            <w:tcW w:w="1353" w:type="dxa"/>
            <w:tcBorders/>
            <w:shd w:fill="EEEEEE" w:val="clear"/>
            <w:tcMar>
              <w:bottom w:w="0" w:type="dxa"/>
            </w:tcMar>
            <w:vAlign w:val="center"/>
          </w:tcPr>
          <w:p>
            <w:pPr>
              <w:pStyle w:val="TableContents"/>
              <w:bidi w:val="0"/>
              <w:spacing w:before="0" w:after="283"/>
              <w:jc w:val="right"/>
              <w:rPr/>
            </w:pPr>
            <w:r>
              <w:rPr/>
              <w:t> </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Probable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31" w:type="dxa"/>
            <w:tcBorders/>
            <w:shd w:fill="FFFFFF" w:val="clear"/>
            <w:tcMar>
              <w:bottom w:w="0" w:type="dxa"/>
            </w:tcMar>
            <w:vAlign w:val="center"/>
          </w:tcPr>
          <w:p>
            <w:pPr>
              <w:pStyle w:val="TableContents"/>
              <w:bidi w:val="0"/>
              <w:spacing w:before="0" w:after="283"/>
              <w:jc w:val="right"/>
              <w:rPr/>
            </w:pPr>
            <w:r>
              <w:rPr/>
              <w:t>6</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Probable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EEEEEE" w:val="clear"/>
            <w:tcMar>
              <w:bottom w:w="0" w:type="dxa"/>
            </w:tcMar>
            <w:vAlign w:val="center"/>
          </w:tcPr>
          <w:p>
            <w:pPr>
              <w:pStyle w:val="TableContents"/>
              <w:bidi w:val="0"/>
              <w:spacing w:before="0" w:after="283"/>
              <w:jc w:val="left"/>
              <w:rPr/>
            </w:pPr>
            <w:r>
              <w:rPr/>
              <w:t>$</w:t>
            </w:r>
          </w:p>
        </w:tc>
        <w:tc>
          <w:tcPr>
            <w:tcW w:w="1055" w:type="dxa"/>
            <w:tcBorders/>
            <w:shd w:fill="EEEEEE" w:val="clear"/>
            <w:tcMar>
              <w:bottom w:w="0" w:type="dxa"/>
            </w:tcMar>
            <w:vAlign w:val="center"/>
          </w:tcPr>
          <w:p>
            <w:pPr>
              <w:pStyle w:val="TableContents"/>
              <w:bidi w:val="0"/>
              <w:spacing w:before="0" w:after="283"/>
              <w:jc w:val="right"/>
              <w:rPr/>
            </w:pPr>
            <w:r>
              <w:rPr/>
              <w:t>100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60"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231" w:type="dxa"/>
            <w:tcBorders/>
            <w:shd w:fill="EEEEEE" w:val="clear"/>
            <w:tcMar>
              <w:bottom w:w="0" w:type="dxa"/>
            </w:tcMar>
            <w:vAlign w:val="center"/>
          </w:tcPr>
          <w:p>
            <w:pPr>
              <w:pStyle w:val="TableContents"/>
              <w:bidi w:val="0"/>
              <w:spacing w:before="0" w:after="283"/>
              <w:jc w:val="right"/>
              <w:rPr/>
            </w:pPr>
            <w:r>
              <w:rPr/>
              <w:t>8</w:t>
            </w:r>
          </w:p>
        </w:tc>
        <w:tc>
          <w:tcPr>
            <w:tcW w:w="70" w:type="dxa"/>
            <w:tcBorders/>
            <w:shd w:fill="EEEEEE" w:val="clear"/>
            <w:tcMar>
              <w:bottom w:w="0" w:type="dxa"/>
            </w:tcMar>
            <w:vAlign w:val="center"/>
          </w:tcPr>
          <w:p>
            <w:pPr>
              <w:pStyle w:val="TableContents"/>
              <w:bidi w:val="0"/>
              <w:spacing w:before="0" w:after="283"/>
              <w:jc w:val="left"/>
              <w:rPr/>
            </w:pPr>
            <w:r>
              <w:rPr/>
              <w:t> </w:t>
            </w:r>
          </w:p>
        </w:tc>
        <w:tc>
          <w:tcPr>
            <w:tcW w:w="70" w:type="dxa"/>
            <w:tcBorders/>
            <w:shd w:fill="EEEEEE" w:val="clear"/>
            <w:tcMar>
              <w:bottom w:w="0" w:type="dxa"/>
            </w:tcMar>
            <w:vAlign w:val="center"/>
          </w:tcPr>
          <w:p>
            <w:pPr>
              <w:pStyle w:val="TableContents"/>
              <w:bidi w:val="0"/>
              <w:spacing w:before="0" w:after="283"/>
              <w:jc w:val="left"/>
              <w:rPr/>
            </w:pPr>
            <w:r>
              <w:rPr/>
              <w:t> </w:t>
            </w:r>
          </w:p>
        </w:tc>
        <w:tc>
          <w:tcPr>
            <w:tcW w:w="70" w:type="dxa"/>
            <w:tcBorders/>
            <w:shd w:fill="EEEEEE" w:val="clear"/>
            <w:tcMar>
              <w:bottom w:w="0" w:type="dxa"/>
            </w:tcMar>
            <w:vAlign w:val="center"/>
          </w:tcPr>
          <w:p>
            <w:pPr>
              <w:pStyle w:val="TableContents"/>
              <w:bidi w:val="0"/>
              <w:spacing w:before="0" w:after="283"/>
              <w:jc w:val="left"/>
              <w:rPr/>
            </w:pPr>
            <w:r>
              <w:rPr/>
              <w:t> </w:t>
            </w:r>
          </w:p>
        </w:tc>
        <w:tc>
          <w:tcPr>
            <w:tcW w:w="1353"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Probable</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Probable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31" w:type="dxa"/>
            <w:tcBorders/>
            <w:shd w:fill="FFFFFF" w:val="clear"/>
            <w:tcMar>
              <w:bottom w:w="0" w:type="dxa"/>
            </w:tcMar>
            <w:vAlign w:val="center"/>
          </w:tcPr>
          <w:p>
            <w:pPr>
              <w:pStyle w:val="TableContents"/>
              <w:bidi w:val="0"/>
              <w:spacing w:before="0" w:after="283"/>
              <w:jc w:val="right"/>
              <w:rPr/>
            </w:pPr>
            <w:r>
              <w:rPr/>
              <w:t>10</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Probable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EEEEEE" w:val="clear"/>
            <w:tcMar>
              <w:bottom w:w="0" w:type="dxa"/>
            </w:tcMar>
            <w:vAlign w:val="center"/>
          </w:tcPr>
          <w:p>
            <w:pPr>
              <w:pStyle w:val="TableContents"/>
              <w:bidi w:val="0"/>
              <w:spacing w:before="0" w:after="283"/>
              <w:jc w:val="left"/>
              <w:rPr/>
            </w:pPr>
            <w:r>
              <w:rPr/>
              <w:t>$</w:t>
            </w:r>
          </w:p>
        </w:tc>
        <w:tc>
          <w:tcPr>
            <w:tcW w:w="1055" w:type="dxa"/>
            <w:tcBorders/>
            <w:shd w:fill="EEEEEE" w:val="clear"/>
            <w:tcMar>
              <w:bottom w:w="0" w:type="dxa"/>
            </w:tcMar>
            <w:vAlign w:val="center"/>
          </w:tcPr>
          <w:p>
            <w:pPr>
              <w:pStyle w:val="TableContents"/>
              <w:bidi w:val="0"/>
              <w:spacing w:before="0" w:after="283"/>
              <w:jc w:val="right"/>
              <w:rPr/>
            </w:pPr>
            <w:r>
              <w:rPr/>
              <w:t>150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60"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231" w:type="dxa"/>
            <w:tcBorders/>
            <w:shd w:fill="EEEEEE" w:val="clear"/>
            <w:tcMar>
              <w:bottom w:w="0" w:type="dxa"/>
            </w:tcMar>
            <w:vAlign w:val="center"/>
          </w:tcPr>
          <w:p>
            <w:pPr>
              <w:pStyle w:val="TableContents"/>
              <w:bidi w:val="0"/>
              <w:spacing w:before="0" w:after="283"/>
              <w:jc w:val="right"/>
              <w:rPr/>
            </w:pPr>
            <w:r>
              <w:rPr/>
              <w:t>12</w:t>
            </w:r>
          </w:p>
        </w:tc>
        <w:tc>
          <w:tcPr>
            <w:tcW w:w="70" w:type="dxa"/>
            <w:tcBorders/>
            <w:shd w:fill="EEEEEE" w:val="clear"/>
            <w:tcMar>
              <w:bottom w:w="0" w:type="dxa"/>
            </w:tcMar>
            <w:vAlign w:val="center"/>
          </w:tcPr>
          <w:p>
            <w:pPr>
              <w:pStyle w:val="TableContents"/>
              <w:bidi w:val="0"/>
              <w:spacing w:before="0" w:after="283"/>
              <w:jc w:val="left"/>
              <w:rPr/>
            </w:pPr>
            <w:r>
              <w:rPr/>
              <w:t> </w:t>
            </w:r>
          </w:p>
        </w:tc>
        <w:tc>
          <w:tcPr>
            <w:tcW w:w="70" w:type="dxa"/>
            <w:tcBorders/>
            <w:shd w:fill="EEEEEE" w:val="clear"/>
            <w:tcMar>
              <w:bottom w:w="0" w:type="dxa"/>
            </w:tcMar>
            <w:vAlign w:val="center"/>
          </w:tcPr>
          <w:p>
            <w:pPr>
              <w:pStyle w:val="TableContents"/>
              <w:bidi w:val="0"/>
              <w:spacing w:before="0" w:after="283"/>
              <w:jc w:val="left"/>
              <w:rPr/>
            </w:pPr>
            <w:r>
              <w:rPr/>
              <w:t> </w:t>
            </w:r>
          </w:p>
        </w:tc>
        <w:tc>
          <w:tcPr>
            <w:tcW w:w="70" w:type="dxa"/>
            <w:tcBorders/>
            <w:shd w:fill="EEEEEE" w:val="clear"/>
            <w:tcMar>
              <w:bottom w:w="0" w:type="dxa"/>
            </w:tcMar>
            <w:vAlign w:val="center"/>
          </w:tcPr>
          <w:p>
            <w:pPr>
              <w:pStyle w:val="TableContents"/>
              <w:bidi w:val="0"/>
              <w:spacing w:before="0" w:after="283"/>
              <w:jc w:val="left"/>
              <w:rPr/>
            </w:pPr>
            <w:r>
              <w:rPr/>
              <w:t> </w:t>
            </w:r>
          </w:p>
        </w:tc>
        <w:tc>
          <w:tcPr>
            <w:tcW w:w="1353" w:type="dxa"/>
            <w:tcBorders/>
            <w:shd w:fill="EEEEEE" w:val="clear"/>
            <w:tcMar>
              <w:bottom w:w="0" w:type="dxa"/>
            </w:tcMar>
            <w:vAlign w:val="center"/>
          </w:tcPr>
          <w:p>
            <w:pPr>
              <w:pStyle w:val="TableContents"/>
              <w:bidi w:val="0"/>
              <w:spacing w:before="0" w:after="283"/>
              <w:jc w:val="right"/>
              <w:rPr/>
            </w:pPr>
            <w:r>
              <w:rPr/>
              <w:t>–</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31" w:type="dxa"/>
            <w:tcBorders/>
            <w:shd w:fill="FFFFFF" w:val="clear"/>
            <w:tcMar>
              <w:bottom w:w="0" w:type="dxa"/>
            </w:tcMar>
            <w:vAlign w:val="center"/>
          </w:tcPr>
          <w:p>
            <w:pPr>
              <w:pStyle w:val="TableContents"/>
              <w:bidi w:val="0"/>
              <w:spacing w:before="0" w:after="283"/>
              <w:jc w:val="right"/>
              <w:rPr/>
            </w:pPr>
            <w:r>
              <w:rPr/>
              <w:t>16</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EEEEEE" w:val="clear"/>
            <w:tcMar>
              <w:bottom w:w="0" w:type="dxa"/>
            </w:tcMar>
            <w:vAlign w:val="center"/>
          </w:tcPr>
          <w:p>
            <w:pPr>
              <w:pStyle w:val="TableContents"/>
              <w:bidi w:val="0"/>
              <w:spacing w:before="0" w:after="283"/>
              <w:jc w:val="left"/>
              <w:rPr/>
            </w:pPr>
            <w:r>
              <w:rPr/>
              <w:t>$</w:t>
            </w:r>
          </w:p>
        </w:tc>
        <w:tc>
          <w:tcPr>
            <w:tcW w:w="1055" w:type="dxa"/>
            <w:tcBorders/>
            <w:shd w:fill="EEEEEE" w:val="clear"/>
            <w:tcMar>
              <w:bottom w:w="0" w:type="dxa"/>
            </w:tcMar>
            <w:vAlign w:val="center"/>
          </w:tcPr>
          <w:p>
            <w:pPr>
              <w:pStyle w:val="TableContents"/>
              <w:bidi w:val="0"/>
              <w:spacing w:before="0" w:after="283"/>
              <w:jc w:val="right"/>
              <w:rPr/>
            </w:pPr>
            <w:r>
              <w:rPr/>
              <w:t>250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6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231" w:type="dxa"/>
            <w:tcBorders/>
            <w:shd w:fill="EEEEEE" w:val="clear"/>
            <w:tcMar>
              <w:bottom w:w="0" w:type="dxa"/>
            </w:tcMar>
            <w:vAlign w:val="center"/>
          </w:tcPr>
          <w:p>
            <w:pPr>
              <w:pStyle w:val="TableContents"/>
              <w:bidi w:val="0"/>
              <w:spacing w:before="0" w:after="283"/>
              <w:jc w:val="right"/>
              <w:rPr/>
            </w:pPr>
            <w:r>
              <w:rPr/>
              <w:t>20</w:t>
            </w:r>
          </w:p>
        </w:tc>
        <w:tc>
          <w:tcPr>
            <w:tcW w:w="70" w:type="dxa"/>
            <w:tcBorders/>
            <w:shd w:fill="EEEEEE" w:val="clear"/>
            <w:tcMar>
              <w:bottom w:w="0" w:type="dxa"/>
            </w:tcMar>
            <w:vAlign w:val="center"/>
          </w:tcPr>
          <w:p>
            <w:pPr>
              <w:pStyle w:val="TableContents"/>
              <w:bidi w:val="0"/>
              <w:spacing w:before="0" w:after="283"/>
              <w:jc w:val="left"/>
              <w:rPr/>
            </w:pPr>
            <w:r>
              <w:rPr/>
              <w:t> </w:t>
            </w:r>
          </w:p>
        </w:tc>
        <w:tc>
          <w:tcPr>
            <w:tcW w:w="70" w:type="dxa"/>
            <w:tcBorders/>
            <w:shd w:fill="EEEEEE" w:val="clear"/>
            <w:tcMar>
              <w:bottom w:w="0" w:type="dxa"/>
            </w:tcMar>
            <w:vAlign w:val="center"/>
          </w:tcPr>
          <w:p>
            <w:pPr>
              <w:pStyle w:val="TableContents"/>
              <w:bidi w:val="0"/>
              <w:spacing w:before="0" w:after="283"/>
              <w:jc w:val="left"/>
              <w:rPr/>
            </w:pPr>
            <w:r>
              <w:rPr/>
              <w:t> </w:t>
            </w:r>
          </w:p>
        </w:tc>
        <w:tc>
          <w:tcPr>
            <w:tcW w:w="70" w:type="dxa"/>
            <w:tcBorders/>
            <w:shd w:fill="EEEEEE" w:val="clear"/>
            <w:tcMar>
              <w:bottom w:w="0" w:type="dxa"/>
            </w:tcMar>
            <w:vAlign w:val="center"/>
          </w:tcPr>
          <w:p>
            <w:pPr>
              <w:pStyle w:val="TableContents"/>
              <w:bidi w:val="0"/>
              <w:spacing w:before="0" w:after="283"/>
              <w:jc w:val="left"/>
              <w:rPr/>
            </w:pPr>
            <w:r>
              <w:rPr/>
              <w:t> </w:t>
            </w:r>
          </w:p>
        </w:tc>
        <w:tc>
          <w:tcPr>
            <w:tcW w:w="1353" w:type="dxa"/>
            <w:tcBorders/>
            <w:shd w:fill="EEEEEE" w:val="clear"/>
            <w:tcMar>
              <w:bottom w:w="0" w:type="dxa"/>
            </w:tcMar>
            <w:vAlign w:val="center"/>
          </w:tcPr>
          <w:p>
            <w:pPr>
              <w:pStyle w:val="TableContents"/>
              <w:bidi w:val="0"/>
              <w:spacing w:before="0" w:after="283"/>
              <w:jc w:val="right"/>
              <w:rPr/>
            </w:pPr>
            <w:r>
              <w:rPr/>
              <w:t>–</w:t>
            </w:r>
          </w:p>
        </w:tc>
        <w:tc>
          <w:tcPr>
            <w:tcW w:w="75"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compensation cost is recognized over the requisite service period, which is based on the implied service period derived from valuation model and one of the performance conditions probable achievement. In relation to the five awards deemed probable to vest, the recognition period ranges from three to ten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the Company will achieve each operational milestone that has not previously been achieved or deemed probable of achievement and, if so, the future time when the Company expects to achieve that operational milestone. The Monte Carlo simulation utilized the following inputs:</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95"/>
        <w:gridCol w:w="348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 - $</w:t>
            </w:r>
            <w:bookmarkStart w:id="882" w:name="xdx_90F_eus-gaap--SharePrice_iI_c2022051"/>
            <w:bookmarkEnd w:id="882"/>
            <w:r>
              <w:rPr>
                <w:rFonts w:ascii="Times New Roman;Times;Serif" w:hAnsi="Times New Roman;Times;Serif"/>
                <w:sz w:val="20"/>
              </w:rPr>
              <w:t>1.12 (pre-reverse-split price)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Volatility – </w:t>
            </w:r>
            <w:bookmarkStart w:id="883" w:name="xdx_909_eus-gaap--ShareBasedCompensation"/>
            <w:bookmarkEnd w:id="883"/>
            <w:r>
              <w:rPr>
                <w:rFonts w:ascii="Times New Roman;Times;Serif" w:hAnsi="Times New Roman;Times;Serif"/>
                <w:sz w:val="20"/>
              </w:rPr>
              <w:t xml:space="preserve">95.65%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 –</w:t>
            </w:r>
            <w:bookmarkStart w:id="884" w:name="xdx_905_eus-gaap--SharebasedCompensation"/>
            <w:bookmarkEnd w:id="884"/>
            <w:r>
              <w:rPr>
                <w:rFonts w:ascii="Times New Roman;Times;Serif" w:hAnsi="Times New Roman;Times;Serif"/>
                <w:sz w:val="20"/>
              </w:rPr>
              <w:t>10 years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Risk Free Rate of Return – </w:t>
            </w:r>
            <w:bookmarkStart w:id="885" w:name="xdx_90A_eus-gaap--ShareBasedCompensation"/>
            <w:bookmarkEnd w:id="885"/>
            <w:r>
              <w:rPr>
                <w:rFonts w:ascii="Times New Roman;Times;Serif" w:hAnsi="Times New Roman;Times;Serif"/>
                <w:sz w:val="20"/>
              </w:rPr>
              <w:t xml:space="preserve">2.93%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Dividend Yield – </w:t>
            </w:r>
            <w:bookmarkStart w:id="886" w:name="xdx_900_eus-gaap--ShareBasedCompensation"/>
            <w:bookmarkEnd w:id="886"/>
            <w:r>
              <w:rPr>
                <w:rFonts w:ascii="Times New Roman;Times;Serif" w:hAnsi="Times New Roman;Times;Serif"/>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the Option Grants was $</w:t>
      </w:r>
      <w:bookmarkStart w:id="887" w:name="xdx_909_ecustom--FairValueOfOptionsGrant"/>
      <w:bookmarkEnd w:id="887"/>
      <w:r>
        <w:rPr>
          <w:rFonts w:ascii="Times New Roman;Times;Serif" w:hAnsi="Times New Roman;Times;Serif"/>
          <w:b w:val="false"/>
          <w:i w:val="false"/>
          <w:caps w:val="false"/>
          <w:smallCaps w:val="false"/>
          <w:sz w:val="20"/>
        </w:rPr>
        <w:t>3.2 million of which, at March 31, 2026, $</w:t>
      </w:r>
      <w:bookmarkStart w:id="888" w:name="xdx_903_eus-gaap--ShareBasedCompensation"/>
      <w:bookmarkEnd w:id="888"/>
      <w:r>
        <w:rPr>
          <w:rFonts w:ascii="Times New Roman;Times;Serif" w:hAnsi="Times New Roman;Times;Serif"/>
          <w:b w:val="false"/>
          <w:i w:val="false"/>
          <w:caps w:val="false"/>
          <w:smallCaps w:val="false"/>
          <w:sz w:val="20"/>
        </w:rPr>
        <w:t>1.0 million is deemed probable of vesting.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89" w:name="xdx_23E_zgZb8wM5OPA2"/>
      <w:bookmarkEnd w:id="889"/>
      <w:r>
        <w:rPr>
          <w:caps w:val="false"/>
          <w:smallCaps w:val="false"/>
        </w:rPr>
        <w:t> </w:t>
      </w:r>
    </w:p>
    <w:p>
      <w:pPr>
        <w:pStyle w:val="TextBody"/>
        <w:bidi w:val="0"/>
        <w:spacing w:before="0" w:after="0"/>
        <w:ind w:left="0" w:right="0" w:hanging="0"/>
        <w:jc w:val="both"/>
        <w:rPr>
          <w:caps w:val="false"/>
          <w:smallCaps w:val="false"/>
        </w:rPr>
      </w:pPr>
      <w:bookmarkStart w:id="890" w:name="xdx_230_zZPmKOwScEna"/>
      <w:bookmarkEnd w:id="89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891" w:name="xdx_23C_zJGxDj97lgV6"/>
      <w:bookmarkEnd w:id="89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June 30, 2025, the Company reassessed the expected timing of meeting the performance conditions. According to ASC 718-10-55-78, since the number of awards expected to vest and the fair value had changed with the new estimate, the adjustment affected the recognition value and years to vest. Therefore, the Company had reversed $701,807 of the expenses recorded for non-vesting tranches and applied the prospective approach to record adjustment on tranches expected to be vested in future periods. As of March 31, 2026, none of the options had vested. For the three and nine months ended March 31, 2026, the Company recorded $</w:t>
      </w:r>
      <w:bookmarkStart w:id="892" w:name="xdx_902_eus-gaap--ShareBasedCompensation"/>
      <w:bookmarkEnd w:id="892"/>
      <w:r>
        <w:rPr>
          <w:rFonts w:ascii="Times New Roman;Times;Serif" w:hAnsi="Times New Roman;Times;Serif"/>
          <w:b w:val="false"/>
          <w:i w:val="false"/>
          <w:caps w:val="false"/>
          <w:smallCaps w:val="false"/>
          <w:sz w:val="20"/>
        </w:rPr>
        <w:t>40,691 and $</w:t>
      </w:r>
      <w:bookmarkStart w:id="893" w:name="xdx_90D_eus-gaap--ShareBasedCompensation"/>
      <w:bookmarkEnd w:id="893"/>
      <w:r>
        <w:rPr>
          <w:rFonts w:ascii="Times New Roman;Times;Serif" w:hAnsi="Times New Roman;Times;Serif"/>
          <w:b w:val="false"/>
          <w:i w:val="false"/>
          <w:caps w:val="false"/>
          <w:smallCaps w:val="false"/>
          <w:sz w:val="20"/>
        </w:rPr>
        <w:t>122,073, respectively, of stock-based compensation expense related to the Option Grants. For the three and nine months ended March 31, 2025, the Company recorded $</w:t>
      </w:r>
      <w:bookmarkStart w:id="894" w:name="xdx_90F_eus-gaap--ShareBasedCompensation"/>
      <w:bookmarkEnd w:id="894"/>
      <w:r>
        <w:rPr>
          <w:rFonts w:ascii="Times New Roman;Times;Serif" w:hAnsi="Times New Roman;Times;Serif"/>
          <w:b w:val="false"/>
          <w:i w:val="false"/>
          <w:caps w:val="false"/>
          <w:smallCaps w:val="false"/>
          <w:sz w:val="20"/>
        </w:rPr>
        <w:t>(668,065) and $</w:t>
      </w:r>
      <w:bookmarkStart w:id="895" w:name="xdx_90D_eus-gaap--ShareBasedCompensation"/>
      <w:bookmarkEnd w:id="895"/>
      <w:r>
        <w:rPr>
          <w:rFonts w:ascii="Times New Roman;Times;Serif" w:hAnsi="Times New Roman;Times;Serif"/>
          <w:b w:val="false"/>
          <w:i w:val="false"/>
          <w:caps w:val="false"/>
          <w:smallCaps w:val="false"/>
          <w:sz w:val="20"/>
        </w:rPr>
        <w:t>(482,381), respectively, of stock-based compensation expense related to the Option Grants. As of March 31, 2026, unrecognized compensation cost related to tranches probable of vesting is approximately $</w:t>
      </w:r>
      <w:bookmarkStart w:id="896" w:name="xdx_900_eus-gaap--EmployeeServiceShareBa"/>
      <w:bookmarkEnd w:id="896"/>
      <w:r>
        <w:rPr>
          <w:rFonts w:ascii="Times New Roman;Times;Serif" w:hAnsi="Times New Roman;Times;Serif"/>
          <w:b w:val="false"/>
          <w:i w:val="false"/>
          <w:caps w:val="false"/>
          <w:smallCaps w:val="false"/>
          <w:sz w:val="20"/>
        </w:rPr>
        <w:t>910,663 and will be recognized over five to six years, depending on the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29, 2024, the board of directors (the “Board”) of the Company, based on the recommendation of the compensation committee of the Board, approved a grant of </w:t>
      </w:r>
      <w:bookmarkStart w:id="897" w:name="xdx_903_eus-gaap--ShareBasedCompensation"/>
      <w:bookmarkEnd w:id="897"/>
      <w:r>
        <w:rPr>
          <w:rFonts w:ascii="Times New Roman;Times;Serif" w:hAnsi="Times New Roman;Times;Serif"/>
          <w:b w:val="false"/>
          <w:i w:val="false"/>
          <w:caps w:val="false"/>
          <w:smallCaps w:val="false"/>
          <w:sz w:val="20"/>
        </w:rPr>
        <w:t>40,000 stock options (the “2024 Stock Options”) issuable to Chenlong Tan, the Company’s Chief Executive Officer, pursuant to the terms of the iPower Inc. Amended and Restated 2020 Equity Incentive Plan (the “2020 Equity Incentive Plan”). Following the Board’s approval, Mr. Tan and the Company entered into a stock option award agreement (the “Stock Option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Stock Option Award Agreement, and subject to the terms and conditions of the Stock Option Award Agreement and the Plan, upon vesting of the 2024 Stock Options, Mr. Tan will have the option to purchase the Company’s Common Stock at an exercise price of $</w:t>
      </w:r>
      <w:bookmarkStart w:id="898" w:name="xdx_906_eus-gaap--DeferredCompensationAr"/>
      <w:bookmarkEnd w:id="898"/>
      <w:r>
        <w:rPr>
          <w:rFonts w:ascii="Times New Roman;Times;Serif" w:hAnsi="Times New Roman;Times;Serif"/>
          <w:b w:val="false"/>
          <w:i w:val="false"/>
          <w:caps w:val="false"/>
          <w:smallCaps w:val="false"/>
          <w:sz w:val="20"/>
        </w:rPr>
        <w:t xml:space="preserve">42.9 per share (which is 110% of the Fair Market Value of the stock on the grant date). The 2024 Stock Options have a term of </w:t>
      </w:r>
      <w:bookmarkStart w:id="899" w:name="xdx_902_eus-gaap--SharebasedCompensation"/>
      <w:bookmarkEnd w:id="899"/>
      <w:r>
        <w:rPr>
          <w:rFonts w:ascii="Times New Roman;Times;Serif" w:hAnsi="Times New Roman;Times;Serif"/>
          <w:b w:val="false"/>
          <w:i w:val="false"/>
          <w:caps w:val="false"/>
          <w:smallCaps w:val="false"/>
          <w:sz w:val="20"/>
        </w:rPr>
        <w:t xml:space="preserve">10 years and will vest as follows: </w:t>
      </w:r>
      <w:bookmarkStart w:id="900" w:name="xdx_90D_eus-gaap--SharebasedCompensation"/>
      <w:bookmarkEnd w:id="900"/>
      <w:r>
        <w:rPr>
          <w:rFonts w:ascii="Times New Roman;Times;Serif" w:hAnsi="Times New Roman;Times;Serif"/>
          <w:b w:val="false"/>
          <w:i w:val="false"/>
          <w:caps w:val="false"/>
          <w:smallCaps w:val="false"/>
          <w:sz w:val="20"/>
        </w:rPr>
        <w:t xml:space="preserve">1,000 2024 Stock Options vested on the grant date (August 29, 2024), and </w:t>
      </w:r>
      <w:bookmarkStart w:id="901" w:name="xdx_906_eus-gaap--ShareBasedCompensation"/>
      <w:bookmarkEnd w:id="901"/>
      <w:r>
        <w:rPr>
          <w:rFonts w:ascii="Times New Roman;Times;Serif" w:hAnsi="Times New Roman;Times;Serif"/>
          <w:b w:val="false"/>
          <w:i w:val="false"/>
          <w:caps w:val="false"/>
          <w:smallCaps w:val="false"/>
          <w:sz w:val="20"/>
        </w:rPr>
        <w:t>1,084 2024 Stock Options will vest on the first day of each month from September 1, 2024, to August 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grant date, a Black-Scholes Model was used to determine the fair value of the 2024 Stock Options with the following inputs:</w:t>
      </w:r>
    </w:p>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95"/>
        <w:gridCol w:w="371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 - $</w:t>
            </w:r>
            <w:bookmarkStart w:id="902" w:name="xdx_904_eus-gaap--SharePrice_iI_c2024082"/>
            <w:bookmarkEnd w:id="902"/>
            <w:r>
              <w:rPr>
                <w:rFonts w:ascii="Times New Roman;Times;Serif" w:hAnsi="Times New Roman;Times;Serif"/>
                <w:sz w:val="20"/>
              </w:rPr>
              <w:t>1.30 (pre-reverse-split price)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Price - $</w:t>
            </w:r>
            <w:bookmarkStart w:id="903" w:name="xdx_905_eus-gaap--ShareBasedCompensation"/>
            <w:bookmarkEnd w:id="903"/>
            <w:r>
              <w:rPr>
                <w:rFonts w:ascii="Times New Roman;Times;Serif" w:hAnsi="Times New Roman;Times;Serif"/>
                <w:sz w:val="20"/>
              </w:rPr>
              <w:t>1.43 (pre-reverse-split price)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Volatility – </w:t>
            </w:r>
            <w:bookmarkStart w:id="904" w:name="xdx_907_eus-gaap--ShareBasedCompensation"/>
            <w:bookmarkEnd w:id="904"/>
            <w:r>
              <w:rPr>
                <w:rFonts w:ascii="Times New Roman;Times;Serif" w:hAnsi="Times New Roman;Times;Serif"/>
                <w:sz w:val="20"/>
              </w:rPr>
              <w:t xml:space="preserve">101%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 –</w:t>
            </w:r>
            <w:bookmarkStart w:id="905" w:name="xdx_900_eus-gaap--SharebasedCompensation"/>
            <w:bookmarkEnd w:id="905"/>
            <w:r>
              <w:rPr>
                <w:rFonts w:ascii="Times New Roman;Times;Serif" w:hAnsi="Times New Roman;Times;Serif"/>
                <w:sz w:val="20"/>
              </w:rPr>
              <w:t>5.71 years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Risk Free Rate of Return – </w:t>
            </w:r>
            <w:bookmarkStart w:id="906" w:name="xdx_90C_eus-gaap--ShareBasedCompensation"/>
            <w:bookmarkEnd w:id="906"/>
            <w:r>
              <w:rPr>
                <w:rFonts w:ascii="Times New Roman;Times;Serif" w:hAnsi="Times New Roman;Times;Serif"/>
                <w:sz w:val="20"/>
              </w:rPr>
              <w:t xml:space="preserve">3.66%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Dividend Yield – </w:t>
            </w:r>
            <w:bookmarkStart w:id="907" w:name="xdx_904_eus-gaap--ShareBasedCompensation"/>
            <w:bookmarkEnd w:id="907"/>
            <w:r>
              <w:rPr>
                <w:rFonts w:ascii="Times New Roman;Times;Serif" w:hAnsi="Times New Roman;Times;Serif"/>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the 2024 Stock Options was $</w:t>
      </w:r>
      <w:bookmarkStart w:id="908" w:name="xdx_903_ecustom--FairValueOfOptionsGrant"/>
      <w:bookmarkEnd w:id="908"/>
      <w:r>
        <w:rPr>
          <w:rFonts w:ascii="Times New Roman;Times;Serif" w:hAnsi="Times New Roman;Times;Serif"/>
          <w:b w:val="false"/>
          <w:i w:val="false"/>
          <w:caps w:val="false"/>
          <w:smallCaps w:val="false"/>
          <w:sz w:val="20"/>
        </w:rPr>
        <w:t xml:space="preserve">1.22 million as of the grant date. For the three and nine months ended March 31, 2026, </w:t>
      </w:r>
      <w:bookmarkStart w:id="909" w:name="xdx_907_eus-gaap--SharebasedCompensation"/>
      <w:bookmarkEnd w:id="909"/>
      <w:r>
        <w:rPr>
          <w:rFonts w:ascii="Times New Roman;Times;Serif" w:hAnsi="Times New Roman;Times;Serif"/>
          <w:b w:val="false"/>
          <w:i w:val="false"/>
          <w:caps w:val="false"/>
          <w:smallCaps w:val="false"/>
          <w:sz w:val="20"/>
        </w:rPr>
        <w:t xml:space="preserve">3,250 and </w:t>
      </w:r>
      <w:bookmarkStart w:id="910" w:name="xdx_900_eus-gaap--SharebasedCompensation"/>
      <w:bookmarkEnd w:id="910"/>
      <w:r>
        <w:rPr>
          <w:rFonts w:ascii="Times New Roman;Times;Serif" w:hAnsi="Times New Roman;Times;Serif"/>
          <w:b w:val="false"/>
          <w:i w:val="false"/>
          <w:caps w:val="false"/>
          <w:smallCaps w:val="false"/>
          <w:sz w:val="20"/>
        </w:rPr>
        <w:t>9,750 stock options, respectively, were vested and the Company recorded $</w:t>
      </w:r>
      <w:bookmarkStart w:id="911" w:name="xdx_90B_eus-gaap--ShareBasedCompensation"/>
      <w:bookmarkEnd w:id="911"/>
      <w:r>
        <w:rPr>
          <w:rFonts w:ascii="Times New Roman;Times;Serif" w:hAnsi="Times New Roman;Times;Serif"/>
          <w:b w:val="false"/>
          <w:i w:val="false"/>
          <w:caps w:val="false"/>
          <w:smallCaps w:val="false"/>
          <w:sz w:val="20"/>
        </w:rPr>
        <w:t>99,512 and $</w:t>
      </w:r>
      <w:bookmarkStart w:id="912" w:name="xdx_904_eus-gaap--ShareBasedCompensation"/>
      <w:bookmarkEnd w:id="912"/>
      <w:r>
        <w:rPr>
          <w:rFonts w:ascii="Times New Roman;Times;Serif" w:hAnsi="Times New Roman;Times;Serif"/>
          <w:b w:val="false"/>
          <w:i w:val="false"/>
          <w:caps w:val="false"/>
          <w:smallCaps w:val="false"/>
          <w:sz w:val="20"/>
        </w:rPr>
        <w:t xml:space="preserve">298,535 as stock compensation expense, respectively. For the three and nine months ended March 31, 2025, </w:t>
      </w:r>
      <w:bookmarkStart w:id="913" w:name="xdx_90D_eus-gaap--SharebasedCompensation"/>
      <w:bookmarkEnd w:id="913"/>
      <w:r>
        <w:rPr>
          <w:rFonts w:ascii="Times New Roman;Times;Serif" w:hAnsi="Times New Roman;Times;Serif"/>
          <w:b w:val="false"/>
          <w:i w:val="false"/>
          <w:caps w:val="false"/>
          <w:smallCaps w:val="false"/>
          <w:sz w:val="20"/>
        </w:rPr>
        <w:t xml:space="preserve">97,500 and </w:t>
      </w:r>
      <w:bookmarkStart w:id="914" w:name="xdx_900_eus-gaap--SharebasedCompensation"/>
      <w:bookmarkEnd w:id="914"/>
      <w:r>
        <w:rPr>
          <w:rFonts w:ascii="Times New Roman;Times;Serif" w:hAnsi="Times New Roman;Times;Serif"/>
          <w:b w:val="false"/>
          <w:i w:val="false"/>
          <w:caps w:val="false"/>
          <w:smallCaps w:val="false"/>
          <w:sz w:val="20"/>
        </w:rPr>
        <w:t>257,500 stock options were vested and the Company recorded $</w:t>
      </w:r>
      <w:bookmarkStart w:id="915" w:name="xdx_908_eus-gaap--ShareBasedCompensation"/>
      <w:bookmarkEnd w:id="915"/>
      <w:r>
        <w:rPr>
          <w:rFonts w:ascii="Times New Roman;Times;Serif" w:hAnsi="Times New Roman;Times;Serif"/>
          <w:b w:val="false"/>
          <w:i w:val="false"/>
          <w:caps w:val="false"/>
          <w:smallCaps w:val="false"/>
          <w:sz w:val="20"/>
        </w:rPr>
        <w:t>99,512 and $</w:t>
      </w:r>
      <w:bookmarkStart w:id="916" w:name="xdx_905_eus-gaap--ShareBasedCompensation"/>
      <w:bookmarkEnd w:id="916"/>
      <w:r>
        <w:rPr>
          <w:rFonts w:ascii="Times New Roman;Times;Serif" w:hAnsi="Times New Roman;Times;Serif"/>
          <w:b w:val="false"/>
          <w:i w:val="false"/>
          <w:caps w:val="false"/>
          <w:smallCaps w:val="false"/>
          <w:sz w:val="20"/>
        </w:rPr>
        <w:t>262,813 as stock compensation expense, respectively. As of March 31, 2026, the unrecognized compensation cost of the 2024 Stock Options was approximately $</w:t>
      </w:r>
      <w:bookmarkStart w:id="917" w:name="xdx_907_eus-gaap--EmployeeServiceShareBa"/>
      <w:bookmarkEnd w:id="917"/>
      <w:r>
        <w:rPr>
          <w:rFonts w:ascii="Times New Roman;Times;Serif" w:hAnsi="Times New Roman;Times;Serif"/>
          <w:b w:val="false"/>
          <w:i w:val="false"/>
          <w:caps w:val="false"/>
          <w:smallCaps w:val="false"/>
          <w:sz w:val="20"/>
        </w:rPr>
        <w:t>0.56 million and will be recognized monthly through August 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8" w:name="xdx_800_eus-gaap--ConcentrationRiskDiscl"/>
      <w:bookmarkEnd w:id="918"/>
      <w:r>
        <w:rPr>
          <w:rFonts w:ascii="Times New Roman;Times;Serif" w:hAnsi="Times New Roman;Times;Serif"/>
          <w:b/>
          <w:i w:val="false"/>
          <w:caps w:val="false"/>
          <w:smallCaps w:val="false"/>
          <w:sz w:val="20"/>
        </w:rPr>
        <w:t xml:space="preserve">Note 17 - </w:t>
      </w:r>
      <w:bookmarkStart w:id="919" w:name="xdx_829_zrkMMWDida74"/>
      <w:bookmarkEnd w:id="919"/>
      <w:r>
        <w:rPr>
          <w:rFonts w:ascii="Times New Roman;Times;Serif" w:hAnsi="Times New Roman;Times;Serif"/>
          <w:b/>
          <w:i w:val="false"/>
          <w:caps w:val="false"/>
          <w:smallCaps w:val="false"/>
          <w:sz w:val="20"/>
        </w:rPr>
        <w:t>Concentration of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concentrations of credit risk consist primarily of cash and cash equivalents and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June 30, 2025, $</w:t>
      </w:r>
      <w:bookmarkStart w:id="920" w:name="xdx_900_eus-gaap--Cash_iI_pp0p0_c2026033"/>
      <w:bookmarkEnd w:id="920"/>
      <w:r>
        <w:rPr>
          <w:rFonts w:ascii="Times New Roman;Times;Serif" w:hAnsi="Times New Roman;Times;Serif"/>
          <w:b w:val="false"/>
          <w:i w:val="false"/>
          <w:caps w:val="false"/>
          <w:smallCaps w:val="false"/>
          <w:sz w:val="20"/>
        </w:rPr>
        <w:t>713,685 and $</w:t>
      </w:r>
      <w:bookmarkStart w:id="921" w:name="xdx_900_eus-gaap--Cash_iI_pp0p0_c2025063"/>
      <w:bookmarkEnd w:id="921"/>
      <w:r>
        <w:rPr>
          <w:rFonts w:ascii="Times New Roman;Times;Serif" w:hAnsi="Times New Roman;Times;Serif"/>
          <w:b w:val="false"/>
          <w:i w:val="false"/>
          <w:caps w:val="false"/>
          <w:smallCaps w:val="false"/>
          <w:sz w:val="20"/>
        </w:rPr>
        <w:t>2,007,890, respectively, were deposited with various financial institutions and financial services companies in the United States and PRC. Accounts at each institution in the United States are insured by the Federal Deposit Insurance Corporation (FDIC) for up to $250,000. The Company had approximately $</w:t>
      </w:r>
      <w:bookmarkStart w:id="922" w:name="xdx_90E_eus-gaap--CashUninsuredAmount_iI"/>
      <w:bookmarkEnd w:id="922"/>
      <w:r>
        <w:rPr>
          <w:rFonts w:ascii="Times New Roman;Times;Serif" w:hAnsi="Times New Roman;Times;Serif"/>
          <w:b w:val="false"/>
          <w:i w:val="false"/>
          <w:caps w:val="false"/>
          <w:smallCaps w:val="false"/>
          <w:sz w:val="20"/>
        </w:rPr>
        <w:t>0.4 million and $</w:t>
      </w:r>
      <w:bookmarkStart w:id="923" w:name="xdx_909_eus-gaap--CashUninsuredAmount_iI"/>
      <w:bookmarkEnd w:id="923"/>
      <w:r>
        <w:rPr>
          <w:rFonts w:ascii="Times New Roman;Times;Serif" w:hAnsi="Times New Roman;Times;Serif"/>
          <w:b w:val="false"/>
          <w:i w:val="false"/>
          <w:caps w:val="false"/>
          <w:smallCaps w:val="false"/>
          <w:sz w:val="20"/>
        </w:rPr>
        <w:t>1.4 million, respectively, in excess of the FDIC insurance limit, as of March 31, 2026 and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bookmarkStart w:id="924" w:name="xdx_23E_ztxzefhEiZQd"/>
      <w:bookmarkEnd w:id="924"/>
      <w:r>
        <w:rPr>
          <w:caps w:val="false"/>
          <w:smallCaps w:val="false"/>
        </w:rPr>
        <w:t> </w:t>
      </w:r>
    </w:p>
    <w:p>
      <w:pPr>
        <w:pStyle w:val="TextBody"/>
        <w:bidi w:val="0"/>
        <w:spacing w:before="0" w:after="0"/>
        <w:ind w:left="0" w:right="0" w:firstLine="720"/>
        <w:jc w:val="both"/>
        <w:rPr>
          <w:caps w:val="false"/>
          <w:smallCaps w:val="false"/>
        </w:rPr>
      </w:pPr>
      <w:bookmarkStart w:id="925" w:name="xdx_236_zKBTNL7mSNZe"/>
      <w:bookmarkEnd w:id="92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caps w:val="false"/>
          <w:smallCaps w:val="false"/>
        </w:rPr>
      </w:pPr>
      <w:bookmarkStart w:id="926" w:name="xdx_237_zV7TfwfsU478"/>
      <w:bookmarkEnd w:id="9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WFOE in China may be impacted by Chinese economic conditions, changes in regulations and laws, and other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Customer and vendor concentration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nine months ended March 31, 2026 and 2025, Amazon Vendor and Amazon Seller customers accounted for </w:t>
      </w:r>
      <w:bookmarkStart w:id="927" w:name="xdx_904_eus-gaap--ConcentrationRiskPerce"/>
      <w:bookmarkEnd w:id="927"/>
      <w:r>
        <w:rPr>
          <w:rFonts w:ascii="Times New Roman;Times;Serif" w:hAnsi="Times New Roman;Times;Serif"/>
          <w:b w:val="false"/>
          <w:i w:val="false"/>
          <w:caps w:val="false"/>
          <w:smallCaps w:val="false"/>
          <w:sz w:val="20"/>
        </w:rPr>
        <w:t xml:space="preserve">60% and </w:t>
      </w:r>
      <w:bookmarkStart w:id="928" w:name="xdx_90C_eus-gaap--ConcentrationRiskPerce"/>
      <w:bookmarkEnd w:id="928"/>
      <w:r>
        <w:rPr>
          <w:rFonts w:ascii="Times New Roman;Times;Serif" w:hAnsi="Times New Roman;Times;Serif"/>
          <w:b w:val="false"/>
          <w:i w:val="false"/>
          <w:caps w:val="false"/>
          <w:smallCaps w:val="false"/>
          <w:sz w:val="20"/>
        </w:rPr>
        <w:t xml:space="preserve">85% of the Company’s total revenues, respectively. As of March 31, 2026 and June 30, 2025, respectively, accounts receivable from Amazon Vendor and Amazon Seller accounted for </w:t>
      </w:r>
      <w:bookmarkStart w:id="929" w:name="xdx_907_eus-gaap--ConcentrationRiskPerce"/>
      <w:bookmarkEnd w:id="929"/>
      <w:r>
        <w:rPr>
          <w:rFonts w:ascii="Times New Roman;Times;Serif" w:hAnsi="Times New Roman;Times;Serif"/>
          <w:b w:val="false"/>
          <w:i w:val="false"/>
          <w:caps w:val="false"/>
          <w:smallCaps w:val="false"/>
          <w:sz w:val="20"/>
        </w:rPr>
        <w:t xml:space="preserve">62% and </w:t>
      </w:r>
      <w:bookmarkStart w:id="930" w:name="xdx_901_eus-gaap--ConcentrationRiskPerce"/>
      <w:bookmarkEnd w:id="930"/>
      <w:r>
        <w:rPr>
          <w:rFonts w:ascii="Times New Roman;Times;Serif" w:hAnsi="Times New Roman;Times;Serif"/>
          <w:b w:val="false"/>
          <w:i w:val="false"/>
          <w:caps w:val="false"/>
          <w:smallCaps w:val="false"/>
          <w:sz w:val="20"/>
        </w:rPr>
        <w:t>72% of the Company’s total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nine months ended March 31, 2026 and 2025, one supplier accounted for </w:t>
      </w:r>
      <w:bookmarkStart w:id="931" w:name="xdx_908_eus-gaap--ConcentrationRiskPerce"/>
      <w:bookmarkEnd w:id="931"/>
      <w:r>
        <w:rPr>
          <w:rFonts w:ascii="Times New Roman;Times;Serif" w:hAnsi="Times New Roman;Times;Serif"/>
          <w:b w:val="false"/>
          <w:i w:val="false"/>
          <w:caps w:val="false"/>
          <w:smallCaps w:val="false"/>
          <w:sz w:val="20"/>
        </w:rPr>
        <w:t xml:space="preserve">67% and </w:t>
      </w:r>
      <w:bookmarkStart w:id="932" w:name="xdx_90C_eus-gaap--ConcentrationRiskPerce"/>
      <w:bookmarkEnd w:id="932"/>
      <w:r>
        <w:rPr>
          <w:rFonts w:ascii="Times New Roman;Times;Serif" w:hAnsi="Times New Roman;Times;Serif"/>
          <w:b w:val="false"/>
          <w:i w:val="false"/>
          <w:caps w:val="false"/>
          <w:smallCaps w:val="false"/>
          <w:sz w:val="20"/>
        </w:rPr>
        <w:t xml:space="preserve">12% of the Company’s total purchases, respectively. As of March 31, 2026 and June 30, 2025, accounts payable to one supplier accounted for </w:t>
      </w:r>
      <w:bookmarkStart w:id="933" w:name="xdx_90F_eus-gaap--ConcentrationRiskPerce"/>
      <w:bookmarkEnd w:id="933"/>
      <w:r>
        <w:rPr>
          <w:rFonts w:ascii="Times New Roman;Times;Serif" w:hAnsi="Times New Roman;Times;Serif"/>
          <w:b w:val="false"/>
          <w:i w:val="false"/>
          <w:caps w:val="false"/>
          <w:smallCaps w:val="false"/>
          <w:sz w:val="20"/>
        </w:rPr>
        <w:t xml:space="preserve">24% and </w:t>
      </w:r>
      <w:bookmarkStart w:id="934" w:name="xdx_901_eus-gaap--ConcentrationRiskPerce"/>
      <w:bookmarkEnd w:id="934"/>
      <w:r>
        <w:rPr>
          <w:rFonts w:ascii="Times New Roman;Times;Serif" w:hAnsi="Times New Roman;Times;Serif"/>
          <w:b w:val="false"/>
          <w:i w:val="false"/>
          <w:caps w:val="false"/>
          <w:smallCaps w:val="false"/>
          <w:sz w:val="20"/>
        </w:rPr>
        <w:t>10% of the Company’s total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5" w:name="xdx_804_eus-gaap--LesseeOperatingLeasesT"/>
      <w:bookmarkEnd w:id="935"/>
      <w:r>
        <w:rPr>
          <w:rFonts w:ascii="Times New Roman;Times;Serif" w:hAnsi="Times New Roman;Times;Serif"/>
          <w:b/>
          <w:i w:val="false"/>
          <w:caps w:val="false"/>
          <w:smallCaps w:val="false"/>
          <w:sz w:val="20"/>
        </w:rPr>
        <w:t xml:space="preserve">Note 18 - </w:t>
      </w:r>
      <w:bookmarkStart w:id="936" w:name="xdx_82C_zZMkvMM14p4l"/>
      <w:bookmarkEnd w:id="936"/>
      <w:r>
        <w:rPr>
          <w:rFonts w:ascii="Times New Roman;Times;Serif" w:hAnsi="Times New Roman;Times;Serif"/>
          <w:b/>
          <w:i w:val="false"/>
          <w:caps w:val="false"/>
          <w:smallCaps w:val="false"/>
          <w:sz w:val="20"/>
        </w:rPr>
        <w:t>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upon completion of the acquisition of Anivia Limited, the Company assumed an operating lease for offices located in the People’s Republic of China. In July 2023, the Company renewed the lease contract for its existing office plus additional office space. The lease term is for three years expiring on July 14, 2026. The total base rental fee for these offices is approximately $19,406 per month. In September 2024, the Company terminated the lease contract of the office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 Under the Lease Agreement, the Company is responsible for its pro rata share of certain costs, including utility costs, insurance and common area costs, as further detailed in the Lease Agreement. In addition, following the Rent Commencement Date, the first two months of the Base Rent were abated.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did not start under the original agreement as the construction was not completed. On February 23, 2022, the Company entered into an amended agreement to extend the lease term to 74 months. Under the amended agreement, the lease commenced on February 10, 2022, with rent payments commencing May 11, 2022 and the lease expiring on May 31, 2028. The base rental fee is $114,249, increasing gradually over time to $140,079 per month through the expiration date of May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2022, the Company leased another fulfillment center in Duarte, California. The base rental fee is $56,000 to $59,410 per month through April 30, 2025. The lease had been expired without renewal since May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37" w:name="xdx_238_z7p1n6w8ReK7"/>
      <w:bookmarkEnd w:id="937"/>
      <w:r>
        <w:rPr>
          <w:caps w:val="false"/>
          <w:smallCaps w:val="false"/>
        </w:rPr>
        <w:t> </w:t>
      </w:r>
    </w:p>
    <w:p>
      <w:pPr>
        <w:pStyle w:val="TextBody"/>
        <w:bidi w:val="0"/>
        <w:spacing w:before="0" w:after="0"/>
        <w:ind w:left="0" w:right="0" w:hanging="0"/>
        <w:jc w:val="both"/>
        <w:rPr>
          <w:caps w:val="false"/>
          <w:smallCaps w:val="false"/>
        </w:rPr>
      </w:pPr>
      <w:bookmarkStart w:id="938" w:name="xdx_23B_zjF6uy2xQ6d4"/>
      <w:bookmarkEnd w:id="93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939" w:name="xdx_232_zuo3W2Q7Irf2"/>
      <w:bookmarkEnd w:id="93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DHS entered into a sublease agreement with a third-party entity for office space in Shenzhen. The lease term is for one year from October 1, 2024 to September 30, 2025. The lease is treated as short-term lease and the base rental fee is approximately $10,000 per month.</w:t>
      </w:r>
    </w:p>
    <w:p>
      <w:pPr>
        <w:pStyle w:val="Normal"/>
        <w:bidi w:val="0"/>
        <w:spacing w:before="0" w:after="0"/>
        <w:jc w:val="left"/>
        <w:rPr>
          <w:sz w:val="4"/>
          <w:szCs w:val="4"/>
        </w:rPr>
      </w:pPr>
      <w:r>
        <w:rPr>
          <w:sz w:val="4"/>
          <w:szCs w:val="4"/>
        </w:rPr>
      </w:r>
      <w:bookmarkStart w:id="940" w:name="xdx_898_eus-gaap--LeaseCostTableTextBloc"/>
      <w:bookmarkStart w:id="941" w:name="xdx_898_eus-gaap--LeaseCostTableTextBloc"/>
      <w:bookmarkEnd w:id="941"/>
    </w:p>
    <w:tbl>
      <w:tblPr>
        <w:tblW w:w="10205" w:type="dxa"/>
        <w:jc w:val="left"/>
        <w:tblInd w:w="0" w:type="dxa"/>
        <w:tblLayout w:type="fixed"/>
        <w:tblCellMar>
          <w:top w:w="0" w:type="dxa"/>
          <w:left w:w="0" w:type="dxa"/>
          <w:bottom w:w="0" w:type="dxa"/>
          <w:right w:w="0" w:type="dxa"/>
        </w:tblCellMar>
      </w:tblPr>
      <w:tblGrid>
        <w:gridCol w:w="7404"/>
        <w:gridCol w:w="60"/>
        <w:gridCol w:w="174"/>
        <w:gridCol w:w="995"/>
        <w:gridCol w:w="74"/>
        <w:gridCol w:w="74"/>
        <w:gridCol w:w="174"/>
        <w:gridCol w:w="1156"/>
        <w:gridCol w:w="94"/>
      </w:tblGrid>
      <w:tr>
        <w:trPr/>
        <w:tc>
          <w:tcPr>
            <w:tcW w:w="7404" w:type="dxa"/>
            <w:tcBorders/>
            <w:vAlign w:val="center"/>
          </w:tcPr>
          <w:p>
            <w:pPr>
              <w:pStyle w:val="TableContents"/>
              <w:bidi w:val="0"/>
              <w:spacing w:before="0" w:after="283"/>
              <w:jc w:val="left"/>
              <w:rPr/>
            </w:pPr>
            <w:bookmarkStart w:id="942" w:name="xdx_8BE_z4HsM8RhcEl1"/>
            <w:bookmarkEnd w:id="942"/>
            <w:r>
              <w:rPr/>
              <w:t>Schedule of lease cost and other information</w:t>
            </w:r>
          </w:p>
        </w:tc>
        <w:tc>
          <w:tcPr>
            <w:tcW w:w="60" w:type="dxa"/>
            <w:tcBorders/>
            <w:vAlign w:val="center"/>
          </w:tcPr>
          <w:p>
            <w:pPr>
              <w:pStyle w:val="TableContents"/>
              <w:bidi w:val="0"/>
              <w:spacing w:before="0" w:after="283"/>
              <w:jc w:val="left"/>
              <w:rPr/>
            </w:pPr>
            <w:r>
              <w:rPr/>
              <w:t> </w:t>
            </w:r>
          </w:p>
        </w:tc>
        <w:tc>
          <w:tcPr>
            <w:tcW w:w="1243" w:type="dxa"/>
            <w:gridSpan w:val="3"/>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24" w:type="dxa"/>
            <w:gridSpan w:val="3"/>
            <w:tcBorders/>
            <w:vAlign w:val="center"/>
          </w:tcPr>
          <w:p>
            <w:pPr>
              <w:pStyle w:val="TableContents"/>
              <w:bidi w:val="0"/>
              <w:spacing w:before="0" w:after="283"/>
              <w:jc w:val="right"/>
              <w:rPr/>
            </w:pPr>
            <w:r>
              <w:rPr/>
              <w:t> </w:t>
            </w:r>
          </w:p>
        </w:tc>
      </w:tr>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1" w:type="dxa"/>
            <w:gridSpan w:val="7"/>
            <w:tcBorders>
              <w:bottom w:val="single" w:sz="8" w:space="0" w:color="000000"/>
            </w:tcBorders>
            <w:tcMar>
              <w:bottom w:w="28" w:type="dxa"/>
            </w:tcMar>
            <w:vAlign w:val="center"/>
          </w:tcPr>
          <w:p>
            <w:pPr>
              <w:pStyle w:val="TableContents"/>
              <w:bidi w:val="0"/>
              <w:spacing w:before="0" w:after="283"/>
              <w:jc w:val="center"/>
              <w:rPr/>
            </w:pPr>
            <w:r>
              <w:rPr/>
              <w:t>For the Three Months Ended</w:t>
              <w:br/>
              <w:t>March 31,</w:t>
            </w:r>
          </w:p>
        </w:tc>
      </w:tr>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3"/>
            <w:tcBorders>
              <w:bottom w:val="single" w:sz="8" w:space="0" w:color="000000"/>
            </w:tcBorders>
            <w:tcMar>
              <w:bottom w:w="28" w:type="dxa"/>
            </w:tcMar>
            <w:vAlign w:val="center"/>
          </w:tcPr>
          <w:p>
            <w:pPr>
              <w:pStyle w:val="TableContents"/>
              <w:bidi w:val="0"/>
              <w:spacing w:before="0" w:after="283"/>
              <w:jc w:val="center"/>
              <w:rPr/>
            </w:pPr>
            <w:r>
              <w:rPr/>
              <w:t>2026</w:t>
            </w:r>
          </w:p>
        </w:tc>
        <w:tc>
          <w:tcPr>
            <w:tcW w:w="74" w:type="dxa"/>
            <w:tcBorders/>
            <w:vAlign w:val="center"/>
          </w:tcPr>
          <w:p>
            <w:pPr>
              <w:pStyle w:val="TableContents"/>
              <w:bidi w:val="0"/>
              <w:spacing w:before="0" w:after="283"/>
              <w:jc w:val="left"/>
              <w:rPr/>
            </w:pPr>
            <w:r>
              <w:rPr/>
              <w:t> </w:t>
            </w:r>
          </w:p>
        </w:tc>
        <w:tc>
          <w:tcPr>
            <w:tcW w:w="1424"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r>
      <w:tr>
        <w:trPr/>
        <w:tc>
          <w:tcPr>
            <w:tcW w:w="7404" w:type="dxa"/>
            <w:tcBorders/>
            <w:shd w:fill="EEEEEE" w:val="clear"/>
            <w:vAlign w:val="center"/>
          </w:tcPr>
          <w:p>
            <w:pPr>
              <w:pStyle w:val="TableContents"/>
              <w:bidi w:val="0"/>
              <w:spacing w:before="0" w:after="283"/>
              <w:jc w:val="left"/>
              <w:rPr>
                <w:u w:val="single"/>
              </w:rPr>
            </w:pPr>
            <w:r>
              <w:rPr>
                <w:u w:val="single"/>
              </w:rPr>
              <w:t>Lease cost</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995" w:type="dxa"/>
            <w:tcBorders/>
            <w:shd w:fill="EEEEEE" w:val="clear"/>
            <w:vAlign w:val="center"/>
          </w:tcPr>
          <w:p>
            <w:pPr>
              <w:pStyle w:val="TableContents"/>
              <w:bidi w:val="0"/>
              <w:spacing w:before="0" w:after="283"/>
              <w:jc w:val="right"/>
              <w:rPr/>
            </w:pPr>
            <w:r>
              <w:rPr/>
              <w:t> </w:t>
            </w:r>
          </w:p>
        </w:tc>
        <w:tc>
          <w:tcPr>
            <w:tcW w:w="74" w:type="dxa"/>
            <w:tcBorders/>
            <w:shd w:fill="EEEEEE" w:val="clear"/>
            <w:vAlign w:val="center"/>
          </w:tcPr>
          <w:p>
            <w:pPr>
              <w:pStyle w:val="TableContents"/>
              <w:bidi w:val="0"/>
              <w:spacing w:before="0" w:after="283"/>
              <w:jc w:val="left"/>
              <w:rPr/>
            </w:pPr>
            <w:r>
              <w:rPr/>
              <w:t> </w:t>
            </w:r>
          </w:p>
        </w:tc>
        <w:tc>
          <w:tcPr>
            <w:tcW w:w="74"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1156" w:type="dxa"/>
            <w:tcBorders/>
            <w:shd w:fill="EEEEEE" w:val="clear"/>
            <w:vAlign w:val="center"/>
          </w:tcPr>
          <w:p>
            <w:pPr>
              <w:pStyle w:val="TableContents"/>
              <w:bidi w:val="0"/>
              <w:spacing w:before="0" w:after="283"/>
              <w:jc w:val="right"/>
              <w:rPr/>
            </w:pPr>
            <w:r>
              <w:rPr/>
              <w:t> </w:t>
            </w:r>
          </w:p>
        </w:tc>
        <w:tc>
          <w:tcPr>
            <w:tcW w:w="94" w:type="dxa"/>
            <w:tcBorders/>
            <w:shd w:fill="EEEEEE"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Operating lease cost (included in G&amp;A in the Company's statement of operations)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bookmarkStart w:id="943" w:name="xdx_980_eus-gaap--OperatingLeaseCost_c20"/>
            <w:bookmarkEnd w:id="943"/>
          </w:p>
        </w:tc>
        <w:tc>
          <w:tcPr>
            <w:tcW w:w="995" w:type="dxa"/>
            <w:tcBorders/>
            <w:shd w:fill="FFFFFF" w:val="clear"/>
            <w:vAlign w:val="center"/>
          </w:tcPr>
          <w:p>
            <w:pPr>
              <w:pStyle w:val="TableContents"/>
              <w:bidi w:val="0"/>
              <w:spacing w:before="0" w:after="283"/>
              <w:jc w:val="right"/>
              <w:rPr/>
            </w:pPr>
            <w:r>
              <w:rPr/>
              <w:t>361,746</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bookmarkStart w:id="944" w:name="xdx_98A_eus-gaap--OperatingLeaseCost_c20"/>
            <w:bookmarkEnd w:id="944"/>
          </w:p>
        </w:tc>
        <w:tc>
          <w:tcPr>
            <w:tcW w:w="1156" w:type="dxa"/>
            <w:tcBorders/>
            <w:shd w:fill="FFFFFF" w:val="clear"/>
            <w:vAlign w:val="center"/>
          </w:tcPr>
          <w:p>
            <w:pPr>
              <w:pStyle w:val="TableContents"/>
              <w:bidi w:val="0"/>
              <w:spacing w:before="0" w:after="283"/>
              <w:jc w:val="right"/>
              <w:rPr/>
            </w:pPr>
            <w:r>
              <w:rPr/>
              <w:t>534,836</w:t>
            </w:r>
          </w:p>
        </w:tc>
        <w:tc>
          <w:tcPr>
            <w:tcW w:w="94" w:type="dxa"/>
            <w:tcBorders/>
            <w:shd w:fill="FFFFFF" w:val="clear"/>
            <w:vAlign w:val="center"/>
          </w:tcPr>
          <w:p>
            <w:pPr>
              <w:pStyle w:val="TableContents"/>
              <w:bidi w:val="0"/>
              <w:spacing w:before="0" w:after="283"/>
              <w:jc w:val="left"/>
              <w:rPr/>
            </w:pPr>
            <w:r>
              <w:rPr/>
              <w:t> </w:t>
            </w:r>
          </w:p>
        </w:tc>
      </w:tr>
      <w:tr>
        <w:trPr/>
        <w:tc>
          <w:tcPr>
            <w:tcW w:w="7404" w:type="dxa"/>
            <w:tcBorders/>
            <w:shd w:fill="EEEEEE" w:val="clear"/>
            <w:vAlign w:val="center"/>
          </w:tcPr>
          <w:p>
            <w:pPr>
              <w:pStyle w:val="TableContents"/>
              <w:bidi w:val="0"/>
              <w:spacing w:before="0" w:after="283"/>
              <w:jc w:val="left"/>
              <w:rPr/>
            </w:pPr>
            <w:r>
              <w:rPr/>
              <w:t>Short-term lease expenses</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bookmarkStart w:id="945" w:name="xdx_98C_eus-gaap--ShortTermLeaseCost_d0_"/>
            <w:bookmarkEnd w:id="945"/>
          </w:p>
        </w:tc>
        <w:tc>
          <w:tcPr>
            <w:tcW w:w="995" w:type="dxa"/>
            <w:tcBorders/>
            <w:shd w:fill="EEEEEE" w:val="clear"/>
            <w:vAlign w:val="center"/>
          </w:tcPr>
          <w:p>
            <w:pPr>
              <w:pStyle w:val="TableContents"/>
              <w:bidi w:val="0"/>
              <w:spacing w:before="0" w:after="283"/>
              <w:jc w:val="right"/>
              <w:rPr/>
            </w:pPr>
            <w:r>
              <w:rPr/>
              <w:t>–</w:t>
            </w:r>
          </w:p>
        </w:tc>
        <w:tc>
          <w:tcPr>
            <w:tcW w:w="74" w:type="dxa"/>
            <w:tcBorders/>
            <w:shd w:fill="EEEEEE" w:val="clear"/>
            <w:vAlign w:val="center"/>
          </w:tcPr>
          <w:p>
            <w:pPr>
              <w:pStyle w:val="TableContents"/>
              <w:bidi w:val="0"/>
              <w:spacing w:before="0" w:after="283"/>
              <w:jc w:val="left"/>
              <w:rPr/>
            </w:pPr>
            <w:r>
              <w:rPr/>
              <w:t> </w:t>
            </w:r>
          </w:p>
        </w:tc>
        <w:tc>
          <w:tcPr>
            <w:tcW w:w="74"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bookmarkStart w:id="946" w:name="xdx_980_eus-gaap--ShortTermLeaseCost_d0_"/>
            <w:bookmarkEnd w:id="946"/>
          </w:p>
        </w:tc>
        <w:tc>
          <w:tcPr>
            <w:tcW w:w="1156" w:type="dxa"/>
            <w:tcBorders/>
            <w:shd w:fill="EEEEEE" w:val="clear"/>
            <w:vAlign w:val="center"/>
          </w:tcPr>
          <w:p>
            <w:pPr>
              <w:pStyle w:val="TableContents"/>
              <w:bidi w:val="0"/>
              <w:spacing w:before="0" w:after="283"/>
              <w:jc w:val="right"/>
              <w:rPr/>
            </w:pPr>
            <w:r>
              <w:rPr/>
              <w:t>28,880</w:t>
            </w:r>
          </w:p>
        </w:tc>
        <w:tc>
          <w:tcPr>
            <w:tcW w:w="94" w:type="dxa"/>
            <w:tcBorders/>
            <w:shd w:fill="EEEEEE"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r>
      <w:tr>
        <w:trPr/>
        <w:tc>
          <w:tcPr>
            <w:tcW w:w="7404" w:type="dxa"/>
            <w:tcBorders/>
            <w:shd w:fill="EEEEEE" w:val="clear"/>
            <w:vAlign w:val="center"/>
          </w:tcPr>
          <w:p>
            <w:pPr>
              <w:pStyle w:val="TableContents"/>
              <w:bidi w:val="0"/>
              <w:spacing w:before="0" w:after="283"/>
              <w:jc w:val="left"/>
              <w:rPr>
                <w:u w:val="single"/>
              </w:rPr>
            </w:pPr>
            <w:r>
              <w:rPr>
                <w:u w:val="single"/>
              </w:rPr>
              <w:t>Other information</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995" w:type="dxa"/>
            <w:tcBorders/>
            <w:shd w:fill="EEEEEE" w:val="clear"/>
            <w:vAlign w:val="center"/>
          </w:tcPr>
          <w:p>
            <w:pPr>
              <w:pStyle w:val="TableContents"/>
              <w:bidi w:val="0"/>
              <w:spacing w:before="0" w:after="283"/>
              <w:jc w:val="right"/>
              <w:rPr/>
            </w:pPr>
            <w:r>
              <w:rPr/>
              <w:t> </w:t>
            </w:r>
          </w:p>
        </w:tc>
        <w:tc>
          <w:tcPr>
            <w:tcW w:w="74" w:type="dxa"/>
            <w:tcBorders/>
            <w:shd w:fill="EEEEEE" w:val="clear"/>
            <w:vAlign w:val="center"/>
          </w:tcPr>
          <w:p>
            <w:pPr>
              <w:pStyle w:val="TableContents"/>
              <w:bidi w:val="0"/>
              <w:spacing w:before="0" w:after="283"/>
              <w:jc w:val="left"/>
              <w:rPr/>
            </w:pPr>
            <w:r>
              <w:rPr/>
              <w:t> </w:t>
            </w:r>
          </w:p>
        </w:tc>
        <w:tc>
          <w:tcPr>
            <w:tcW w:w="74"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1156" w:type="dxa"/>
            <w:tcBorders/>
            <w:shd w:fill="EEEEEE" w:val="clear"/>
            <w:vAlign w:val="center"/>
          </w:tcPr>
          <w:p>
            <w:pPr>
              <w:pStyle w:val="TableContents"/>
              <w:bidi w:val="0"/>
              <w:spacing w:before="0" w:after="283"/>
              <w:jc w:val="right"/>
              <w:rPr/>
            </w:pPr>
            <w:r>
              <w:rPr/>
              <w:t> </w:t>
            </w:r>
          </w:p>
        </w:tc>
        <w:tc>
          <w:tcPr>
            <w:tcW w:w="94" w:type="dxa"/>
            <w:tcBorders/>
            <w:shd w:fill="EEEEEE"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Cash paid for amounts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bookmarkStart w:id="947" w:name="xdx_98F_eus-gaap--OperatingLeasePayments"/>
            <w:bookmarkEnd w:id="947"/>
          </w:p>
        </w:tc>
        <w:tc>
          <w:tcPr>
            <w:tcW w:w="995" w:type="dxa"/>
            <w:tcBorders/>
            <w:shd w:fill="FFFFFF" w:val="clear"/>
            <w:vAlign w:val="center"/>
          </w:tcPr>
          <w:p>
            <w:pPr>
              <w:pStyle w:val="TableContents"/>
              <w:bidi w:val="0"/>
              <w:spacing w:before="0" w:after="283"/>
              <w:jc w:val="right"/>
              <w:rPr/>
            </w:pPr>
            <w:r>
              <w:rPr/>
              <w:t>386,460</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bookmarkStart w:id="948" w:name="xdx_982_eus-gaap--OperatingLeasePayments"/>
            <w:bookmarkEnd w:id="948"/>
          </w:p>
        </w:tc>
        <w:tc>
          <w:tcPr>
            <w:tcW w:w="1156" w:type="dxa"/>
            <w:tcBorders/>
            <w:shd w:fill="FFFFFF" w:val="clear"/>
            <w:vAlign w:val="center"/>
          </w:tcPr>
          <w:p>
            <w:pPr>
              <w:pStyle w:val="TableContents"/>
              <w:bidi w:val="0"/>
              <w:spacing w:before="0" w:after="283"/>
              <w:jc w:val="right"/>
              <w:rPr/>
            </w:pPr>
            <w:r>
              <w:rPr/>
              <w:t>552,768</w:t>
            </w:r>
          </w:p>
        </w:tc>
        <w:tc>
          <w:tcPr>
            <w:tcW w:w="94" w:type="dxa"/>
            <w:tcBorders/>
            <w:shd w:fill="FFFFFF" w:val="clear"/>
            <w:vAlign w:val="center"/>
          </w:tcPr>
          <w:p>
            <w:pPr>
              <w:pStyle w:val="TableContents"/>
              <w:bidi w:val="0"/>
              <w:spacing w:before="0" w:after="283"/>
              <w:jc w:val="left"/>
              <w:rPr/>
            </w:pPr>
            <w:r>
              <w:rPr/>
              <w:t> </w:t>
            </w:r>
          </w:p>
        </w:tc>
      </w:tr>
      <w:tr>
        <w:trPr/>
        <w:tc>
          <w:tcPr>
            <w:tcW w:w="7404" w:type="dxa"/>
            <w:tcBorders/>
            <w:shd w:fill="EEEEEE" w:val="clear"/>
            <w:vAlign w:val="center"/>
          </w:tcPr>
          <w:p>
            <w:pPr>
              <w:pStyle w:val="TableContents"/>
              <w:bidi w:val="0"/>
              <w:spacing w:before="0" w:after="283"/>
              <w:jc w:val="left"/>
              <w:rPr/>
            </w:pPr>
            <w:r>
              <w:rPr/>
              <w:t>Remaining term in years</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995" w:type="dxa"/>
            <w:tcBorders/>
            <w:shd w:fill="EEEEEE" w:val="clear"/>
            <w:vAlign w:val="center"/>
          </w:tcPr>
          <w:p>
            <w:pPr>
              <w:pStyle w:val="TableContents"/>
              <w:bidi w:val="0"/>
              <w:spacing w:before="0" w:after="283"/>
              <w:jc w:val="right"/>
              <w:rPr/>
            </w:pPr>
            <w:bookmarkStart w:id="949" w:name="xdx_90D_eus-gaap--LesseeOperatingLeaseRe"/>
            <w:bookmarkEnd w:id="949"/>
            <w:r>
              <w:rPr/>
              <w:t>2.17</w:t>
            </w:r>
          </w:p>
        </w:tc>
        <w:tc>
          <w:tcPr>
            <w:tcW w:w="74" w:type="dxa"/>
            <w:tcBorders/>
            <w:shd w:fill="EEEEEE" w:val="clear"/>
            <w:vAlign w:val="center"/>
          </w:tcPr>
          <w:p>
            <w:pPr>
              <w:pStyle w:val="TableContents"/>
              <w:bidi w:val="0"/>
              <w:spacing w:before="0" w:after="283"/>
              <w:jc w:val="left"/>
              <w:rPr/>
            </w:pPr>
            <w:r>
              <w:rPr/>
              <w:t> </w:t>
            </w:r>
          </w:p>
        </w:tc>
        <w:tc>
          <w:tcPr>
            <w:tcW w:w="74"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1156" w:type="dxa"/>
            <w:tcBorders/>
            <w:shd w:fill="EEEEEE" w:val="clear"/>
            <w:vAlign w:val="center"/>
          </w:tcPr>
          <w:p>
            <w:pPr>
              <w:pStyle w:val="TableContents"/>
              <w:bidi w:val="0"/>
              <w:spacing w:before="0" w:after="283"/>
              <w:jc w:val="right"/>
              <w:rPr>
                <w:rFonts w:ascii="Times New Roman;Times;Serif" w:hAnsi="Times New Roman;Times;Serif"/>
                <w:sz w:val="20"/>
              </w:rPr>
            </w:pPr>
            <w:bookmarkStart w:id="950" w:name="xdx_90B_eus-gaap--LesseeOperatingLeaseRe"/>
            <w:bookmarkEnd w:id="950"/>
            <w:r>
              <w:rPr>
                <w:rFonts w:ascii="Times New Roman;Times;Serif" w:hAnsi="Times New Roman;Times;Serif"/>
                <w:sz w:val="20"/>
              </w:rPr>
              <w:t xml:space="preserve">0.08 – </w:t>
            </w:r>
            <w:bookmarkStart w:id="951" w:name="xdx_90A_eus-gaap--LesseeOperatingLeaseRe"/>
            <w:bookmarkEnd w:id="951"/>
            <w:r>
              <w:rPr>
                <w:rFonts w:ascii="Times New Roman;Times;Serif" w:hAnsi="Times New Roman;Times;Serif"/>
                <w:sz w:val="20"/>
              </w:rPr>
              <w:t>3.17</w:t>
            </w:r>
          </w:p>
        </w:tc>
        <w:tc>
          <w:tcPr>
            <w:tcW w:w="94" w:type="dxa"/>
            <w:tcBorders/>
            <w:shd w:fill="EEEEEE"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bookmarkStart w:id="952" w:name="xdx_907_eus-gaap--LesseeOperatingLeaseDi"/>
            <w:bookmarkEnd w:id="952"/>
            <w:r>
              <w:rPr/>
              <w:t>5%</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Times;Serif" w:hAnsi="Times New Roman;Times;Serif"/>
                <w:sz w:val="20"/>
              </w:rPr>
            </w:pPr>
            <w:bookmarkStart w:id="953" w:name="xdx_90A_eus-gaap--LesseeOperatingLeaseDi"/>
            <w:bookmarkEnd w:id="953"/>
            <w:r>
              <w:rPr>
                <w:rFonts w:ascii="Times New Roman;Times;Serif" w:hAnsi="Times New Roman;Times;Serif"/>
                <w:sz w:val="20"/>
              </w:rPr>
              <w:t xml:space="preserve">5 - </w:t>
            </w:r>
            <w:bookmarkStart w:id="954" w:name="xdx_906_eus-gaap--LesseeOperatingLeaseDi"/>
            <w:bookmarkEnd w:id="954"/>
            <w:r>
              <w:rPr>
                <w:rFonts w:ascii="Times New Roman;Times;Serif" w:hAnsi="Times New Roman;Times;Serif"/>
                <w:sz w:val="20"/>
              </w:rPr>
              <w:t>6%</w:t>
            </w:r>
          </w:p>
        </w:tc>
        <w:tc>
          <w:tcPr>
            <w:tcW w:w="9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69"/>
        <w:gridCol w:w="60"/>
        <w:gridCol w:w="153"/>
        <w:gridCol w:w="1077"/>
        <w:gridCol w:w="65"/>
        <w:gridCol w:w="65"/>
        <w:gridCol w:w="153"/>
        <w:gridCol w:w="1077"/>
        <w:gridCol w:w="86"/>
      </w:tblGrid>
      <w:tr>
        <w:trPr/>
        <w:tc>
          <w:tcPr>
            <w:tcW w:w="74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6" w:type="dxa"/>
            <w:gridSpan w:val="7"/>
            <w:tcBorders>
              <w:bottom w:val="single" w:sz="8" w:space="0" w:color="000000"/>
            </w:tcBorders>
            <w:tcMar>
              <w:bottom w:w="28" w:type="dxa"/>
            </w:tcMar>
            <w:vAlign w:val="center"/>
          </w:tcPr>
          <w:p>
            <w:pPr>
              <w:pStyle w:val="TableContents"/>
              <w:bidi w:val="0"/>
              <w:spacing w:before="0" w:after="283"/>
              <w:jc w:val="center"/>
              <w:rPr/>
            </w:pPr>
            <w:r>
              <w:rPr/>
              <w:t>For the Nine Months Ended</w:t>
              <w:br/>
              <w:t>March 31,</w:t>
            </w:r>
          </w:p>
        </w:tc>
      </w:tr>
      <w:tr>
        <w:trPr/>
        <w:tc>
          <w:tcPr>
            <w:tcW w:w="74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3"/>
            <w:tcBorders>
              <w:bottom w:val="single" w:sz="8" w:space="0" w:color="000000"/>
            </w:tcBorders>
            <w:tcMar>
              <w:bottom w:w="28" w:type="dxa"/>
            </w:tcMar>
            <w:vAlign w:val="center"/>
          </w:tcPr>
          <w:p>
            <w:pPr>
              <w:pStyle w:val="TableContents"/>
              <w:bidi w:val="0"/>
              <w:spacing w:before="0" w:after="283"/>
              <w:jc w:val="center"/>
              <w:rPr/>
            </w:pPr>
            <w:r>
              <w:rPr/>
              <w:t>2026</w:t>
            </w:r>
          </w:p>
        </w:tc>
        <w:tc>
          <w:tcPr>
            <w:tcW w:w="65" w:type="dxa"/>
            <w:tcBorders/>
            <w:vAlign w:val="center"/>
          </w:tcPr>
          <w:p>
            <w:pPr>
              <w:pStyle w:val="TableContents"/>
              <w:bidi w:val="0"/>
              <w:spacing w:before="0" w:after="283"/>
              <w:jc w:val="left"/>
              <w:rPr/>
            </w:pPr>
            <w:r>
              <w:rPr/>
              <w:t> </w:t>
            </w:r>
          </w:p>
        </w:tc>
        <w:tc>
          <w:tcPr>
            <w:tcW w:w="1316"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r>
      <w:tr>
        <w:trPr/>
        <w:tc>
          <w:tcPr>
            <w:tcW w:w="7469" w:type="dxa"/>
            <w:tcBorders/>
            <w:shd w:fill="EEEEEE" w:val="clear"/>
            <w:vAlign w:val="center"/>
          </w:tcPr>
          <w:p>
            <w:pPr>
              <w:pStyle w:val="TableContents"/>
              <w:bidi w:val="0"/>
              <w:spacing w:before="0" w:after="283"/>
              <w:jc w:val="left"/>
              <w:rPr>
                <w:u w:val="single"/>
              </w:rPr>
            </w:pPr>
            <w:r>
              <w:rPr>
                <w:u w:val="single"/>
              </w:rPr>
              <w:t>Lease cost</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r>
              <w:rPr/>
              <w:t> </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r>
              <w:rPr/>
              <w:t> </w:t>
            </w:r>
          </w:p>
        </w:tc>
        <w:tc>
          <w:tcPr>
            <w:tcW w:w="86" w:type="dxa"/>
            <w:tcBorders/>
            <w:shd w:fill="EEEEEE" w:val="clear"/>
            <w:vAlign w:val="center"/>
          </w:tcPr>
          <w:p>
            <w:pPr>
              <w:pStyle w:val="TableContents"/>
              <w:bidi w:val="0"/>
              <w:spacing w:before="0" w:after="283"/>
              <w:jc w:val="left"/>
              <w:rPr/>
            </w:pPr>
            <w:r>
              <w:rPr/>
              <w:t> </w:t>
            </w:r>
          </w:p>
        </w:tc>
      </w:tr>
      <w:tr>
        <w:trPr/>
        <w:tc>
          <w:tcPr>
            <w:tcW w:w="7469" w:type="dxa"/>
            <w:tcBorders/>
            <w:shd w:fill="FFFFFF" w:val="clear"/>
            <w:vAlign w:val="center"/>
          </w:tcPr>
          <w:p>
            <w:pPr>
              <w:pStyle w:val="TableContents"/>
              <w:bidi w:val="0"/>
              <w:spacing w:before="0" w:after="283"/>
              <w:jc w:val="left"/>
              <w:rPr/>
            </w:pPr>
            <w:r>
              <w:rPr/>
              <w:t>Operating lease cost (included in G&amp;A in the Company's statement of operations)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bookmarkStart w:id="955" w:name="xdx_98B_eus-gaap--OperatingLeaseCost_c20"/>
            <w:bookmarkEnd w:id="955"/>
          </w:p>
        </w:tc>
        <w:tc>
          <w:tcPr>
            <w:tcW w:w="1077" w:type="dxa"/>
            <w:tcBorders/>
            <w:shd w:fill="FFFFFF" w:val="clear"/>
            <w:vAlign w:val="center"/>
          </w:tcPr>
          <w:p>
            <w:pPr>
              <w:pStyle w:val="TableContents"/>
              <w:bidi w:val="0"/>
              <w:spacing w:before="0" w:after="283"/>
              <w:jc w:val="right"/>
              <w:rPr/>
            </w:pPr>
            <w:r>
              <w:rPr/>
              <w:t>1,085,237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bookmarkStart w:id="956" w:name="xdx_985_eus-gaap--OperatingLeaseCost_c20"/>
            <w:bookmarkEnd w:id="956"/>
          </w:p>
        </w:tc>
        <w:tc>
          <w:tcPr>
            <w:tcW w:w="1077" w:type="dxa"/>
            <w:tcBorders/>
            <w:shd w:fill="FFFFFF" w:val="clear"/>
            <w:vAlign w:val="center"/>
          </w:tcPr>
          <w:p>
            <w:pPr>
              <w:pStyle w:val="TableContents"/>
              <w:bidi w:val="0"/>
              <w:spacing w:before="0" w:after="283"/>
              <w:jc w:val="right"/>
              <w:rPr/>
            </w:pPr>
            <w:r>
              <w:rPr/>
              <w:t>1,798,416</w:t>
            </w:r>
          </w:p>
        </w:tc>
        <w:tc>
          <w:tcPr>
            <w:tcW w:w="86" w:type="dxa"/>
            <w:tcBorders/>
            <w:shd w:fill="FFFFFF" w:val="clear"/>
            <w:vAlign w:val="center"/>
          </w:tcPr>
          <w:p>
            <w:pPr>
              <w:pStyle w:val="TableContents"/>
              <w:bidi w:val="0"/>
              <w:spacing w:before="0" w:after="283"/>
              <w:jc w:val="left"/>
              <w:rPr/>
            </w:pPr>
            <w:r>
              <w:rPr/>
              <w:t> </w:t>
            </w:r>
          </w:p>
        </w:tc>
      </w:tr>
      <w:tr>
        <w:trPr/>
        <w:tc>
          <w:tcPr>
            <w:tcW w:w="7469" w:type="dxa"/>
            <w:tcBorders/>
            <w:shd w:fill="EEEEEE" w:val="clear"/>
            <w:vAlign w:val="center"/>
          </w:tcPr>
          <w:p>
            <w:pPr>
              <w:pStyle w:val="TableContents"/>
              <w:bidi w:val="0"/>
              <w:spacing w:before="0" w:after="283"/>
              <w:jc w:val="left"/>
              <w:rPr/>
            </w:pPr>
            <w:r>
              <w:rPr/>
              <w:t>Short-term lease expenses</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bookmarkStart w:id="957" w:name="xdx_98B_eus-gaap--ShortTermLeaseCost_d0_"/>
            <w:bookmarkEnd w:id="957"/>
          </w:p>
        </w:tc>
        <w:tc>
          <w:tcPr>
            <w:tcW w:w="1077" w:type="dxa"/>
            <w:tcBorders/>
            <w:shd w:fill="EEEEEE" w:val="clear"/>
            <w:vAlign w:val="center"/>
          </w:tcPr>
          <w:p>
            <w:pPr>
              <w:pStyle w:val="TableContents"/>
              <w:bidi w:val="0"/>
              <w:spacing w:before="0" w:after="283"/>
              <w:jc w:val="right"/>
              <w:rPr/>
            </w:pPr>
            <w:r>
              <w:rPr/>
              <w:t>9,781</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bookmarkStart w:id="958" w:name="xdx_984_eus-gaap--ShortTermLeaseCost_c20"/>
            <w:bookmarkEnd w:id="958"/>
          </w:p>
        </w:tc>
        <w:tc>
          <w:tcPr>
            <w:tcW w:w="1077" w:type="dxa"/>
            <w:tcBorders/>
            <w:shd w:fill="EEEEEE" w:val="clear"/>
            <w:vAlign w:val="center"/>
          </w:tcPr>
          <w:p>
            <w:pPr>
              <w:pStyle w:val="TableContents"/>
              <w:bidi w:val="0"/>
              <w:spacing w:before="0" w:after="283"/>
              <w:jc w:val="right"/>
              <w:rPr/>
            </w:pPr>
            <w:r>
              <w:rPr/>
              <w:t>252,948</w:t>
            </w:r>
          </w:p>
        </w:tc>
        <w:tc>
          <w:tcPr>
            <w:tcW w:w="86" w:type="dxa"/>
            <w:tcBorders/>
            <w:shd w:fill="EEEEEE" w:val="clear"/>
            <w:vAlign w:val="center"/>
          </w:tcPr>
          <w:p>
            <w:pPr>
              <w:pStyle w:val="TableContents"/>
              <w:bidi w:val="0"/>
              <w:spacing w:before="0" w:after="283"/>
              <w:jc w:val="left"/>
              <w:rPr/>
            </w:pPr>
            <w:r>
              <w:rPr/>
              <w:t> </w:t>
            </w:r>
          </w:p>
        </w:tc>
      </w:tr>
      <w:tr>
        <w:trPr/>
        <w:tc>
          <w:tcPr>
            <w:tcW w:w="74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7469" w:type="dxa"/>
            <w:tcBorders/>
            <w:shd w:fill="EEEEEE" w:val="clear"/>
            <w:vAlign w:val="center"/>
          </w:tcPr>
          <w:p>
            <w:pPr>
              <w:pStyle w:val="TableContents"/>
              <w:bidi w:val="0"/>
              <w:spacing w:before="0" w:after="283"/>
              <w:jc w:val="left"/>
              <w:rPr>
                <w:u w:val="single"/>
              </w:rPr>
            </w:pPr>
            <w:r>
              <w:rPr>
                <w:u w:val="single"/>
              </w:rPr>
              <w:t>Other information</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r>
              <w:rPr/>
              <w:t> </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r>
              <w:rPr/>
              <w:t> </w:t>
            </w:r>
          </w:p>
        </w:tc>
        <w:tc>
          <w:tcPr>
            <w:tcW w:w="86" w:type="dxa"/>
            <w:tcBorders/>
            <w:shd w:fill="EEEEEE" w:val="clear"/>
            <w:vAlign w:val="center"/>
          </w:tcPr>
          <w:p>
            <w:pPr>
              <w:pStyle w:val="TableContents"/>
              <w:bidi w:val="0"/>
              <w:spacing w:before="0" w:after="283"/>
              <w:jc w:val="left"/>
              <w:rPr/>
            </w:pPr>
            <w:r>
              <w:rPr/>
              <w:t> </w:t>
            </w:r>
          </w:p>
        </w:tc>
      </w:tr>
      <w:tr>
        <w:trPr/>
        <w:tc>
          <w:tcPr>
            <w:tcW w:w="7469" w:type="dxa"/>
            <w:tcBorders/>
            <w:shd w:fill="FFFFFF" w:val="clear"/>
            <w:vAlign w:val="center"/>
          </w:tcPr>
          <w:p>
            <w:pPr>
              <w:pStyle w:val="TableContents"/>
              <w:bidi w:val="0"/>
              <w:spacing w:before="0" w:after="283"/>
              <w:jc w:val="left"/>
              <w:rPr/>
            </w:pPr>
            <w:r>
              <w:rPr/>
              <w:t>Cash paid for amounts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bookmarkStart w:id="959" w:name="xdx_989_eus-gaap--OperatingLeasePayments"/>
            <w:bookmarkEnd w:id="959"/>
          </w:p>
        </w:tc>
        <w:tc>
          <w:tcPr>
            <w:tcW w:w="1077" w:type="dxa"/>
            <w:tcBorders/>
            <w:shd w:fill="FFFFFF" w:val="clear"/>
            <w:vAlign w:val="center"/>
          </w:tcPr>
          <w:p>
            <w:pPr>
              <w:pStyle w:val="TableContents"/>
              <w:bidi w:val="0"/>
              <w:spacing w:before="0" w:after="283"/>
              <w:jc w:val="right"/>
              <w:rPr/>
            </w:pPr>
            <w:r>
              <w:rPr/>
              <w:t>1,143,483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bookmarkStart w:id="960" w:name="xdx_98D_eus-gaap--OperatingLeasePayments"/>
            <w:bookmarkEnd w:id="960"/>
          </w:p>
        </w:tc>
        <w:tc>
          <w:tcPr>
            <w:tcW w:w="1077" w:type="dxa"/>
            <w:tcBorders/>
            <w:shd w:fill="FFFFFF" w:val="clear"/>
            <w:vAlign w:val="center"/>
          </w:tcPr>
          <w:p>
            <w:pPr>
              <w:pStyle w:val="TableContents"/>
              <w:bidi w:val="0"/>
              <w:spacing w:before="0" w:after="283"/>
              <w:jc w:val="right"/>
              <w:rPr/>
            </w:pPr>
            <w:r>
              <w:rPr/>
              <w:t>1,837,011</w:t>
            </w:r>
          </w:p>
        </w:tc>
        <w:tc>
          <w:tcPr>
            <w:tcW w:w="86" w:type="dxa"/>
            <w:tcBorders/>
            <w:shd w:fill="FFFFFF" w:val="clear"/>
            <w:vAlign w:val="center"/>
          </w:tcPr>
          <w:p>
            <w:pPr>
              <w:pStyle w:val="TableContents"/>
              <w:bidi w:val="0"/>
              <w:spacing w:before="0" w:after="283"/>
              <w:jc w:val="left"/>
              <w:rPr/>
            </w:pPr>
            <w:r>
              <w:rPr/>
              <w:t> </w:t>
            </w:r>
          </w:p>
        </w:tc>
      </w:tr>
      <w:tr>
        <w:trPr/>
        <w:tc>
          <w:tcPr>
            <w:tcW w:w="7469" w:type="dxa"/>
            <w:tcBorders/>
            <w:shd w:fill="EEEEEE" w:val="clear"/>
            <w:vAlign w:val="center"/>
          </w:tcPr>
          <w:p>
            <w:pPr>
              <w:pStyle w:val="TableContents"/>
              <w:bidi w:val="0"/>
              <w:spacing w:before="0" w:after="283"/>
              <w:jc w:val="left"/>
              <w:rPr/>
            </w:pPr>
            <w:r>
              <w:rPr/>
              <w:t>Remaining term in years</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bookmarkStart w:id="961" w:name="xdx_909_eus-gaap--LesseeOperatingLeaseRe"/>
            <w:bookmarkEnd w:id="961"/>
            <w:r>
              <w:rPr/>
              <w:t>2.17</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rFonts w:ascii="Times New Roman;Times;Serif" w:hAnsi="Times New Roman;Times;Serif"/>
                <w:sz w:val="20"/>
              </w:rPr>
            </w:pPr>
            <w:bookmarkStart w:id="962" w:name="xdx_904_eus-gaap--LesseeOperatingLeaseRe"/>
            <w:bookmarkEnd w:id="962"/>
            <w:r>
              <w:rPr>
                <w:rFonts w:ascii="Times New Roman;Times;Serif" w:hAnsi="Times New Roman;Times;Serif"/>
                <w:sz w:val="20"/>
              </w:rPr>
              <w:t xml:space="preserve">0.08 – </w:t>
            </w:r>
            <w:bookmarkStart w:id="963" w:name="xdx_906_eus-gaap--LesseeOperatingLeaseRe"/>
            <w:bookmarkEnd w:id="963"/>
            <w:r>
              <w:rPr>
                <w:rFonts w:ascii="Times New Roman;Times;Serif" w:hAnsi="Times New Roman;Times;Serif"/>
                <w:sz w:val="20"/>
              </w:rPr>
              <w:t>3.17</w:t>
            </w:r>
          </w:p>
        </w:tc>
        <w:tc>
          <w:tcPr>
            <w:tcW w:w="86" w:type="dxa"/>
            <w:tcBorders/>
            <w:shd w:fill="EEEEEE" w:val="clear"/>
            <w:vAlign w:val="center"/>
          </w:tcPr>
          <w:p>
            <w:pPr>
              <w:pStyle w:val="TableContents"/>
              <w:bidi w:val="0"/>
              <w:spacing w:before="0" w:after="283"/>
              <w:jc w:val="left"/>
              <w:rPr/>
            </w:pPr>
            <w:r>
              <w:rPr/>
              <w:t> </w:t>
            </w:r>
          </w:p>
        </w:tc>
      </w:tr>
      <w:tr>
        <w:trPr/>
        <w:tc>
          <w:tcPr>
            <w:tcW w:w="7469" w:type="dxa"/>
            <w:tcBorders/>
            <w:shd w:fill="FFFFFF" w:val="clear"/>
            <w:vAlign w:val="center"/>
          </w:tcPr>
          <w:p>
            <w:pPr>
              <w:pStyle w:val="TableContents"/>
              <w:bidi w:val="0"/>
              <w:spacing w:before="0" w:after="283"/>
              <w:jc w:val="left"/>
              <w:rPr/>
            </w:pPr>
            <w:r>
              <w:rPr/>
              <w:t>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bookmarkStart w:id="964" w:name="xdx_90F_eus-gaap--LesseeOperatingLeaseDi"/>
            <w:bookmarkEnd w:id="964"/>
            <w:r>
              <w:rPr/>
              <w:t>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sz w:val="20"/>
              </w:rPr>
            </w:pPr>
            <w:bookmarkStart w:id="965" w:name="xdx_902_eus-gaap--LesseeOperatingLeaseDi"/>
            <w:bookmarkEnd w:id="965"/>
            <w:r>
              <w:rPr>
                <w:rFonts w:ascii="Times New Roman;Times;Serif" w:hAnsi="Times New Roman;Times;Serif"/>
                <w:sz w:val="20"/>
              </w:rPr>
              <w:t xml:space="preserve">5 - </w:t>
            </w:r>
            <w:bookmarkStart w:id="966" w:name="xdx_906_eus-gaap--LesseeOperatingLeaseDi"/>
            <w:bookmarkEnd w:id="966"/>
            <w:r>
              <w:rPr>
                <w:rFonts w:ascii="Times New Roman;Times;Serif" w:hAnsi="Times New Roman;Times;Serif"/>
                <w:sz w:val="20"/>
              </w:rPr>
              <w:t>6%</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67" w:name="xdx_8A5_zBVuY7wkPlU"/>
      <w:bookmarkEnd w:id="967"/>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balance sheet information related to leases for the period is as follows:</w:t>
      </w:r>
    </w:p>
    <w:p>
      <w:pPr>
        <w:pStyle w:val="Normal"/>
        <w:bidi w:val="0"/>
        <w:spacing w:before="0" w:after="0"/>
        <w:jc w:val="left"/>
        <w:rPr>
          <w:sz w:val="4"/>
          <w:szCs w:val="4"/>
        </w:rPr>
      </w:pPr>
      <w:r>
        <w:rPr>
          <w:sz w:val="4"/>
          <w:szCs w:val="4"/>
        </w:rPr>
      </w:r>
      <w:bookmarkStart w:id="968" w:name="xdx_894_eus-gaap--ScheduleOfCashFlowSupp"/>
      <w:bookmarkStart w:id="969" w:name="xdx_894_eus-gaap--ScheduleOfCashFlowSupp"/>
      <w:bookmarkEnd w:id="969"/>
    </w:p>
    <w:tbl>
      <w:tblPr>
        <w:tblW w:w="8980" w:type="dxa"/>
        <w:jc w:val="left"/>
        <w:tblInd w:w="0" w:type="dxa"/>
        <w:tblLayout w:type="fixed"/>
        <w:tblCellMar>
          <w:top w:w="0" w:type="dxa"/>
          <w:left w:w="0" w:type="dxa"/>
          <w:bottom w:w="0" w:type="dxa"/>
          <w:right w:w="0" w:type="dxa"/>
        </w:tblCellMar>
      </w:tblPr>
      <w:tblGrid>
        <w:gridCol w:w="6485"/>
        <w:gridCol w:w="60"/>
        <w:gridCol w:w="140"/>
        <w:gridCol w:w="980"/>
        <w:gridCol w:w="60"/>
        <w:gridCol w:w="60"/>
        <w:gridCol w:w="140"/>
        <w:gridCol w:w="980"/>
        <w:gridCol w:w="75"/>
      </w:tblGrid>
      <w:tr>
        <w:trPr/>
        <w:tc>
          <w:tcPr>
            <w:tcW w:w="6485" w:type="dxa"/>
            <w:tcBorders/>
            <w:vAlign w:val="center"/>
          </w:tcPr>
          <w:p>
            <w:pPr>
              <w:pStyle w:val="TableContents"/>
              <w:bidi w:val="0"/>
              <w:spacing w:before="0" w:after="283"/>
              <w:jc w:val="left"/>
              <w:rPr/>
            </w:pPr>
            <w:bookmarkStart w:id="970" w:name="xdx_8B3_zoldXPzVoLp7"/>
            <w:bookmarkEnd w:id="970"/>
            <w:r>
              <w:rPr/>
              <w:t>Schedule of supplemental balance sheet information related to leases</w:t>
            </w:r>
          </w:p>
        </w:tc>
        <w:tc>
          <w:tcPr>
            <w:tcW w:w="60" w:type="dxa"/>
            <w:tcBorders/>
            <w:vAlign w:val="center"/>
          </w:tcPr>
          <w:p>
            <w:pPr>
              <w:pStyle w:val="TableContents"/>
              <w:bidi w:val="0"/>
              <w:spacing w:before="0" w:after="283"/>
              <w:jc w:val="left"/>
              <w:rPr/>
            </w:pPr>
            <w:r>
              <w:rPr/>
              <w:t> </w:t>
            </w:r>
            <w:bookmarkStart w:id="971" w:name="xdx_49C_20260331_zpYS31aHcEQa"/>
            <w:bookmarkEnd w:id="971"/>
          </w:p>
        </w:tc>
        <w:tc>
          <w:tcPr>
            <w:tcW w:w="118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72" w:name="xdx_497_20250630_zrszw4aySJ5h"/>
            <w:bookmarkEnd w:id="972"/>
          </w:p>
        </w:tc>
        <w:tc>
          <w:tcPr>
            <w:tcW w:w="1195" w:type="dxa"/>
            <w:gridSpan w:val="3"/>
            <w:tcBorders/>
            <w:vAlign w:val="center"/>
          </w:tcPr>
          <w:p>
            <w:pPr>
              <w:pStyle w:val="TableContents"/>
              <w:bidi w:val="0"/>
              <w:spacing w:before="0" w:after="283"/>
              <w:jc w:val="center"/>
              <w:rPr/>
            </w:pPr>
            <w:r>
              <w:rPr/>
              <w:t> </w:t>
            </w:r>
          </w:p>
        </w:tc>
      </w:tr>
      <w:tr>
        <w:trPr/>
        <w:tc>
          <w:tcPr>
            <w:tcW w:w="6485" w:type="dxa"/>
            <w:tcBorders>
              <w:bottom w:val="single" w:sz="8" w:space="0" w:color="000000"/>
            </w:tcBorders>
            <w:tcMar>
              <w:bottom w:w="28" w:type="dxa"/>
            </w:tcMar>
            <w:vAlign w:val="center"/>
          </w:tcPr>
          <w:p>
            <w:pPr>
              <w:pStyle w:val="TableContents"/>
              <w:bidi w:val="0"/>
              <w:spacing w:before="0" w:after="283"/>
              <w:jc w:val="left"/>
              <w:rPr/>
            </w:pPr>
            <w:r>
              <w:rPr/>
              <w:t>Operating leases</w:t>
            </w:r>
          </w:p>
        </w:tc>
        <w:tc>
          <w:tcPr>
            <w:tcW w:w="60" w:type="dxa"/>
            <w:tcBorders/>
            <w:vAlign w:val="center"/>
          </w:tcPr>
          <w:p>
            <w:pPr>
              <w:pStyle w:val="TableContents"/>
              <w:bidi w:val="0"/>
              <w:spacing w:before="0" w:after="283"/>
              <w:jc w:val="left"/>
              <w:rPr/>
            </w:pPr>
            <w:r>
              <w:rPr/>
              <w:t> </w:t>
            </w:r>
          </w:p>
        </w:tc>
        <w:tc>
          <w:tcPr>
            <w:tcW w:w="1180" w:type="dxa"/>
            <w:gridSpan w:val="3"/>
            <w:tcBorders>
              <w:bottom w:val="single" w:sz="8" w:space="0" w:color="000000"/>
            </w:tcBorders>
            <w:tcMar>
              <w:bottom w:w="28" w:type="dxa"/>
            </w:tcMar>
            <w:vAlign w:val="center"/>
          </w:tcPr>
          <w:p>
            <w:pPr>
              <w:pStyle w:val="TableContents"/>
              <w:bidi w:val="0"/>
              <w:spacing w:before="0" w:after="283"/>
              <w:jc w:val="center"/>
              <w:rPr/>
            </w:pPr>
            <w:r>
              <w:rPr/>
              <w:t>03/31/2026</w:t>
            </w:r>
          </w:p>
        </w:tc>
        <w:tc>
          <w:tcPr>
            <w:tcW w:w="60" w:type="dxa"/>
            <w:tcBorders/>
            <w:vAlign w:val="center"/>
          </w:tcPr>
          <w:p>
            <w:pPr>
              <w:pStyle w:val="TableContents"/>
              <w:bidi w:val="0"/>
              <w:spacing w:before="0" w:after="283"/>
              <w:jc w:val="left"/>
              <w:rPr/>
            </w:pPr>
            <w:r>
              <w:rPr/>
              <w:t> </w:t>
            </w:r>
          </w:p>
        </w:tc>
        <w:tc>
          <w:tcPr>
            <w:tcW w:w="1195" w:type="dxa"/>
            <w:gridSpan w:val="3"/>
            <w:tcBorders>
              <w:bottom w:val="single" w:sz="8" w:space="0" w:color="000000"/>
            </w:tcBorders>
            <w:tcMar>
              <w:bottom w:w="28" w:type="dxa"/>
            </w:tcMar>
            <w:vAlign w:val="center"/>
          </w:tcPr>
          <w:p>
            <w:pPr>
              <w:pStyle w:val="TableContents"/>
              <w:bidi w:val="0"/>
              <w:spacing w:before="0" w:after="283"/>
              <w:jc w:val="center"/>
              <w:rPr/>
            </w:pPr>
            <w:r>
              <w:rPr/>
              <w:t>6/30/2025</w:t>
            </w:r>
            <w:bookmarkStart w:id="973" w:name="xdx_402_eus-gaap--OperatingLeaseRightOfU"/>
            <w:bookmarkEnd w:id="973"/>
          </w:p>
        </w:tc>
      </w:tr>
      <w:tr>
        <w:trPr/>
        <w:tc>
          <w:tcPr>
            <w:tcW w:w="6485" w:type="dxa"/>
            <w:tcBorders/>
            <w:shd w:fill="EEEEEE" w:val="clear"/>
            <w:vAlign w:val="center"/>
          </w:tcPr>
          <w:p>
            <w:pPr>
              <w:pStyle w:val="TableContents"/>
              <w:bidi w:val="0"/>
              <w:spacing w:before="0" w:after="283"/>
              <w:jc w:val="left"/>
              <w:rPr/>
            </w:pPr>
            <w:r>
              <w:rPr/>
              <w:t>Right of use asset - non-current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2,966,202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3,915,539</w:t>
            </w:r>
          </w:p>
        </w:tc>
        <w:tc>
          <w:tcPr>
            <w:tcW w:w="75" w:type="dxa"/>
            <w:tcBorders/>
            <w:shd w:fill="EEEEEE"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74" w:name="xdx_404_eus-gaap--OperatingLeaseLiabilit"/>
            <w:bookmarkEnd w:id="974"/>
          </w:p>
        </w:tc>
      </w:tr>
      <w:tr>
        <w:trPr/>
        <w:tc>
          <w:tcPr>
            <w:tcW w:w="6485" w:type="dxa"/>
            <w:tcBorders/>
            <w:shd w:fill="EEEEEE" w:val="clear"/>
            <w:vAlign w:val="center"/>
          </w:tcPr>
          <w:p>
            <w:pPr>
              <w:pStyle w:val="TableContents"/>
              <w:bidi w:val="0"/>
              <w:spacing w:before="0" w:after="283"/>
              <w:jc w:val="left"/>
              <w:rPr/>
            </w:pPr>
            <w:r>
              <w:rPr/>
              <w:t>Lease Liabilities – current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1,450,340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1,361,111</w:t>
            </w:r>
          </w:p>
        </w:tc>
        <w:tc>
          <w:tcPr>
            <w:tcW w:w="75" w:type="dxa"/>
            <w:tcBorders/>
            <w:shd w:fill="EEEEEE" w:val="clear"/>
            <w:vAlign w:val="center"/>
          </w:tcPr>
          <w:p>
            <w:pPr>
              <w:pStyle w:val="TableContents"/>
              <w:bidi w:val="0"/>
              <w:spacing w:before="0" w:after="283"/>
              <w:jc w:val="left"/>
              <w:rPr/>
            </w:pPr>
            <w:r>
              <w:rPr/>
              <w:t> </w:t>
            </w:r>
            <w:bookmarkStart w:id="975" w:name="xdx_400_eus-gaap--OperatingLeaseLiabilit"/>
            <w:bookmarkEnd w:id="975"/>
          </w:p>
        </w:tc>
      </w:tr>
      <w:tr>
        <w:trPr/>
        <w:tc>
          <w:tcPr>
            <w:tcW w:w="6485" w:type="dxa"/>
            <w:tcBorders/>
            <w:shd w:fill="FFFFFF" w:val="clear"/>
            <w:vAlign w:val="center"/>
          </w:tcPr>
          <w:p>
            <w:pPr>
              <w:pStyle w:val="TableContents"/>
              <w:bidi w:val="0"/>
              <w:spacing w:before="0" w:after="283"/>
              <w:jc w:val="left"/>
              <w:rPr/>
            </w:pPr>
            <w:r>
              <w:rPr/>
              <w:t>Lease Liabilities -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1,817,153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2,913,967</w:t>
            </w:r>
          </w:p>
        </w:tc>
        <w:tc>
          <w:tcPr>
            <w:tcW w:w="75" w:type="dxa"/>
            <w:tcBorders/>
            <w:shd w:fill="FFFFFF" w:val="clear"/>
            <w:vAlign w:val="center"/>
          </w:tcPr>
          <w:p>
            <w:pPr>
              <w:pStyle w:val="TableContents"/>
              <w:bidi w:val="0"/>
              <w:spacing w:before="0" w:after="283"/>
              <w:jc w:val="left"/>
              <w:rPr/>
            </w:pPr>
            <w:r>
              <w:rPr/>
              <w:t> </w:t>
            </w:r>
            <w:bookmarkStart w:id="976" w:name="xdx_406_eus-gaap--OperatingLeaseLiabilit"/>
            <w:bookmarkEnd w:id="976"/>
          </w:p>
        </w:tc>
      </w:tr>
      <w:tr>
        <w:trPr/>
        <w:tc>
          <w:tcPr>
            <w:tcW w:w="6485" w:type="dxa"/>
            <w:tcBorders/>
            <w:shd w:fill="EEEEEE" w:val="clear"/>
            <w:vAlign w:val="center"/>
          </w:tcPr>
          <w:p>
            <w:pPr>
              <w:pStyle w:val="TableContents"/>
              <w:bidi w:val="0"/>
              <w:spacing w:before="0" w:after="283"/>
              <w:jc w:val="left"/>
              <w:rPr/>
            </w:pPr>
            <w:r>
              <w:rPr/>
              <w:t>Total operating lease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3,267,493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4,275,078</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77" w:name="xdx_8A1_zP6xqR8Lozm5"/>
      <w:bookmarkEnd w:id="977"/>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78" w:name="xdx_23F_z0kThZAdN9Xd"/>
      <w:bookmarkEnd w:id="97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979" w:name="xdx_23E_zFthwIxiPvc5"/>
      <w:bookmarkEnd w:id="97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the Company’s lease liabilities are as follows: </w:t>
      </w:r>
    </w:p>
    <w:p>
      <w:pPr>
        <w:pStyle w:val="Normal"/>
        <w:bidi w:val="0"/>
        <w:spacing w:before="0" w:after="0"/>
        <w:jc w:val="left"/>
        <w:rPr>
          <w:sz w:val="4"/>
          <w:szCs w:val="4"/>
        </w:rPr>
      </w:pPr>
      <w:r>
        <w:rPr>
          <w:sz w:val="4"/>
          <w:szCs w:val="4"/>
        </w:rPr>
      </w:r>
      <w:bookmarkStart w:id="980" w:name="xdx_895_eus-gaap--LesseeOperatingLeaseLi"/>
      <w:bookmarkStart w:id="981" w:name="xdx_895_eus-gaap--LesseeOperatingLeaseLi"/>
      <w:bookmarkEnd w:id="981"/>
    </w:p>
    <w:tbl>
      <w:tblPr>
        <w:tblW w:w="5105" w:type="dxa"/>
        <w:jc w:val="left"/>
        <w:tblInd w:w="0" w:type="dxa"/>
        <w:tblLayout w:type="fixed"/>
        <w:tblCellMar>
          <w:top w:w="0" w:type="dxa"/>
          <w:left w:w="0" w:type="dxa"/>
          <w:bottom w:w="0" w:type="dxa"/>
          <w:right w:w="0" w:type="dxa"/>
        </w:tblCellMar>
      </w:tblPr>
      <w:tblGrid>
        <w:gridCol w:w="3815"/>
        <w:gridCol w:w="60"/>
        <w:gridCol w:w="140"/>
        <w:gridCol w:w="980"/>
        <w:gridCol w:w="110"/>
      </w:tblGrid>
      <w:tr>
        <w:trPr/>
        <w:tc>
          <w:tcPr>
            <w:tcW w:w="3815" w:type="dxa"/>
            <w:tcBorders/>
            <w:vAlign w:val="center"/>
          </w:tcPr>
          <w:p>
            <w:pPr>
              <w:pStyle w:val="TableContents"/>
              <w:bidi w:val="0"/>
              <w:spacing w:before="0" w:after="283"/>
              <w:jc w:val="left"/>
              <w:rPr/>
            </w:pPr>
            <w:bookmarkStart w:id="982" w:name="xdx_8B7_zs3wtFfdMXu8"/>
            <w:bookmarkEnd w:id="982"/>
            <w:r>
              <w:rPr/>
              <w:t>Schedule of maturities of lease liabilities</w:t>
            </w:r>
          </w:p>
        </w:tc>
        <w:tc>
          <w:tcPr>
            <w:tcW w:w="60" w:type="dxa"/>
            <w:tcBorders/>
            <w:vAlign w:val="center"/>
          </w:tcPr>
          <w:p>
            <w:pPr>
              <w:pStyle w:val="TableContents"/>
              <w:bidi w:val="0"/>
              <w:spacing w:before="0" w:after="283"/>
              <w:jc w:val="left"/>
              <w:rPr/>
            </w:pPr>
            <w:r>
              <w:rPr/>
              <w:t> </w:t>
            </w:r>
            <w:bookmarkStart w:id="983" w:name="xdx_497_20260331_zSyMGe98aXH4"/>
            <w:bookmarkEnd w:id="983"/>
          </w:p>
        </w:tc>
        <w:tc>
          <w:tcPr>
            <w:tcW w:w="1230" w:type="dxa"/>
            <w:gridSpan w:val="3"/>
            <w:tcBorders/>
            <w:vAlign w:val="center"/>
          </w:tcPr>
          <w:p>
            <w:pPr>
              <w:pStyle w:val="TableContents"/>
              <w:bidi w:val="0"/>
              <w:spacing w:before="0" w:after="283"/>
              <w:jc w:val="center"/>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3"/>
            <w:tcBorders/>
            <w:vAlign w:val="center"/>
          </w:tcPr>
          <w:p>
            <w:pPr>
              <w:pStyle w:val="TableContents"/>
              <w:bidi w:val="0"/>
              <w:spacing w:before="0" w:after="283"/>
              <w:jc w:val="center"/>
              <w:rPr/>
            </w:pPr>
            <w:r>
              <w:rPr/>
              <w:t>Operating</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3"/>
            <w:tcBorders>
              <w:bottom w:val="single" w:sz="8" w:space="0" w:color="000000"/>
            </w:tcBorders>
            <w:tcMar>
              <w:bottom w:w="28" w:type="dxa"/>
            </w:tcMar>
            <w:vAlign w:val="center"/>
          </w:tcPr>
          <w:p>
            <w:pPr>
              <w:pStyle w:val="TableContents"/>
              <w:bidi w:val="0"/>
              <w:spacing w:before="0" w:after="283"/>
              <w:jc w:val="center"/>
              <w:rPr/>
            </w:pPr>
            <w:r>
              <w:rPr/>
              <w:t>Lease</w:t>
            </w:r>
          </w:p>
        </w:tc>
      </w:tr>
      <w:tr>
        <w:trPr/>
        <w:tc>
          <w:tcPr>
            <w:tcW w:w="381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Year ending June 30:</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984" w:name="xdx_408_eus-gaap--LesseeOperatingLeaseLi"/>
            <w:bookmarkEnd w:id="984"/>
          </w:p>
        </w:tc>
      </w:tr>
      <w:tr>
        <w:trPr/>
        <w:tc>
          <w:tcPr>
            <w:tcW w:w="381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390,434</w:t>
            </w:r>
          </w:p>
        </w:tc>
        <w:tc>
          <w:tcPr>
            <w:tcW w:w="110" w:type="dxa"/>
            <w:tcBorders/>
            <w:shd w:fill="FFFFFF" w:val="clear"/>
            <w:vAlign w:val="center"/>
          </w:tcPr>
          <w:p>
            <w:pPr>
              <w:pStyle w:val="TableContents"/>
              <w:bidi w:val="0"/>
              <w:spacing w:before="0" w:after="283"/>
              <w:jc w:val="left"/>
              <w:rPr/>
            </w:pPr>
            <w:r>
              <w:rPr/>
              <w:t> </w:t>
            </w:r>
            <w:bookmarkStart w:id="985" w:name="xdx_40B_eus-gaap--LesseeOperatingLeaseLi"/>
            <w:bookmarkEnd w:id="985"/>
          </w:p>
        </w:tc>
      </w:tr>
      <w:tr>
        <w:trPr/>
        <w:tc>
          <w:tcPr>
            <w:tcW w:w="3815" w:type="dxa"/>
            <w:tcBorders/>
            <w:shd w:fill="EEEEEE" w:val="clear"/>
            <w:vAlign w:val="center"/>
          </w:tcPr>
          <w:p>
            <w:pPr>
              <w:pStyle w:val="TableContents"/>
              <w:bidi w:val="0"/>
              <w:spacing w:before="0" w:after="283"/>
              <w:jc w:val="left"/>
              <w:rPr/>
            </w:pPr>
            <w:r>
              <w:rPr/>
              <w:t>2027</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1,586,572</w:t>
            </w:r>
          </w:p>
        </w:tc>
        <w:tc>
          <w:tcPr>
            <w:tcW w:w="110" w:type="dxa"/>
            <w:tcBorders/>
            <w:shd w:fill="EEEEEE" w:val="clear"/>
            <w:vAlign w:val="center"/>
          </w:tcPr>
          <w:p>
            <w:pPr>
              <w:pStyle w:val="TableContents"/>
              <w:bidi w:val="0"/>
              <w:spacing w:before="0" w:after="283"/>
              <w:jc w:val="left"/>
              <w:rPr/>
            </w:pPr>
            <w:r>
              <w:rPr/>
              <w:t> </w:t>
            </w:r>
            <w:bookmarkStart w:id="986" w:name="xdx_40C_eus-gaap--LesseeOperatingLeaseLi"/>
            <w:bookmarkEnd w:id="986"/>
          </w:p>
        </w:tc>
      </w:tr>
      <w:tr>
        <w:trPr/>
        <w:tc>
          <w:tcPr>
            <w:tcW w:w="381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1,459,411</w:t>
            </w:r>
          </w:p>
        </w:tc>
        <w:tc>
          <w:tcPr>
            <w:tcW w:w="110" w:type="dxa"/>
            <w:tcBorders/>
            <w:shd w:fill="FFFFFF" w:val="clear"/>
            <w:vAlign w:val="center"/>
          </w:tcPr>
          <w:p>
            <w:pPr>
              <w:pStyle w:val="TableContents"/>
              <w:bidi w:val="0"/>
              <w:spacing w:before="0" w:after="283"/>
              <w:jc w:val="left"/>
              <w:rPr/>
            </w:pPr>
            <w:r>
              <w:rPr/>
              <w:t> </w:t>
            </w:r>
            <w:bookmarkStart w:id="987" w:name="xdx_40A_eus-gaap--LesseeOperatingLeaseLi"/>
            <w:bookmarkEnd w:id="987"/>
          </w:p>
        </w:tc>
      </w:tr>
      <w:tr>
        <w:trPr/>
        <w:tc>
          <w:tcPr>
            <w:tcW w:w="381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Imputed interest/present value discount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(168,924</w:t>
            </w:r>
          </w:p>
        </w:tc>
        <w:tc>
          <w:tcPr>
            <w:tcW w:w="110" w:type="dxa"/>
            <w:tcBorders/>
            <w:shd w:fill="EEEEEE" w:val="clear"/>
            <w:vAlign w:val="center"/>
          </w:tcPr>
          <w:p>
            <w:pPr>
              <w:pStyle w:val="TableContents"/>
              <w:bidi w:val="0"/>
              <w:spacing w:before="0" w:after="283"/>
              <w:jc w:val="left"/>
              <w:rPr/>
            </w:pPr>
            <w:r>
              <w:rPr/>
              <w:t>)</w:t>
            </w:r>
            <w:bookmarkStart w:id="988" w:name="xdx_402_eus-gaap--OperatingLeaseLiabilit"/>
            <w:bookmarkEnd w:id="988"/>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3,267,493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89" w:name="xdx_8A7_zq5ElJfyW1hb"/>
      <w:bookmarkEnd w:id="98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0" w:name="xdx_803_eus-gaap--CommitmentsAndContinge"/>
      <w:bookmarkEnd w:id="990"/>
      <w:r>
        <w:rPr>
          <w:rFonts w:ascii="Times New Roman;Times;Serif" w:hAnsi="Times New Roman;Times;Serif"/>
          <w:b/>
          <w:i w:val="false"/>
          <w:caps w:val="false"/>
          <w:smallCaps w:val="false"/>
          <w:sz w:val="20"/>
        </w:rPr>
        <w:t xml:space="preserve">Note 19 - </w:t>
      </w:r>
      <w:bookmarkStart w:id="991" w:name="xdx_82C_zbvS6PCbXyI6"/>
      <w:bookmarkEnd w:id="991"/>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the Russian Federation began conducting military operations against Ukraine, and in October 2023, an armed conflict between Hamas-led Palestinian militant groups and Israeli military forces began, both of which have since escalated into prolonged wars. While we do not do business in those regions, the military conflicts in Ukraine and in Israel have resulted in global economic uncertainty and increased the cost of various commodities. In response to these types of events, should they directly impact our supply chain or other operations, we may experience or be exposed to supply chain disruptions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we have experienced a delay in, as well as an increase in costs in shipping, and the resulting inventory level increase in our warehouse facilities, thus resulting in reduced profits. In addition, supply chain disruptions may put upward pressure on our costs and increase the risk that we may be unable to acquire the materials and services we need to continue to make certain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On March 22, 2021, the $175,500 PPP Note due to Royal Business Bank was fully forgiven by the Small Business Administration (“SBA”).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the consolidated financial statements.</w:t>
      </w:r>
    </w:p>
    <w:p>
      <w:pPr>
        <w:pStyle w:val="TextBody"/>
        <w:bidi w:val="0"/>
        <w:spacing w:before="0" w:after="0"/>
        <w:ind w:left="0" w:right="0" w:hanging="0"/>
        <w:jc w:val="both"/>
        <w:rPr>
          <w:caps w:val="false"/>
          <w:smallCaps w:val="false"/>
        </w:rPr>
      </w:pPr>
      <w:bookmarkStart w:id="992" w:name="xdx_232_zTifXL2PW384"/>
      <w:bookmarkEnd w:id="992"/>
      <w:r>
        <w:rPr>
          <w:caps w:val="false"/>
          <w:smallCaps w:val="false"/>
        </w:rPr>
        <w:t> </w:t>
      </w:r>
    </w:p>
    <w:p>
      <w:pPr>
        <w:pStyle w:val="TextBody"/>
        <w:bidi w:val="0"/>
        <w:spacing w:before="0" w:after="0"/>
        <w:ind w:left="0" w:right="0" w:hanging="0"/>
        <w:jc w:val="both"/>
        <w:rPr>
          <w:caps w:val="false"/>
          <w:smallCaps w:val="false"/>
        </w:rPr>
      </w:pPr>
      <w:bookmarkStart w:id="993" w:name="xdx_233_zoIPEOFS529k"/>
      <w:bookmarkEnd w:id="993"/>
      <w:r>
        <w:rPr>
          <w:caps w:val="false"/>
          <w:smallCaps w:val="false"/>
        </w:rPr>
        <w:t> </w:t>
      </w:r>
    </w:p>
    <w:p>
      <w:pPr>
        <w:pStyle w:val="TextBody"/>
        <w:bidi w:val="0"/>
        <w:spacing w:before="0" w:after="0"/>
        <w:ind w:left="0" w:right="0" w:hanging="0"/>
        <w:jc w:val="both"/>
        <w:rPr>
          <w:caps w:val="false"/>
          <w:smallCaps w:val="false"/>
        </w:rPr>
      </w:pPr>
      <w:bookmarkStart w:id="994" w:name="xdx_23B_zmGq6FB3hgde"/>
      <w:bookmarkEnd w:id="99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5" w:name="xdx_805_eus-gaap--SubsequentEventsTextBl"/>
      <w:bookmarkEnd w:id="995"/>
      <w:r>
        <w:rPr>
          <w:rFonts w:ascii="Times New Roman;Times;Serif" w:hAnsi="Times New Roman;Times;Serif"/>
          <w:b/>
          <w:i w:val="false"/>
          <w:caps w:val="false"/>
          <w:smallCaps w:val="false"/>
          <w:sz w:val="20"/>
        </w:rPr>
        <w:t xml:space="preserve">Note 20 - </w:t>
      </w:r>
      <w:bookmarkStart w:id="996" w:name="xdx_827_zMi44F5Vpzmh"/>
      <w:bookmarkEnd w:id="996"/>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that the unaudited condensed consolidated financial statements were available to be issued. Other than as set forth below, there were no material subsequent events that required recognition or additional disclosure in the unaudited condensed consolidated financial statements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the Company finalized a sublease agreement (the “Sublease Agreement”) with Dezheng Logistics Inc., a California corporation (“Dezheng”), pursuant to which the Company subleased its warehouse, located at 8798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Street, Rancho Cucamonga, California, 91730 (the “Premises”), to Dezheng for a fixed term of 25 months, commencing May 1, 2026 and ending May 31, 2028. Pursuant to the Sublease Agreement, Dezheng provided a security deposit to the Company of $338,130 and thereafter will pay Base Rent (as such term is defined and calculated in the Sublease) to the Company monthly. In exchange, Dezheng will have the right to use and occupy the Premises to conduct its business as a third-party logistics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dated December 22, 2025 (the “Purchase Agreement”) with an institutional investor (the “Investor”) and the Investor’s notification to the Company of its intent to execute an Additional Optional Closing for $3,000,000 in aggregate principal amount of Series A Notes, on May 19, 2026, the Company and Investor consummated an Additional Optional Closing. At the Additional Optional Closing, the Company received $2,820,000, excluding fees and expenses, in exchange for issuing a $3,000,000 aggregate principal amount of Series A Notes to the Investor after satisfaction of all applicable closing conditions, including the effectiveness of the resale registration statement and the absence of any Event of Default. The Series A Note issued at the Additional Optional Closing was issued pursuant to an exemption from registration in accordance with Regulation D of the Securities Act and has a fixed conversion price of $1.03 (120% of the Nasdaq closing price of IPW common stock on May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consideration was paid at $940 for each $1,000 of principal amount, and the Company received gross proceeds of approximately $2,820,000 at the closing, before fees and expenses, including a 6% cash fee payable to Digital Offering, who acted as placement agent in the transaction. Following board approval, the Company has committed up to $3.0 million of the Company’s investment funds for the purchase of sUSDai, a yield-bearing digital asset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97" w:name="xdx_81B_zlmUFmWEVWCh"/>
      <w:bookmarkEnd w:id="997"/>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98" w:name="q3_007"/>
      <w:bookmarkEnd w:id="99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Management’s Discussion and Analysis of Financial Condition and Results of Operations (the “MD&amp;A”) should be read in conjunction with our unaudited financial statements and the related notes thereto included elsewhere herein. This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report. Our actual results and the timing of events could differ materially from those anticipated in these forward-looking statements as a result of several factors.</w:t>
      </w:r>
    </w:p>
    <w:p>
      <w:pPr>
        <w:pStyle w:val="TextBody"/>
        <w:bidi w:val="0"/>
        <w:spacing w:before="0" w:after="0"/>
        <w:ind w:left="160" w:right="158"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16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Driven by technology and data, iPower operates as an online retailer and supplier of consumer goods and provides value-added e-commerce services to third-party products and brands. Our capabilities include established online sales channels, robust fulfillment operations, a network of warehouses serving the United States, competitive last-mile delivery partners, and a differentiated business intelligence platform. Leveraging these capabilities, we utilize proprietary, data-driven methodologies to support product launches and sales optimization, with the objective of efficiently bringing products to market and delivering value to customers in the United States and other markets.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channels currently include Amazon Vendor Central, Amazon Seller Central (3P), Walmart.com, TikTok, Temu, other online marketplaces, and our owned e-commerce websites.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actively developing and marketing in-house branded products, as well as products offered through supply-chain partners. Our current brand portfolio includes iPower, Simple Deluxe, and other brands, offering products across categories such as home goods, fans, pet products, outdoor and gardening products, and consumer electronics. While we continue to focus on our core product categories, we seek to expand our product catalog through additional in-house development and partnerships with suppliers, guided by market data analytics.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is positioning itself at the intersection of digital assets and real-world commerce by leveraging its established e-commerce, logistics, and data infrastructure to support the distribution and integration of compliant digital-asset products through licensed partners.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initiated the Digital Treasury Strategy on June 17, 2025, with the plan of creating a Digital Treasury Strategy business. As this Digital Treasury Strategy is a newly planned addition to our business model, we cannot predict its success or how it will affect our business over the long term.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Digital Treasury Strategy is intended to provide measured, long-term exposure to digital assets that management believes may become increasingly integrated into commerce, while aligning the Company’s treasury strategy with its operational focus on digital-asset-related initiatives.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Economic Disruption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at present the majority of our products are sourced either in the United States or China, the military conflict between Russia and Ukraine may nonetheless increase the likelihood of supply chain interruptions and hinder our ability to find the materials we need to make our products. Thus far, as a result of the general global economic disruption, we have experienced a decrease in the speed with which we have been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2025 annual meeting of stockholders of the Company, the Company’s stockholders approved a proposal authorizing the board of directors of the Company (the “Board”), in its sole discretion, to effect a reverse stock split of the outstanding shares of the Company’s common stock, at a reverse split ratio in the range of one-for-two (1:2) to one-for-two hundred (1:200), as determined by the Board, whereby every two to two hundred shares of the authorized, issued and outstanding common stock will be combined into one share of authorized, issued and outstanding common stock. Pursuant to such authority granted by the Company’s stockholders at the Annual Meeting, the Board approved a reverse split of between one-for-twenty (1:20) and one-for-thirty (1:30) (the “Reverse Stock Split”) of the common stock on October 13, 2025, subject to final determination of the Company’s management. Company management subsequently determined to effectuate a one-for-thirty (1:30) Reverse Stock Split and October 22, 2025, the Company filed a certificate of amendment to amend the certificate of incorporation of the Company with the Secretary of State of the State of Nevada, with an effective date of October 27,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became effective at the start of trading on October 27, 2025 (the “Effective Time”), at which time, every thirty (30) shares of the Company’s issued and outstanding common stock immediately prior to the Effective Time was automatically reclassified into one (1) share of common stock, without any change in the par value per share. The Reverse Stock Split reduced the number of shares of common stock issuable upon the exercise or vesting of the Company’s outstanding warrants and restricted stock units in proportion to the ratio of the Reverse Stock Split and caused a proportionate increase in the exercise prices of such stock options. The Reverse Stock Split did not change the total number of authorized shares of common stock or preferred stock.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trading of the Company’s common stock continued on The Nasdaq Capital Market on a Reverse Stock Split-adjusted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issued three promissory notes totaling $2 million (the “Promissory Notes”) in exchange for gross proceeds of $2 million. The Promissory Notes were entered into with certain investors and related parties, including an entity controlled by the Company’s CEO, Chenlong Tan.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bear 6.5% interest per annum and were repayable upon the earlier of 90 days or the Company’s entry into new financing arrangements. The funds received in connection with the Company’s issuance of the Promissory Notes were used to pay off the Company’s existing asset-backed lending facility with JPMorgan Chase Bank, N.A. (“JPMorgan”) pursuant to the Company’s credit agreement with JPMorgan, originally dated November 12, 2021, as amended (the “Credit Agreement”). As a result of the repayment, the Company has initiated the termination of the related Uniform Commercial Code filings.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were repaid on February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2025, a majority of the Company’s stockholders (representing 53.1% of the Company’s outstanding voting power) took the following actions to approve: (1) the Convertible Note Facility (defined below); (2) the issuance of in excess of 20% of the Company’s outstanding common stock at a price less than the “Minimum Price” as defined in Nasdaq List Rule 5635(d); (3) authorizing an amendment to the Company’s articles of incorporation for the sole purpose of increasing the Company’s authorized shares from 200,000,000 shares, consisting of 180,000,000 shares of common stock and 20,000,000 shares of preferred stock, to 1,000,000,000 shares, consisting of 950,000,000 shares of common stock and 50,000,000 shares of preferred stock; (4) authorizing the Board to approve one or more reverse stock splits, in the range of 1-for-250 shares, with the Board to determine when, if ever, to effectuate such reverse stock split; and (5) authorizing the Company’s Board to adopt a mirror preferred stock in order to allow the Company to more easily achieve quorum in the event the Company needs to call a meeting to effectuate a reverse stock split for purposes of maintaining its Nasdaq listing or increase the Company’s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a preliminary information statement on Schedule 14C (the “Schedule 14C”) with the SEC on January 7, 2026 and a definitive information statement on Schedule 14C on January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Securities Purchase Agreement with a certain institutional investor (the “Investor”) named therein (the “Purchase Agreement”) providing for the purchase by the Investor of a 6% original issue discount (OID) convertible note facility in the aggregate original principal amount of $30,000,000 (the “Convertible Note Facility”), in which the Investor initial purchased (i) a series A senior secured convertible note in the aggregate original principal amount of $5,184,024 (the “Series A Convertible Note”), and shares of the Company’s common stock, issuable pursuant to the terms of the Series A Convertible Notes (the “Series A Conversion Shares”) in reliance upon the exemption from securities registration afforded by Section 4(a)(2) of the Securities Act of 1933, as amended (the “Securities Act”), and Rule 506(b) of Regulation D as promulgated by the Securities and Exchange Commission (the “SEC”) under the Securities Act, and (ii) $1,815,976 aggregate principal amount of a series B senior secured convertible note (the “Series B Convertible Notes,” together with the Series A Convertible Notes, the “Convertible Notes”), and shares of the Company’s common stock issuable pursuant to the terms of the Series B Convertible Notes (the “Series B Conversion Shares”) in a registered direct offering pursuant to a currently effective shelf registration statement on Form S-3 (File No. 333-274665), which has been declared effective by the SEC on September 29, 2023. In addition, pursuant to the Purchase Agreement, the parties closed on an additional approximately $2,000,000 of Series A Convertible Notes (the “Additional Series A Notes”), bringing the total amount of 6% OID Convertible Notes sold to $9,000,000, with the Additional Series A Notes to be paid for and issuable upon the effectiveness of a resale registration statement registering the Series A Convertible Notes. At closing, as consideration for issuance of the Convertible Notes, the Company received gross proceeds of $6,580,000, before deducting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Offering LLC acted as placement agent and received $394,800 in placement agent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convertible into shares of the Company’s common stock at a fixed Conversion Price of $17.70 per share, subject to adjustment as provided in the Convertible Notes. The holder may elect to convert at an Alternate Conversion Price, which provides for conversion at a discounted price based on recent trading VWAP. The Alternate Optional Conversion Price is equal to the lower of (i) the Conversion Price or (ii) the greater of (x) the Floor Price (as defined below) or (y) 95% of the lowest VWAP during the seven (7) consecutive trading day period ending on the trading day immediately preceding delivery of the conversion notice. The Alternate Event of Default Conversion Price is equal to the lower of (i) the Conversion Price or (ii) the greater of (x) the Floor Price or (y) 90% of the lowest VWAP during the ten (10) consecutive trading day period ending on the trading day immediately preceding delivery of the conversion notice. The Floor Price is $2.27 per share, subject to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senior secured obligations of the Company, secured by Collateral (as defined in the Security and Pledge Agreement), consisting of all of the cryptocurrency and cryptocurrency related assets of the Company and certain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2025, the Company entered into a Registration Rights Agreement with the Investor (the “Registration Rights Agreement”), which provides the Investor with certain registration rights with respect to the resale of the Series A Conversion Shares issuable upon conversion of the Series A Convertible Notes. Pursuant to the Registration Rights Agreement, the Company filed a registration statement with the SEC on January 12, 2026 to register the resale of the Series A Conversion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delivered an Additional Mandatory Closing Notice to the Investor and, on February 10, 2026, consummated the Additional Mandatory Closing in accordance with the Purchase Agreement, receiving $1,880,00 in exchange for issuing a $2,000,000 aggregate principal amount of the Additional Mandatory Series A Note to the Investor after satisfaction of all applicable closing conditions, including the effectiveness of the resale registration statement and the absence of any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 xml:space="preserve">Initial </w:t>
      </w:r>
      <w:r>
        <w:rPr>
          <w:rFonts w:ascii="Times New Roman;Times;Serif" w:hAnsi="Times New Roman;Times;Serif"/>
          <w:b w:val="false"/>
          <w:i/>
          <w:caps w:val="false"/>
          <w:smallCaps w:val="false"/>
          <w:sz w:val="20"/>
        </w:rPr>
        <w:t>Acquisitions under the Digital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June 17, 2025, the Company adopted a digital asset reserve, </w:t>
      </w:r>
      <w:r>
        <w:rPr>
          <w:rFonts w:ascii="Times New Roman;Times;Serif" w:hAnsi="Times New Roman;Times;Serif"/>
          <w:b w:val="false"/>
          <w:i w:val="false"/>
          <w:caps w:val="false"/>
          <w:smallCaps w:val="false"/>
          <w:sz w:val="20"/>
        </w:rPr>
        <w:t>allocation and development strategy with the plan of creating a Digital Treasury Strategy business. On December 29, 2025, the Company announced the following initial acquisitions under the Digital Treasury Strategy: (1) the purchase of 15.1 Bitcoin (BTC) at an average price of $87,686.33 per BTC, for a total notional value of approximately $1,325,400 and (2) the purchase of 301.1 Ethereum (ETH) at an average price of $2,934.67 per ETH, for a total notional value of approximately $883,600.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this Digital Treasury Strategy is a new addition to our business model, we cannot predict its success or if we will continue with this strategy for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three months ended March 31,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certain unaudited condensed consolidated statement of operations information and presentation of that data as a percentage of change from period to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15"/>
        <w:gridCol w:w="60"/>
        <w:gridCol w:w="217"/>
        <w:gridCol w:w="1572"/>
        <w:gridCol w:w="80"/>
        <w:gridCol w:w="60"/>
        <w:gridCol w:w="106"/>
        <w:gridCol w:w="1683"/>
        <w:gridCol w:w="80"/>
        <w:gridCol w:w="60"/>
        <w:gridCol w:w="60"/>
        <w:gridCol w:w="815"/>
        <w:gridCol w:w="95"/>
      </w:tblGrid>
      <w:tr>
        <w:trPr/>
        <w:tc>
          <w:tcPr>
            <w:tcW w:w="38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br/>
              <w:t>March 31,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br/>
              <w:t>March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Variance</w:t>
            </w:r>
          </w:p>
        </w:tc>
        <w:tc>
          <w:tcPr>
            <w:tcW w:w="95" w:type="dxa"/>
            <w:tcBorders/>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Revenues - product sales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sz w:val="20"/>
              </w:rPr>
            </w:pPr>
            <w:r>
              <w:rPr>
                <w:sz w:val="20"/>
              </w:rPr>
              <w:t>$</w:t>
            </w:r>
          </w:p>
        </w:tc>
        <w:tc>
          <w:tcPr>
            <w:tcW w:w="1572" w:type="dxa"/>
            <w:tcBorders/>
            <w:shd w:fill="EEEEEE" w:val="clear"/>
            <w:vAlign w:val="center"/>
          </w:tcPr>
          <w:p>
            <w:pPr>
              <w:pStyle w:val="TableContents"/>
              <w:bidi w:val="0"/>
              <w:spacing w:before="0" w:after="283"/>
              <w:jc w:val="right"/>
              <w:rPr>
                <w:sz w:val="20"/>
              </w:rPr>
            </w:pPr>
            <w:r>
              <w:rPr>
                <w:sz w:val="20"/>
              </w:rPr>
              <w:t>3,498,681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15,018,227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sz w:val="20"/>
              </w:rPr>
            </w:pPr>
            <w:r>
              <w:rPr>
                <w:sz w:val="20"/>
              </w:rPr>
              <w:t>(76.7%</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Revenues - service income</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1,023,445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3,498,681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16,041,672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(78.2%</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Cost of revenues - product costs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2,743,132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8,306,217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sz w:val="20"/>
              </w:rPr>
            </w:pPr>
            <w:r>
              <w:rPr>
                <w:sz w:val="20"/>
              </w:rPr>
              <w:t>(67.0%</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Cost of revenues - service costs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879,995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2,743,132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9,186,212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(70.1%</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Gross profit</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755,549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6,855,460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sz w:val="20"/>
              </w:rPr>
            </w:pPr>
            <w:r>
              <w:rPr>
                <w:sz w:val="20"/>
              </w:rPr>
              <w:t>(89.0%</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1,899,810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7,189,964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Operating loss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(1,144,261</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(334,504</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sz w:val="20"/>
              </w:rPr>
            </w:pPr>
            <w:r>
              <w:rPr>
                <w:sz w:val="20"/>
              </w:rPr>
              <w:t>(242.1%</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Other expenses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(4,463,615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(47,713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9,255.1%</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Loss before income taxes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(5,607,876</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(382,217</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sz w:val="20"/>
              </w:rPr>
            </w:pPr>
            <w:r>
              <w:rPr>
                <w:sz w:val="20"/>
              </w:rPr>
              <w:t>1,367.2%</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(326,502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5,230.5%</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Net loss from continuing operations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(5,281,374</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(388,581</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sz w:val="20"/>
              </w:rPr>
            </w:pPr>
            <w:r>
              <w:rPr>
                <w:sz w:val="20"/>
              </w:rPr>
              <w:t>1,259.1%</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Discontinued operations, net of tax</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1,826,496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3,852.8%</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Net loss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(3,454,878</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(342,373</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sz w:val="20"/>
              </w:rPr>
            </w:pPr>
            <w:r>
              <w:rPr>
                <w:sz w:val="20"/>
              </w:rPr>
              <w:t>909.1%</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(2,774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Net loss attributable to iPower Inc.</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(3,454,878</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(339,599</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sz w:val="20"/>
              </w:rPr>
            </w:pPr>
            <w:r>
              <w:rPr>
                <w:sz w:val="20"/>
              </w:rPr>
              <w:t>917.3%</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(15,743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(97,556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(83.9%</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Comprehensive loss attributable to iPower Inc.</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sz w:val="20"/>
              </w:rPr>
            </w:pPr>
            <w:r>
              <w:rPr>
                <w:sz w:val="20"/>
              </w:rPr>
              <w:t>$</w:t>
            </w:r>
          </w:p>
        </w:tc>
        <w:tc>
          <w:tcPr>
            <w:tcW w:w="1572" w:type="dxa"/>
            <w:tcBorders/>
            <w:shd w:fill="EEEEEE" w:val="clear"/>
            <w:vAlign w:val="center"/>
          </w:tcPr>
          <w:p>
            <w:pPr>
              <w:pStyle w:val="TableContents"/>
              <w:bidi w:val="0"/>
              <w:spacing w:before="0" w:after="283"/>
              <w:jc w:val="right"/>
              <w:rPr>
                <w:sz w:val="20"/>
              </w:rPr>
            </w:pPr>
            <w:r>
              <w:rPr>
                <w:sz w:val="20"/>
              </w:rPr>
              <w:t>(3,470,621</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(437,155</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sz w:val="20"/>
              </w:rPr>
            </w:pPr>
            <w:r>
              <w:rPr>
                <w:sz w:val="20"/>
              </w:rPr>
              <w:t>693.9%</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Gross profit % of revenues - product sales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21.6%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44.7%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Gross profit % of revenues - service income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sz w:val="20"/>
              </w:rPr>
            </w:pPr>
            <w:r>
              <w:rPr>
                <w:sz w:val="20"/>
              </w:rPr>
              <w:t>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Operating loss % of revenues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(32.7%</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(2.1%</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Net income (loss) % of revenues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72" w:type="dxa"/>
            <w:tcBorders/>
            <w:shd w:fill="FFFFFF" w:val="clear"/>
            <w:vAlign w:val="center"/>
          </w:tcPr>
          <w:p>
            <w:pPr>
              <w:pStyle w:val="TableContents"/>
              <w:bidi w:val="0"/>
              <w:spacing w:before="0" w:after="283"/>
              <w:jc w:val="right"/>
              <w:rPr>
                <w:sz w:val="20"/>
              </w:rPr>
            </w:pPr>
            <w:r>
              <w:rPr>
                <w:sz w:val="20"/>
              </w:rPr>
              <w:t>(98.7%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sz w:val="20"/>
              </w:rPr>
            </w:pPr>
            <w:r>
              <w:rPr>
                <w:sz w:val="20"/>
              </w:rPr>
              <w:t>(2.1%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three months ended March 31, 2026 decreased 78.2% to $3,498,681 as compared to $16,041,672 for the three months ended March 31, 2025. The decrease was mainly due to the sale of the Company’s subsidiaries on February 1,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for the three months ended March 31, 2026 decreased 70.1% to $2,743,132 as compared to $9,186,212 for the three months ended March 31, 2025. The decrease was primarily due to decreased sales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$755,549 for the three months ended March 31, 2026 as compared to $6,855,460 for the three months ended March 31, 2025. While the gross profit ratio of the product sales revenues decreased to 21.6% for the three months ended March 31, 2026 from 44.7% for the three months ended March 31, 2025, the overall gross profit ratio of the total sales revenues for the three months ended March 31, 2026 and 2025 was 21.6% and 42.7%. The decrease in the gross profit ratio of the product sales revenues was due to the changes in the Company’s business strategy resulting from the sale of the Company’s subsidiaries, as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March 31, 2026 decreased 73.6% to $1,899,810 as compared to $7,189,964 for the three months ended March 31, 2025. The decrease was mainly due to the changes in the Company’s business strategy resulting from the sale of the Company’s subsidiaries,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Loss from operations was $1,144,261 </w:t>
      </w:r>
      <w:r>
        <w:rPr>
          <w:rFonts w:ascii="Times New Roman;Times;Serif" w:hAnsi="Times New Roman;Times;Serif"/>
          <w:b w:val="false"/>
          <w:i w:val="false"/>
          <w:caps w:val="false"/>
          <w:smallCaps w:val="false"/>
          <w:sz w:val="20"/>
        </w:rPr>
        <w:t>for the three months ended March 31, 2026 as compared to $334,504 of loss from operations for the three months ended March 31, 2025. The increase in loss was primary due to the changes in business strategies resulted from the sale of the Company’s subsidiaries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consists of interest expense and other non-operating income (expense). Other expense for the three months ended March 31, 2026 was $4,463,615 as compared to $47,713 for the three months ended March 31, 2025. The increase in other expenses was mainly due to the increase in interest expenses, unrealized loss on digital assets, loss on extinguishment of debt resulted from conversion of convertible note payable, and goodwill impairment loss during the quarter ended March 31, 2026.</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Loss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iPower Inc. for the three months ended March 31, 2026 was $3,454,878 as compared to $339,599 for the three months ended March 31, 2025, representing an increase in net loss of $3,115,279, which was primarily due to the combination of increase in other expenses and gain from discontinued operations resulted from the sale of the Company’s subsidiaries, as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Comprehensive Loss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iPower Inc. for the three months ended March 31, 2026 was $3,470,621 as compared to $437,155 for the three months ended March 31, 2025, representing an increase in comprehensive loss of $3,033,466. The increase was due to the reasons discussed above, along with a decrease in other comprehensive loss of $81,813 due to reduced foreign currency translation adjustments resulting from the translation of RMB, the functional currency of our subsidiary and VIE in the PRC, to USD, the reporting currency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nine months ended March 31,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certain unaudited condensed consolidated statement of operations information and presentation of that data as a percentage of change from period to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15"/>
        <w:gridCol w:w="60"/>
        <w:gridCol w:w="194"/>
        <w:gridCol w:w="1475"/>
        <w:gridCol w:w="80"/>
        <w:gridCol w:w="60"/>
        <w:gridCol w:w="99"/>
        <w:gridCol w:w="1570"/>
        <w:gridCol w:w="80"/>
        <w:gridCol w:w="60"/>
        <w:gridCol w:w="79"/>
        <w:gridCol w:w="721"/>
        <w:gridCol w:w="95"/>
      </w:tblGrid>
      <w:tr>
        <w:trPr/>
        <w:tc>
          <w:tcPr>
            <w:tcW w:w="38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Nine Months Ended</w:t>
              <w:br/>
              <w:t>March 31,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Nine Months Ended</w:t>
              <w:br/>
              <w:t>March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Variance</w:t>
            </w:r>
          </w:p>
        </w:tc>
        <w:tc>
          <w:tcPr>
            <w:tcW w:w="95" w:type="dxa"/>
            <w:tcBorders/>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Revenues - product sales</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sz w:val="20"/>
              </w:rPr>
            </w:pPr>
            <w:r>
              <w:rPr>
                <w:sz w:val="20"/>
              </w:rPr>
              <w:t>$</w:t>
            </w:r>
          </w:p>
        </w:tc>
        <w:tc>
          <w:tcPr>
            <w:tcW w:w="1475" w:type="dxa"/>
            <w:tcBorders/>
            <w:shd w:fill="EEEEEE" w:val="clear"/>
            <w:vAlign w:val="center"/>
          </w:tcPr>
          <w:p>
            <w:pPr>
              <w:pStyle w:val="TableContents"/>
              <w:bidi w:val="0"/>
              <w:spacing w:before="0" w:after="283"/>
              <w:jc w:val="right"/>
              <w:rPr>
                <w:sz w:val="20"/>
              </w:rPr>
            </w:pPr>
            <w:r>
              <w:rPr>
                <w:sz w:val="20"/>
              </w:rPr>
              <w:t>16,990,959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 w:type="dxa"/>
            <w:tcBorders/>
            <w:shd w:fill="EEEEEE" w:val="clear"/>
            <w:vAlign w:val="center"/>
          </w:tcPr>
          <w:p>
            <w:pPr>
              <w:pStyle w:val="TableContents"/>
              <w:bidi w:val="0"/>
              <w:spacing w:before="0" w:after="283"/>
              <w:jc w:val="left"/>
              <w:rPr/>
            </w:pPr>
            <w:r>
              <w:rPr/>
              <w:t> </w:t>
            </w:r>
          </w:p>
        </w:tc>
        <w:tc>
          <w:tcPr>
            <w:tcW w:w="1570" w:type="dxa"/>
            <w:tcBorders/>
            <w:shd w:fill="EEEEEE" w:val="clear"/>
            <w:vAlign w:val="center"/>
          </w:tcPr>
          <w:p>
            <w:pPr>
              <w:pStyle w:val="TableContents"/>
              <w:bidi w:val="0"/>
              <w:spacing w:before="0" w:after="283"/>
              <w:jc w:val="right"/>
              <w:rPr>
                <w:sz w:val="20"/>
              </w:rPr>
            </w:pPr>
            <w:r>
              <w:rPr>
                <w:sz w:val="20"/>
              </w:rPr>
              <w:t>49,422,823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(65.6%</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Revenues - service income</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1,532,722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3,222,236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18,523,681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57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52,645,059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(64.8%</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Cost of revenues - product costs</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75" w:type="dxa"/>
            <w:tcBorders/>
            <w:shd w:fill="EEEEEE" w:val="clear"/>
            <w:vAlign w:val="center"/>
          </w:tcPr>
          <w:p>
            <w:pPr>
              <w:pStyle w:val="TableContents"/>
              <w:bidi w:val="0"/>
              <w:spacing w:before="0" w:after="283"/>
              <w:jc w:val="right"/>
              <w:rPr>
                <w:sz w:val="20"/>
              </w:rPr>
            </w:pPr>
            <w:r>
              <w:rPr>
                <w:sz w:val="20"/>
              </w:rPr>
              <w:t>10,353,516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 w:type="dxa"/>
            <w:tcBorders/>
            <w:shd w:fill="EEEEEE" w:val="clear"/>
            <w:vAlign w:val="center"/>
          </w:tcPr>
          <w:p>
            <w:pPr>
              <w:pStyle w:val="TableContents"/>
              <w:bidi w:val="0"/>
              <w:spacing w:before="0" w:after="283"/>
              <w:jc w:val="left"/>
              <w:rPr/>
            </w:pPr>
            <w:r>
              <w:rPr/>
              <w:t> </w:t>
            </w:r>
          </w:p>
        </w:tc>
        <w:tc>
          <w:tcPr>
            <w:tcW w:w="1570" w:type="dxa"/>
            <w:tcBorders/>
            <w:shd w:fill="EEEEEE" w:val="clear"/>
            <w:vAlign w:val="center"/>
          </w:tcPr>
          <w:p>
            <w:pPr>
              <w:pStyle w:val="TableContents"/>
              <w:bidi w:val="0"/>
              <w:spacing w:before="0" w:after="283"/>
              <w:jc w:val="right"/>
              <w:rPr>
                <w:sz w:val="20"/>
              </w:rPr>
            </w:pPr>
            <w:r>
              <w:rPr>
                <w:sz w:val="20"/>
              </w:rPr>
              <w:t>27,043,417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(61.7%</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Cost of revenues - service costs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1,332,681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2,704,737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11,686,197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57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29,748,154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(60.7%</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Gross profit</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75" w:type="dxa"/>
            <w:tcBorders/>
            <w:shd w:fill="EEEEEE" w:val="clear"/>
            <w:vAlign w:val="center"/>
          </w:tcPr>
          <w:p>
            <w:pPr>
              <w:pStyle w:val="TableContents"/>
              <w:bidi w:val="0"/>
              <w:spacing w:before="0" w:after="283"/>
              <w:jc w:val="right"/>
              <w:rPr>
                <w:sz w:val="20"/>
              </w:rPr>
            </w:pPr>
            <w:r>
              <w:rPr>
                <w:sz w:val="20"/>
              </w:rPr>
              <w:t>6,837,484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 w:type="dxa"/>
            <w:tcBorders/>
            <w:shd w:fill="EEEEEE" w:val="clear"/>
            <w:vAlign w:val="center"/>
          </w:tcPr>
          <w:p>
            <w:pPr>
              <w:pStyle w:val="TableContents"/>
              <w:bidi w:val="0"/>
              <w:spacing w:before="0" w:after="283"/>
              <w:jc w:val="left"/>
              <w:rPr/>
            </w:pPr>
            <w:r>
              <w:rPr/>
              <w:t> </w:t>
            </w:r>
          </w:p>
        </w:tc>
        <w:tc>
          <w:tcPr>
            <w:tcW w:w="1570" w:type="dxa"/>
            <w:tcBorders/>
            <w:shd w:fill="EEEEEE" w:val="clear"/>
            <w:vAlign w:val="center"/>
          </w:tcPr>
          <w:p>
            <w:pPr>
              <w:pStyle w:val="TableContents"/>
              <w:bidi w:val="0"/>
              <w:spacing w:before="0" w:after="283"/>
              <w:jc w:val="right"/>
              <w:rPr>
                <w:sz w:val="20"/>
              </w:rPr>
            </w:pPr>
            <w:r>
              <w:rPr>
                <w:sz w:val="20"/>
              </w:rPr>
              <w:t>22,896,905</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(70.1%</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11,978,080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25,720,971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(53.4%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Operating loss</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75" w:type="dxa"/>
            <w:tcBorders/>
            <w:shd w:fill="EEEEEE" w:val="clear"/>
            <w:vAlign w:val="center"/>
          </w:tcPr>
          <w:p>
            <w:pPr>
              <w:pStyle w:val="TableContents"/>
              <w:bidi w:val="0"/>
              <w:spacing w:before="0" w:after="283"/>
              <w:jc w:val="right"/>
              <w:rPr>
                <w:sz w:val="20"/>
              </w:rPr>
            </w:pPr>
            <w:r>
              <w:rPr>
                <w:sz w:val="20"/>
              </w:rPr>
              <w:t>(5,140,596</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9" w:type="dxa"/>
            <w:tcBorders/>
            <w:shd w:fill="EEEEEE" w:val="clear"/>
            <w:vAlign w:val="center"/>
          </w:tcPr>
          <w:p>
            <w:pPr>
              <w:pStyle w:val="TableContents"/>
              <w:bidi w:val="0"/>
              <w:spacing w:before="0" w:after="283"/>
              <w:jc w:val="left"/>
              <w:rPr/>
            </w:pPr>
            <w:r>
              <w:rPr/>
              <w:t> </w:t>
            </w:r>
          </w:p>
        </w:tc>
        <w:tc>
          <w:tcPr>
            <w:tcW w:w="1570" w:type="dxa"/>
            <w:tcBorders/>
            <w:shd w:fill="EEEEEE" w:val="clear"/>
            <w:vAlign w:val="center"/>
          </w:tcPr>
          <w:p>
            <w:pPr>
              <w:pStyle w:val="TableContents"/>
              <w:bidi w:val="0"/>
              <w:spacing w:before="0" w:after="283"/>
              <w:jc w:val="right"/>
              <w:rPr>
                <w:sz w:val="20"/>
              </w:rPr>
            </w:pPr>
            <w:r>
              <w:rPr>
                <w:sz w:val="20"/>
              </w:rPr>
              <w:t>(2,824,066</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82.0%</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Other expenses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(3,291,599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(317,788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935.8%</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Loss before income taxes</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75" w:type="dxa"/>
            <w:tcBorders/>
            <w:shd w:fill="EEEEEE" w:val="clear"/>
            <w:vAlign w:val="center"/>
          </w:tcPr>
          <w:p>
            <w:pPr>
              <w:pStyle w:val="TableContents"/>
              <w:bidi w:val="0"/>
              <w:spacing w:before="0" w:after="283"/>
              <w:jc w:val="right"/>
              <w:rPr>
                <w:sz w:val="20"/>
              </w:rPr>
            </w:pPr>
            <w:r>
              <w:rPr>
                <w:sz w:val="20"/>
              </w:rPr>
              <w:t>(8,432,195</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9" w:type="dxa"/>
            <w:tcBorders/>
            <w:shd w:fill="EEEEEE" w:val="clear"/>
            <w:vAlign w:val="center"/>
          </w:tcPr>
          <w:p>
            <w:pPr>
              <w:pStyle w:val="TableContents"/>
              <w:bidi w:val="0"/>
              <w:spacing w:before="0" w:after="283"/>
              <w:jc w:val="left"/>
              <w:rPr/>
            </w:pPr>
            <w:r>
              <w:rPr/>
              <w:t> </w:t>
            </w:r>
          </w:p>
        </w:tc>
        <w:tc>
          <w:tcPr>
            <w:tcW w:w="1570" w:type="dxa"/>
            <w:tcBorders/>
            <w:shd w:fill="EEEEEE" w:val="clear"/>
            <w:vAlign w:val="center"/>
          </w:tcPr>
          <w:p>
            <w:pPr>
              <w:pStyle w:val="TableContents"/>
              <w:bidi w:val="0"/>
              <w:spacing w:before="0" w:after="283"/>
              <w:jc w:val="right"/>
              <w:rPr>
                <w:sz w:val="20"/>
              </w:rPr>
            </w:pPr>
            <w:r>
              <w:rPr>
                <w:sz w:val="20"/>
              </w:rPr>
              <w:t>(3,141,854</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168.4%</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(1,839,874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(637,108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(188.8%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Net income (loss) from continuing operations</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75" w:type="dxa"/>
            <w:tcBorders/>
            <w:shd w:fill="EEEEEE" w:val="clear"/>
            <w:vAlign w:val="center"/>
          </w:tcPr>
          <w:p>
            <w:pPr>
              <w:pStyle w:val="TableContents"/>
              <w:bidi w:val="0"/>
              <w:spacing w:before="0" w:after="283"/>
              <w:jc w:val="right"/>
              <w:rPr>
                <w:sz w:val="20"/>
              </w:rPr>
            </w:pPr>
            <w:r>
              <w:rPr>
                <w:sz w:val="20"/>
              </w:rPr>
              <w:t>(6,592,321</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9" w:type="dxa"/>
            <w:tcBorders/>
            <w:shd w:fill="EEEEEE" w:val="clear"/>
            <w:vAlign w:val="center"/>
          </w:tcPr>
          <w:p>
            <w:pPr>
              <w:pStyle w:val="TableContents"/>
              <w:bidi w:val="0"/>
              <w:spacing w:before="0" w:after="283"/>
              <w:jc w:val="left"/>
              <w:rPr/>
            </w:pPr>
            <w:r>
              <w:rPr/>
              <w:t> </w:t>
            </w:r>
          </w:p>
        </w:tc>
        <w:tc>
          <w:tcPr>
            <w:tcW w:w="1570" w:type="dxa"/>
            <w:tcBorders/>
            <w:shd w:fill="EEEEEE" w:val="clear"/>
            <w:vAlign w:val="center"/>
          </w:tcPr>
          <w:p>
            <w:pPr>
              <w:pStyle w:val="TableContents"/>
              <w:bidi w:val="0"/>
              <w:spacing w:before="0" w:after="283"/>
              <w:jc w:val="right"/>
              <w:rPr>
                <w:sz w:val="20"/>
              </w:rPr>
            </w:pPr>
            <w:r>
              <w:rPr>
                <w:sz w:val="20"/>
              </w:rPr>
              <w:t>(2,504,746</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163.2%</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Discontinued operations, net of tax</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1,410,514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345,920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307.8%</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Net loss</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75" w:type="dxa"/>
            <w:tcBorders/>
            <w:shd w:fill="EEEEEE" w:val="clear"/>
            <w:vAlign w:val="center"/>
          </w:tcPr>
          <w:p>
            <w:pPr>
              <w:pStyle w:val="TableContents"/>
              <w:bidi w:val="0"/>
              <w:spacing w:before="0" w:after="283"/>
              <w:jc w:val="right"/>
              <w:rPr>
                <w:sz w:val="20"/>
              </w:rPr>
            </w:pPr>
            <w:r>
              <w:rPr>
                <w:sz w:val="20"/>
              </w:rPr>
              <w:t>(5,181,807</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9" w:type="dxa"/>
            <w:tcBorders/>
            <w:shd w:fill="EEEEEE" w:val="clear"/>
            <w:vAlign w:val="center"/>
          </w:tcPr>
          <w:p>
            <w:pPr>
              <w:pStyle w:val="TableContents"/>
              <w:bidi w:val="0"/>
              <w:spacing w:before="0" w:after="283"/>
              <w:jc w:val="left"/>
              <w:rPr/>
            </w:pPr>
            <w:r>
              <w:rPr/>
              <w:t> </w:t>
            </w:r>
          </w:p>
        </w:tc>
        <w:tc>
          <w:tcPr>
            <w:tcW w:w="1570" w:type="dxa"/>
            <w:tcBorders/>
            <w:shd w:fill="EEEEEE" w:val="clear"/>
            <w:vAlign w:val="center"/>
          </w:tcPr>
          <w:p>
            <w:pPr>
              <w:pStyle w:val="TableContents"/>
              <w:bidi w:val="0"/>
              <w:spacing w:before="0" w:after="283"/>
              <w:jc w:val="right"/>
              <w:rPr>
                <w:sz w:val="20"/>
              </w:rPr>
            </w:pPr>
            <w:r>
              <w:rPr>
                <w:sz w:val="20"/>
              </w:rPr>
              <w:t>(2,158,826</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140.0%</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(8,765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Net loss income attributable to iPower Inc.</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75" w:type="dxa"/>
            <w:tcBorders/>
            <w:shd w:fill="EEEEEE" w:val="clear"/>
            <w:vAlign w:val="center"/>
          </w:tcPr>
          <w:p>
            <w:pPr>
              <w:pStyle w:val="TableContents"/>
              <w:bidi w:val="0"/>
              <w:spacing w:before="0" w:after="283"/>
              <w:jc w:val="right"/>
              <w:rPr>
                <w:sz w:val="20"/>
              </w:rPr>
            </w:pPr>
            <w:r>
              <w:rPr>
                <w:sz w:val="20"/>
              </w:rPr>
              <w:t>(5,181,807</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9" w:type="dxa"/>
            <w:tcBorders/>
            <w:shd w:fill="EEEEEE" w:val="clear"/>
            <w:vAlign w:val="center"/>
          </w:tcPr>
          <w:p>
            <w:pPr>
              <w:pStyle w:val="TableContents"/>
              <w:bidi w:val="0"/>
              <w:spacing w:before="0" w:after="283"/>
              <w:jc w:val="left"/>
              <w:rPr/>
            </w:pPr>
            <w:r>
              <w:rPr/>
              <w:t> </w:t>
            </w:r>
          </w:p>
        </w:tc>
        <w:tc>
          <w:tcPr>
            <w:tcW w:w="1570" w:type="dxa"/>
            <w:tcBorders/>
            <w:shd w:fill="EEEEEE" w:val="clear"/>
            <w:vAlign w:val="center"/>
          </w:tcPr>
          <w:p>
            <w:pPr>
              <w:pStyle w:val="TableContents"/>
              <w:bidi w:val="0"/>
              <w:spacing w:before="0" w:after="283"/>
              <w:jc w:val="right"/>
              <w:rPr>
                <w:sz w:val="20"/>
              </w:rPr>
            </w:pPr>
            <w:r>
              <w:rPr>
                <w:sz w:val="20"/>
              </w:rPr>
              <w:t>(2,150,061</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141.0%</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150.6%</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Comprehensive loss attributable to iPower Inc.</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sz w:val="20"/>
              </w:rPr>
            </w:pPr>
            <w:r>
              <w:rPr>
                <w:sz w:val="20"/>
              </w:rPr>
              <w:t>$</w:t>
            </w:r>
          </w:p>
        </w:tc>
        <w:tc>
          <w:tcPr>
            <w:tcW w:w="1475" w:type="dxa"/>
            <w:tcBorders/>
            <w:shd w:fill="EEEEEE" w:val="clear"/>
            <w:vAlign w:val="center"/>
          </w:tcPr>
          <w:p>
            <w:pPr>
              <w:pStyle w:val="TableContents"/>
              <w:bidi w:val="0"/>
              <w:spacing w:before="0" w:after="283"/>
              <w:jc w:val="right"/>
              <w:rPr>
                <w:sz w:val="20"/>
              </w:rPr>
            </w:pPr>
            <w:r>
              <w:rPr>
                <w:sz w:val="20"/>
              </w:rPr>
              <w:t>(5,172,986</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9" w:type="dxa"/>
            <w:tcBorders/>
            <w:shd w:fill="EEEEEE" w:val="clear"/>
            <w:vAlign w:val="center"/>
          </w:tcPr>
          <w:p>
            <w:pPr>
              <w:pStyle w:val="TableContents"/>
              <w:bidi w:val="0"/>
              <w:spacing w:before="0" w:after="283"/>
              <w:jc w:val="left"/>
              <w:rPr/>
            </w:pPr>
            <w:r>
              <w:rPr/>
              <w:t> </w:t>
            </w:r>
          </w:p>
        </w:tc>
        <w:tc>
          <w:tcPr>
            <w:tcW w:w="1570" w:type="dxa"/>
            <w:tcBorders/>
            <w:shd w:fill="EEEEEE" w:val="clear"/>
            <w:vAlign w:val="center"/>
          </w:tcPr>
          <w:p>
            <w:pPr>
              <w:pStyle w:val="TableContents"/>
              <w:bidi w:val="0"/>
              <w:spacing w:before="0" w:after="283"/>
              <w:jc w:val="right"/>
              <w:rPr>
                <w:sz w:val="20"/>
              </w:rPr>
            </w:pPr>
            <w:r>
              <w:rPr>
                <w:sz w:val="20"/>
              </w:rPr>
              <w:t>(2,146,541</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141.0%</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Gross profit % of revenues - product sales</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75" w:type="dxa"/>
            <w:tcBorders/>
            <w:shd w:fill="EEEEEE" w:val="clear"/>
            <w:vAlign w:val="center"/>
          </w:tcPr>
          <w:p>
            <w:pPr>
              <w:pStyle w:val="TableContents"/>
              <w:bidi w:val="0"/>
              <w:spacing w:before="0" w:after="283"/>
              <w:jc w:val="right"/>
              <w:rPr>
                <w:sz w:val="20"/>
              </w:rPr>
            </w:pPr>
            <w:r>
              <w:rPr>
                <w:sz w:val="20"/>
              </w:rPr>
              <w:t>39.1%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 w:type="dxa"/>
            <w:tcBorders/>
            <w:shd w:fill="EEEEEE" w:val="clear"/>
            <w:vAlign w:val="center"/>
          </w:tcPr>
          <w:p>
            <w:pPr>
              <w:pStyle w:val="TableContents"/>
              <w:bidi w:val="0"/>
              <w:spacing w:before="0" w:after="283"/>
              <w:jc w:val="left"/>
              <w:rPr/>
            </w:pPr>
            <w:r>
              <w:rPr/>
              <w:t> </w:t>
            </w:r>
          </w:p>
        </w:tc>
        <w:tc>
          <w:tcPr>
            <w:tcW w:w="1570" w:type="dxa"/>
            <w:tcBorders/>
            <w:shd w:fill="EEEEEE" w:val="clear"/>
            <w:vAlign w:val="center"/>
          </w:tcPr>
          <w:p>
            <w:pPr>
              <w:pStyle w:val="TableContents"/>
              <w:bidi w:val="0"/>
              <w:spacing w:before="0" w:after="283"/>
              <w:jc w:val="right"/>
              <w:rPr>
                <w:sz w:val="20"/>
              </w:rPr>
            </w:pPr>
            <w:r>
              <w:rPr>
                <w:sz w:val="20"/>
              </w:rPr>
              <w:t>45.3%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Gross profit % of revenues - service income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sz w:val="20"/>
              </w:rPr>
            </w:pPr>
            <w:r>
              <w:rPr>
                <w:sz w:val="20"/>
              </w:rPr>
              <w:t>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right"/>
              <w:rPr>
                <w:sz w:val="20"/>
              </w:rPr>
            </w:pPr>
            <w:r>
              <w:rPr>
                <w:sz w:val="20"/>
              </w:rPr>
              <w:t>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Operating loss % of revenues</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75" w:type="dxa"/>
            <w:tcBorders/>
            <w:shd w:fill="EEEEEE" w:val="clear"/>
            <w:vAlign w:val="center"/>
          </w:tcPr>
          <w:p>
            <w:pPr>
              <w:pStyle w:val="TableContents"/>
              <w:bidi w:val="0"/>
              <w:spacing w:before="0" w:after="283"/>
              <w:jc w:val="right"/>
              <w:rPr>
                <w:sz w:val="20"/>
              </w:rPr>
            </w:pPr>
            <w:r>
              <w:rPr>
                <w:sz w:val="20"/>
              </w:rPr>
              <w:t>(27.8%</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9" w:type="dxa"/>
            <w:tcBorders/>
            <w:shd w:fill="EEEEEE" w:val="clear"/>
            <w:vAlign w:val="center"/>
          </w:tcPr>
          <w:p>
            <w:pPr>
              <w:pStyle w:val="TableContents"/>
              <w:bidi w:val="0"/>
              <w:spacing w:before="0" w:after="283"/>
              <w:jc w:val="left"/>
              <w:rPr/>
            </w:pPr>
            <w:r>
              <w:rPr/>
              <w:t> </w:t>
            </w:r>
          </w:p>
        </w:tc>
        <w:tc>
          <w:tcPr>
            <w:tcW w:w="1570" w:type="dxa"/>
            <w:tcBorders/>
            <w:shd w:fill="EEEEEE" w:val="clear"/>
            <w:vAlign w:val="center"/>
          </w:tcPr>
          <w:p>
            <w:pPr>
              <w:pStyle w:val="TableContents"/>
              <w:bidi w:val="0"/>
              <w:spacing w:before="0" w:after="283"/>
              <w:jc w:val="right"/>
              <w:rPr>
                <w:sz w:val="20"/>
              </w:rPr>
            </w:pPr>
            <w:r>
              <w:rPr>
                <w:sz w:val="20"/>
              </w:rPr>
              <w:t>(5.4%</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Net loss % of revenues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sz w:val="20"/>
              </w:rPr>
            </w:pPr>
            <w:r>
              <w:rPr>
                <w:sz w:val="20"/>
              </w:rPr>
              <w:t>(28.0%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right"/>
              <w:rPr>
                <w:sz w:val="20"/>
              </w:rPr>
            </w:pPr>
            <w:r>
              <w:rPr>
                <w:sz w:val="20"/>
              </w:rPr>
              <w:t>(4.1%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nine months ended March 31, 2026 decreased 64.8% to $18,523,681 as compared to $52,645,059 for the nine months ended March 31, 2025. While pricing remained stable, the decrease was mainly due to the combination of decreased orders from Amazon and disruption of product supply during the nine months ended March 31, 2026. The Company also experienced a significant decrease in Amazon orders due to uncertainty over tariffs during the nine months ended March 31, 2026. In addition, The Company completed a sale of its subsidiaries on February 1,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for the nine months ended March 31, 2026 decreased 60.7% to $11,686,197 as compared to $29,748,154 for the nine months ended March 31, 2025. The decrease was primarily due to a combination of the costs related to the logistics service income and the decrease in product sales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$6,837,484 for the nine months ended March 31, 2026 as compared to $22,896,905 for the nine months ended March 31, 2025. While the overall gross profit ratio of the total sales revenues decreased to 36.9% for the nine months ended March 31, 2026 from 43.5% for the nine months ended March 31, 2025, the gross profit ratio of product sales revenue for the nine months ended March 31, 2026 and 2025 was 39.1% and 45.3%, respectively. The decrease in the gross profit ratio was primarily driven by the decrease in the logistics service income, increase in product costs and the changes in the Company’s business strategy resulting from the sale of the Company’s subsidiaries, as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nine months ended March 31, 2026 decreased 53.4% to $11,978,080 as compared to $25,720,971 for the nine months ended March 31, 2025. The decrease was mainly due to the combination of a decrease in selling and fulfillment expenses of $8.3 million as a result of decreased sales and costs related to advertising, merchant fees, rental expenses and delivery fees, and a decrease in general and administrative expenses of $5.4 million, which included payroll expenses, stock-based compensation expense, insurance expenses, allowance for credit losses, travel expenses and other operating expenses. The decrease in general and administrative expenses was primarily attributable to the implementation of cost-cutting measures during the current period, compared to the prior-year period, which included expenses related to the expansion of the Company’s vendor network, development of the SuperSuite platform, and increases in the allowance for credit losses and inventory reserves totaling approximately $1.9 million for the nine months ended March 31, 2025. In addition, the decrease was attributable to changes in the Company’s business strategy resulting from the sale of the Company’s subsidiaries,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$5,140,596 for the nine months ended March 31, 2026 as compared to $2,824,066 for the nine months ended March 31, 2025. The increase in loss was primary due to the combination of decrease in sales and operating expenses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consists of interest expense and other non-operating income (expense). Other expense for the nine months ended March 31, 2026 was $3,291,599 as compared to $317,788 for the nine months ended March 31, 2025. The increase in other expenses was mainly due to combination of the increase in other non-operating income of $1,236,219 resulted from discounted settlement and write-offs of aged accounts payable, recognition of loss on deconsolidation of VIE and subsidiaries, unrealized loss on digital assets, loss on extinguishment of debt resulted from conversion of convertible note payable, and goodwill impairment loss, an increase in interest expense, including amortization of debt discount on the convertible notes, refund of Employee Retention Tax Credit, change in fair value of derivative liability, and gain on disposal of vehicle, during the nine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Loss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iPower Inc. for the nine months ended March 31, 2026 was $5,181,807 as compared to $2,150,061 for the nine months ended March 31, 2025, representing an increase in net loss of $3,031,746, which was primarily due to the combination of increase in loss from operations, the increase in other expenses, and the gain from discontinued operations resulted from the sale of the Company’s subsidiaries, as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Comprehensive Loss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iPower Inc. for the nine months ended March 31, 2026 was $5,172,986 as compared to $2,146,541 for the nine months ended March 31, 2025, representing an increase in comprehensive loss of $3,026,445, which was due to the reasons discussed above, along with an increase in other comprehensive income of $5,301 as a result of foreign currency translation adjustments resulting from the translation of RMB, the functional currency of our subsidiary and VIE in the PRC, to USD, the reporting currency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March 31, 2026, we primarily funded our operations with cash and cash equivalents generated from operations, borrowing from related party, as well as through borrowings under our credit facility from JPMorgan Chase Bank (“JPM”) and close of a convertible notes financing on December 23, 2025. Additionally, on June 18, 2024, we closed on a registered direct offering of 69,445 shares of common stock (the “Shares”) and a concurrent private placement of warrants to purchase up to 69,445 shares of common stock (the “Warrants”), which Shares and Warrants were sold for aggregate gross proceeds of $5,000,002. As of March 31, 2026, we had cash and cash equivalents of $713,685, representing a $1,294,205 decrease from $2,007,890 in cash as of June 30, 2025. The cash decrease was primarily due to the combined result of cash provided by operating activities, cash used in investing activities and financing activities resulting from our payments to pay down the JPM revolving line of credit and proceeds from convertible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believe that our existing cash and cash equivalents and cash flows from operations will be sufficient to finance our operations during the next 12 months. However, our liquidity and our ability to meet our obligations and fund our capital requirements are dependent on our future financial performance, which is subject to general economic, financial and other factors that are beyond our control, such as rising inflation and potential recession, and our anticipated funding requirements could increase. See “Item 1A - Risk Factors” in our Annual Report on Form 10-K filed with the SEC on October 9,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consist primarily of day-to-day operating expenses and obligations with respect to warehouse leases. We lease all of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 operations normalize and new suppliers we are bringing online transition to credit terms more favorable to us. In addition, we plan to increase the size of our in-house product catalog, which will have a net beneficial impact to our margin profile and ability to generate cash.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our current working capital position and available funding from our revolving credit line and proceeds from our June 2024 registered direct offering, we believe we will be able to work through the current challenges by managing payment terms with customers and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As of </w:t>
      </w:r>
      <w:r>
        <w:rPr>
          <w:rFonts w:ascii="Times New Roman;Times;Serif" w:hAnsi="Times New Roman;Times;Serif"/>
          <w:b w:val="false"/>
          <w:i w:val="false"/>
          <w:caps w:val="false"/>
          <w:smallCaps w:val="false"/>
          <w:sz w:val="20"/>
        </w:rPr>
        <w:t>March 31, 2026 and June 30, 2025, our working capital was $7.9 million and $4.9 million,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source of cash provided by operations is from sales of products. Our primary uses of cash from operating activities include payments to suppliers for products, to employees for compensation, and other general expenses. Net cash provided by (used in) operating activities for the nine months ended March 31, 2026 and 2025 was $430,399 and $(500,214), respectively. The increase in cash provided by operating activities mainly resulted from an increase in cash received from customers, which was partially offset by an increase in cash paid for cost of revenues and operating expenses.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158" w:right="158"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nine months ended March 31, 2026 and 2025 was $5,671,074 and $1,519,928, respectively. The increase was mainly due to deconsolidation of VIE and subsidiaries cash, payments made for investment in joint venture, purchase of digital assets, and prepayments made for software developments during the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161" w:right="161"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 financing activities was $3,937,784 and $3,168,925, respectively, for the nine months ended March 31, 2026 and 2025. The increase in net cash provided by financing activities was primarily due to a combination of proceeds from a convertible note financing and payments on the revolving loan.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724" w:right="72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4" w:right="72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accounting principles generally accepted in the United States, or GAAP, and pursuant to the rules and regulations of the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unaudited condensed consolidated financial statements, we believe that the following accounting policies are critical to the process of making significant judgments and estimates in the preparation of our unaudited condensed consolidated financial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prior to the delivery of goods to customers are recorded as customer deposits.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 expected loss rate and status of negotiations with the sales channel partner, management reviews its accounts receivable balances each reporting period to determine if an allowance for credit loss is required.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630" w:type="dxa"/>
        <w:jc w:val="left"/>
        <w:tblInd w:w="0" w:type="dxa"/>
        <w:shd w:fill="FFFFFF" w:val="clear"/>
        <w:tblLayout w:type="fixed"/>
        <w:tblCellMar>
          <w:top w:w="0" w:type="dxa"/>
          <w:left w:w="0" w:type="dxa"/>
          <w:bottom w:w="0" w:type="dxa"/>
          <w:right w:w="0" w:type="dxa"/>
        </w:tblCellMar>
      </w:tblPr>
      <w:tblGrid>
        <w:gridCol w:w="75"/>
        <w:gridCol w:w="95"/>
        <w:gridCol w:w="7460"/>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the customer fails to comply with its payment schedule;</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the customer is in serious financial difficulty;</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a significant dispute with the customer has occurred regarding job progress or other matters;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the customer breaches any of its contractual obligations;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the customer appears to be financially distressed due to economic or legal factors;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the business between the customer and the Company is not active; and</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other objective evidence indicates non-collectability of the accounts receivable.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overall economic conditions on our customers’ industry and businesses and their ability to pay our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recent tariff policy. In the event we recover amounts previously written off, we will reduce the specific allowance for credit losses.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Inventories, net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 costs and reflected in selling and fulfillment expenses. The Company regularly reviews inventory and considers forecasts of future demand, market conditions and product obsolescence.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digital assets, which currently are comprised solely of Bitcoin (“BTC”) and Ethereum (“ETH”), as indefinite-lived intangible assets in accordance with Accounting Standards Codification (“ASC”) Topic 350-60, “Intangibles-Goodwill and Other-Crypto Assets.” The Company has ownership of and control over its digital assets and may use third-party custodial services to secure it. The Company’s digital assets are initially recorded at cost and are subsequently remeasured on the balance sheet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its digital assets on a recurring basis in accordance with ASC Topic 820, “Fair Value Measurement,” based on quoted prices on the active exchange that the Company has determined is its principal market for such digital assets (Level 1 inputs). The Company determines the cost basis of digital assets using the specific identification of each unit received. Realized and unrealized gains and losses from changes in the fair value of digital assets are recognized in the statement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Variable interest entities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2025, the Company entered into a Variable Interest Entity (“VIE”) Contract Termination Agreement with the VIE, pursuant to which all VIE agreements were terminated. As a result, the Company no longer has a controlling financial interest in the VIE. In accordance with ASC 810-10-40, </w:t>
      </w:r>
      <w:r>
        <w:rPr>
          <w:rFonts w:ascii="Times New Roman;Times;Serif" w:hAnsi="Times New Roman;Times;Serif"/>
          <w:b w:val="false"/>
          <w:i/>
          <w:caps w:val="false"/>
          <w:smallCaps w:val="false"/>
          <w:sz w:val="20"/>
        </w:rPr>
        <w:t>Consolidation - Deconsolidation of a Subsidiary or Derecognition of a Group of Assets</w:t>
      </w:r>
      <w:r>
        <w:rPr>
          <w:rFonts w:ascii="Times New Roman;Times;Serif" w:hAnsi="Times New Roman;Times;Serif"/>
          <w:b w:val="false"/>
          <w:i w:val="false"/>
          <w:caps w:val="false"/>
          <w:smallCaps w:val="false"/>
          <w:sz w:val="20"/>
        </w:rPr>
        <w:t>, the Company deconsolidated the VIE as of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deconsolidation, the Company derecognized all assets and liabilities of the VIE from its consolidated balance sheet. Because the Company retains no ownership interest or continuing involvement in the VIE following the termination of the agreements, no retained interest was recognized.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purchase price over the fair value of assets acquired and liabilities assumed. The Company accounts for goodwill under </w:t>
      </w:r>
      <w:r>
        <w:rPr>
          <w:rFonts w:ascii="Times New Roman;Times;Serif" w:hAnsi="Times New Roman;Times;Serif"/>
          <w:b w:val="false"/>
          <w:i/>
          <w:caps w:val="false"/>
          <w:smallCaps w:val="false"/>
          <w:sz w:val="20"/>
        </w:rPr>
        <w:t>ASC Topic 350, Intangibles-Goodwill and Other</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March 31, 2026, the Company performed a goodwill impairment analysis following the steps laid out in ASC 350 and noted goodwill impairment due to the decrease in the Company’s share price. As of March 31, 2026 and June 30, 2025, the goodwill balance amounted to $0 and $3,034,110,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Embedded derivative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embedded features of its financial instruments, including its convertible notes payable in accordance with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Certain conversion options and redemption features are required to be bifurcated from their host instrument and accounted for as free-standing derivative financial instruments should certain criteria be met. The Company applies significant judgment to identify and evaluate complex terms and conditions for its financial instruments to determine whether such instruments are derivatives or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and the features of the derivatives. Bifurcated embedded derivatives are recognized at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roll-forward of changes for financial instruments measured at fair value on a recurring basis for the nine months ended March 31, 2026:</w:t>
      </w:r>
    </w:p>
    <w:p>
      <w:pPr>
        <w:pStyle w:val="TextBody"/>
        <w:bidi w:val="0"/>
        <w:spacing w:before="0" w:after="0"/>
        <w:ind w:left="0" w:right="0" w:firstLine="720"/>
        <w:jc w:val="both"/>
        <w:rPr>
          <w:caps w:val="false"/>
          <w:smallCaps w:val="false"/>
        </w:rPr>
      </w:pPr>
      <w:r>
        <w:rPr>
          <w:caps w:val="false"/>
          <w:smallCaps w:val="false"/>
        </w:rPr>
        <w:t> </w:t>
      </w:r>
    </w:p>
    <w:tbl>
      <w:tblPr>
        <w:tblW w:w="7325" w:type="dxa"/>
        <w:jc w:val="left"/>
        <w:tblInd w:w="0" w:type="dxa"/>
        <w:tblLayout w:type="fixed"/>
        <w:tblCellMar>
          <w:top w:w="0" w:type="dxa"/>
          <w:left w:w="0" w:type="dxa"/>
          <w:bottom w:w="0" w:type="dxa"/>
          <w:right w:w="0" w:type="dxa"/>
        </w:tblCellMar>
      </w:tblPr>
      <w:tblGrid>
        <w:gridCol w:w="6200"/>
        <w:gridCol w:w="60"/>
        <w:gridCol w:w="125"/>
        <w:gridCol w:w="845"/>
        <w:gridCol w:w="95"/>
      </w:tblGrid>
      <w:tr>
        <w:trPr/>
        <w:tc>
          <w:tcPr>
            <w:tcW w:w="6200" w:type="dxa"/>
            <w:tcBorders/>
            <w:vAlign w:val="center"/>
          </w:tcPr>
          <w:p>
            <w:pPr>
              <w:pStyle w:val="TableContents"/>
              <w:bidi w:val="0"/>
              <w:spacing w:before="0" w:after="283"/>
              <w:jc w:val="left"/>
              <w:rPr>
                <w:b/>
                <w:sz w:val="20"/>
                <w:u w:val="single"/>
              </w:rPr>
            </w:pPr>
            <w:r>
              <w:rPr>
                <w:b/>
                <w:sz w:val="20"/>
                <w:u w:val="single"/>
              </w:rPr>
              <w:t>Derivative Liability</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95" w:type="dxa"/>
            <w:tcBorders/>
            <w:vAlign w:val="center"/>
          </w:tcPr>
          <w:p>
            <w:pPr>
              <w:pStyle w:val="TableContents"/>
              <w:bidi w:val="0"/>
              <w:spacing w:before="0" w:after="283"/>
              <w:jc w:val="left"/>
              <w:rPr/>
            </w:pPr>
            <w:r>
              <w:rPr/>
              <w:t> </w:t>
            </w:r>
          </w:p>
        </w:tc>
      </w:tr>
      <w:tr>
        <w:trPr/>
        <w:tc>
          <w:tcPr>
            <w:tcW w:w="6200" w:type="dxa"/>
            <w:tcBorders/>
            <w:shd w:fill="EEEEEE" w:val="clear"/>
            <w:vAlign w:val="center"/>
          </w:tcPr>
          <w:p>
            <w:pPr>
              <w:pStyle w:val="TableContents"/>
              <w:bidi w:val="0"/>
              <w:spacing w:before="0" w:after="283"/>
              <w:jc w:val="left"/>
              <w:rPr>
                <w:sz w:val="20"/>
              </w:rPr>
            </w:pPr>
            <w:r>
              <w:rPr>
                <w:sz w:val="20"/>
              </w:rPr>
              <w:t>Balance as of June 30, 2025</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84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Initial fair value upon issuance of convertible notes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1,999,600</w:t>
            </w:r>
          </w:p>
        </w:tc>
        <w:tc>
          <w:tcPr>
            <w:tcW w:w="95" w:type="dxa"/>
            <w:tcBorders/>
            <w:shd w:fill="FFFFFF" w:val="clear"/>
            <w:vAlign w:val="center"/>
          </w:tcPr>
          <w:p>
            <w:pPr>
              <w:pStyle w:val="TableContents"/>
              <w:bidi w:val="0"/>
              <w:spacing w:before="0" w:after="283"/>
              <w:jc w:val="left"/>
              <w:rPr/>
            </w:pPr>
            <w:r>
              <w:rPr/>
              <w:t> </w:t>
            </w:r>
          </w:p>
        </w:tc>
      </w:tr>
      <w:tr>
        <w:trPr/>
        <w:tc>
          <w:tcPr>
            <w:tcW w:w="6200" w:type="dxa"/>
            <w:tcBorders/>
            <w:shd w:fill="EEEEEE" w:val="clear"/>
            <w:vAlign w:val="center"/>
          </w:tcPr>
          <w:p>
            <w:pPr>
              <w:pStyle w:val="TableContents"/>
              <w:bidi w:val="0"/>
              <w:spacing w:before="0" w:after="283"/>
              <w:jc w:val="left"/>
              <w:rPr>
                <w:sz w:val="20"/>
              </w:rPr>
            </w:pPr>
            <w:r>
              <w:rPr>
                <w:sz w:val="20"/>
              </w:rPr>
              <w:t>Extinguishment of derivative liability upon conversion of convertible notes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845" w:type="dxa"/>
            <w:tcBorders/>
            <w:shd w:fill="EEEEEE" w:val="clear"/>
            <w:vAlign w:val="center"/>
          </w:tcPr>
          <w:p>
            <w:pPr>
              <w:pStyle w:val="TableContents"/>
              <w:bidi w:val="0"/>
              <w:spacing w:before="0" w:after="283"/>
              <w:jc w:val="right"/>
              <w:rPr>
                <w:sz w:val="20"/>
              </w:rPr>
            </w:pPr>
            <w:r>
              <w:rPr>
                <w:sz w:val="20"/>
              </w:rPr>
              <w:t>(468,800</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6200" w:type="dxa"/>
            <w:tcBorders/>
            <w:shd w:fill="FFFFFF" w:val="clear"/>
            <w:vAlign w:val="center"/>
          </w:tcPr>
          <w:p>
            <w:pPr>
              <w:pStyle w:val="TableContents"/>
              <w:bidi w:val="0"/>
              <w:spacing w:before="0" w:after="283"/>
              <w:jc w:val="left"/>
              <w:rPr>
                <w:sz w:val="20"/>
              </w:rPr>
            </w:pPr>
            <w:r>
              <w:rPr>
                <w:sz w:val="20"/>
              </w:rPr>
              <w:t>Gain on 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(266,200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00" w:type="dxa"/>
            <w:tcBorders/>
            <w:shd w:fill="EEEEEE" w:val="clear"/>
            <w:vAlign w:val="center"/>
          </w:tcPr>
          <w:p>
            <w:pPr>
              <w:pStyle w:val="TableContents"/>
              <w:bidi w:val="0"/>
              <w:spacing w:before="0" w:after="283"/>
              <w:jc w:val="left"/>
              <w:rPr>
                <w:sz w:val="20"/>
              </w:rPr>
            </w:pPr>
            <w:r>
              <w:rPr>
                <w:sz w:val="20"/>
              </w:rPr>
              <w:t>Balance as of March 31, 2026</w:t>
            </w:r>
          </w:p>
        </w:tc>
        <w:tc>
          <w:tcPr>
            <w:tcW w:w="60" w:type="dxa"/>
            <w:tcBorders/>
            <w:shd w:fill="EEEEEE" w:val="clear"/>
            <w:vAlign w:val="center"/>
          </w:tcPr>
          <w:p>
            <w:pPr>
              <w:pStyle w:val="TableContents"/>
              <w:bidi w:val="0"/>
              <w:spacing w:before="0" w:after="283"/>
              <w:jc w:val="left"/>
              <w:rPr/>
            </w:pPr>
            <w:r>
              <w:rPr/>
              <w:t> </w:t>
            </w:r>
          </w:p>
        </w:tc>
        <w:tc>
          <w:tcPr>
            <w:tcW w:w="125"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1,264,600</w:t>
            </w:r>
          </w:p>
        </w:tc>
        <w:tc>
          <w:tcPr>
            <w:tcW w:w="95" w:type="dxa"/>
            <w:tcBorders/>
            <w:shd w:fill="EEEEEE"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 net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Finite life intangible assets at March 31, 2026 include a covenant not to compete, supplier relationships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3175" w:type="dxa"/>
        <w:jc w:val="left"/>
        <w:tblInd w:w="0" w:type="dxa"/>
        <w:shd w:fill="FFFFFF" w:val="clear"/>
        <w:tblLayout w:type="fixed"/>
        <w:tblCellMar>
          <w:top w:w="0" w:type="dxa"/>
          <w:left w:w="0" w:type="dxa"/>
          <w:bottom w:w="0" w:type="dxa"/>
          <w:right w:w="0" w:type="dxa"/>
        </w:tblCellMar>
      </w:tblPr>
      <w:tblGrid>
        <w:gridCol w:w="2165"/>
        <w:gridCol w:w="60"/>
        <w:gridCol w:w="950"/>
      </w:tblGrid>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Useful Life</w:t>
            </w:r>
          </w:p>
        </w:tc>
      </w:tr>
      <w:tr>
        <w:trPr/>
        <w:tc>
          <w:tcPr>
            <w:tcW w:w="2165" w:type="dxa"/>
            <w:tcBorders/>
            <w:shd w:fill="EEEEEE" w:val="clear"/>
            <w:vAlign w:val="center"/>
          </w:tcPr>
          <w:p>
            <w:pPr>
              <w:pStyle w:val="TableContents"/>
              <w:bidi w:val="0"/>
              <w:spacing w:before="0" w:after="283"/>
              <w:jc w:val="left"/>
              <w:rPr>
                <w:sz w:val="20"/>
              </w:rPr>
            </w:pPr>
            <w:r>
              <w:rPr>
                <w:sz w:val="20"/>
              </w:rPr>
              <w:t>Covenant Not to Compete</w:t>
            </w:r>
          </w:p>
        </w:tc>
        <w:tc>
          <w:tcPr>
            <w:tcW w:w="60"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center"/>
              <w:rPr>
                <w:sz w:val="20"/>
              </w:rPr>
            </w:pPr>
            <w:r>
              <w:rPr>
                <w:sz w:val="20"/>
              </w:rPr>
              <w:t>10 years</w:t>
            </w:r>
          </w:p>
        </w:tc>
      </w:tr>
      <w:tr>
        <w:trPr/>
        <w:tc>
          <w:tcPr>
            <w:tcW w:w="2165" w:type="dxa"/>
            <w:tcBorders/>
            <w:shd w:fill="FFFFFF" w:val="clear"/>
            <w:vAlign w:val="center"/>
          </w:tcPr>
          <w:p>
            <w:pPr>
              <w:pStyle w:val="TableContents"/>
              <w:bidi w:val="0"/>
              <w:spacing w:before="0" w:after="283"/>
              <w:jc w:val="left"/>
              <w:rPr>
                <w:sz w:val="20"/>
              </w:rPr>
            </w:pPr>
            <w:r>
              <w:rPr>
                <w:sz w:val="20"/>
              </w:rPr>
              <w:t>Supplier relationship</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sz w:val="20"/>
              </w:rPr>
            </w:pPr>
            <w:r>
              <w:rPr>
                <w:sz w:val="20"/>
              </w:rPr>
              <w:t>6 years</w:t>
            </w:r>
          </w:p>
        </w:tc>
      </w:tr>
      <w:tr>
        <w:trPr/>
        <w:tc>
          <w:tcPr>
            <w:tcW w:w="2165" w:type="dxa"/>
            <w:tcBorders/>
            <w:shd w:fill="EEEEEE" w:val="clear"/>
            <w:vAlign w:val="center"/>
          </w:tcPr>
          <w:p>
            <w:pPr>
              <w:pStyle w:val="TableContents"/>
              <w:bidi w:val="0"/>
              <w:spacing w:before="0" w:after="283"/>
              <w:jc w:val="left"/>
              <w:rPr>
                <w:sz w:val="20"/>
              </w:rPr>
            </w:pPr>
            <w:r>
              <w:rPr>
                <w:sz w:val="20"/>
              </w:rPr>
              <w:t>Software</w:t>
            </w:r>
          </w:p>
        </w:tc>
        <w:tc>
          <w:tcPr>
            <w:tcW w:w="60"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center"/>
              <w:rPr>
                <w:sz w:val="20"/>
              </w:rPr>
            </w:pPr>
            <w:r>
              <w:rPr>
                <w:sz w:val="20"/>
              </w:rPr>
              <w:t>5 years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The Company did not record any impairment charge for the nine months ended March 31, 2026 and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forfeitures of such equity-based compensation as they occur.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A valuation allowance must be established for deferred tax assets when it is more-likely-than-not (a probability level of more than 50%) that they will not be realized. Valuation allowances are recorded, when necessary, to reduce deferred tax assets to the amount expected to be realized.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pronouncements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set forth under Note 2 to the unaudited condensed consolidated financial statements under “Recently issued accounting pronouncements,” the Company does not believe other recently issued but not yet effective accounting standards, if currently adopted, would have a material effect on the consolidated financial position, statements of operations and cash flows.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999" w:name="q3_008"/>
      <w:bookmarkEnd w:id="999"/>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1000" w:name="q3_009"/>
      <w:bookmarkEnd w:id="1000"/>
      <w:r>
        <w:rPr>
          <w:rFonts w:ascii="Times New Roman;Times;Serif" w:hAnsi="Times New Roman;Times;Serif"/>
          <w:b/>
          <w:i w:val="false"/>
          <w:caps w:val="false"/>
          <w:smallCaps w:val="false"/>
          <w:sz w:val="20"/>
        </w:rPr>
        <w:t>ITEM 4.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Evaluation of Disclosure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Interim Chief Financial Officer, to allow for timely decisions regarding required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management carried out an evaluation, under the supervision and with the participation of our Chief Executive Officer and Interim Chief Financial Officer, of the effectiveness of the design and operation of our disclosure controls and procedures. Based on the foregoing, our management concluded that our internal controls over financial reporting were not effective because, among other things,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in Internal Controls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controls over financial reporting that occurred during the quarter ended March 31, 2026, that have materially affected, or are reasonably likely to materially affect, our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01" w:name="q3_010"/>
      <w:bookmarkEnd w:id="1001"/>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2" w:name="q3_011"/>
      <w:bookmarkEnd w:id="100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not presently party to any pending or threatened legal proceedings or claims that we believe will have a material adverse effect on our business, financial condition, or operating results, although from time to time, we may become involved in legal proceedings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3" w:name="q3_012"/>
      <w:bookmarkEnd w:id="1003"/>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refer to Part I, Item 1A, Risk Factors, of our Annual Report on Form 10-K for the year ended June 30, </w:t>
      </w:r>
      <w:r>
        <w:rPr>
          <w:rFonts w:ascii="Times New Roman;Times;Serif" w:hAnsi="Times New Roman;Times;Serif"/>
          <w:b w:val="false"/>
          <w:i w:val="false"/>
          <w:caps w:val="false"/>
          <w:smallCaps w:val="false"/>
          <w:sz w:val="20"/>
        </w:rPr>
        <w:t>2025 for a detailed description of our significant risk factors. As of March 31, 2026, there have been no material changes from those risk factors disclosed in our Annual Report on Form 10-K for the year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4" w:name="q3_013"/>
      <w:bookmarkEnd w:id="1004"/>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other than as previously reported in the Company’s Current Reports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5" w:name="q3_014"/>
      <w:bookmarkEnd w:id="1005"/>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6" w:name="q3_015"/>
      <w:bookmarkEnd w:id="1006"/>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7" w:name="q3_016"/>
      <w:bookmarkEnd w:id="1007"/>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10b5-1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our fiscal quarter ended March 31, 2026, none of our directors or officers informed us of the </w:t>
      </w:r>
      <w:bookmarkStart w:id="1008" w:name="xdx_907_eecd--NonRule10b51ArrAdoptedFlag"/>
      <w:bookmarkStart w:id="1009" w:name="xdx_90B_eecd--Rule10b51ArrAdoptedFlag_db"/>
      <w:bookmarkEnd w:id="1008"/>
      <w:bookmarkEnd w:id="1009"/>
      <w:r>
        <w:rPr>
          <w:rFonts w:ascii="Times New Roman;Times;Serif" w:hAnsi="Times New Roman;Times;Serif"/>
          <w:b w:val="false"/>
          <w:i w:val="false"/>
          <w:caps w:val="false"/>
          <w:smallCaps w:val="false"/>
          <w:sz w:val="20"/>
        </w:rPr>
        <w:t xml:space="preserve">adoption or </w:t>
      </w:r>
      <w:bookmarkStart w:id="1010" w:name="xdx_903_eecd--NonRule10b51ArrTrmntdFlag_"/>
      <w:bookmarkStart w:id="1011" w:name="xdx_906_eecd--Rule10b51ArrTrmntdFlag_dbF"/>
      <w:bookmarkEnd w:id="1010"/>
      <w:bookmarkEnd w:id="1011"/>
      <w:r>
        <w:rPr>
          <w:rFonts w:ascii="Times New Roman;Times;Serif" w:hAnsi="Times New Roman;Times;Serif"/>
          <w:b w:val="false"/>
          <w:i w:val="false"/>
          <w:caps w:val="false"/>
          <w:smallCaps w:val="false"/>
          <w:sz w:val="20"/>
        </w:rPr>
        <w:t>termination of a “Rule 10b5-1 trading arrangement” or “non-Rule 10b5-1 trading arrangement” as those terms are defined in Item 408(a)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2" w:name="q3_017"/>
      <w:bookmarkEnd w:id="1012"/>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or furnished with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2"/>
        <w:gridCol w:w="60"/>
        <w:gridCol w:w="9343"/>
      </w:tblGrid>
      <w:tr>
        <w:trPr/>
        <w:tc>
          <w:tcPr>
            <w:tcW w:w="802"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43" w:type="dxa"/>
            <w:tcBorders>
              <w:bottom w:val="single" w:sz="8" w:space="0" w:color="000000"/>
            </w:tcBorders>
            <w:vAlign w:val="center"/>
          </w:tcPr>
          <w:p>
            <w:pPr>
              <w:pStyle w:val="TableContents"/>
              <w:bidi w:val="0"/>
              <w:spacing w:before="0" w:after="283"/>
              <w:jc w:val="both"/>
              <w:rPr>
                <w:b/>
                <w:sz w:val="20"/>
              </w:rPr>
            </w:pPr>
            <w:r>
              <w:rPr>
                <w:b/>
                <w:sz w:val="20"/>
              </w:rPr>
              <w:t>Description of Exhibit</w:t>
            </w:r>
          </w:p>
        </w:tc>
      </w:tr>
      <w:tr>
        <w:trPr/>
        <w:tc>
          <w:tcPr>
            <w:tcW w:w="802" w:type="dxa"/>
            <w:tcBorders/>
            <w:tcMar>
              <w:bottom w:w="0" w:type="dxa"/>
            </w:tcMar>
            <w:vAlign w:val="center"/>
          </w:tcPr>
          <w:p>
            <w:pPr>
              <w:pStyle w:val="TableContents"/>
              <w:bidi w:val="0"/>
              <w:spacing w:before="0" w:after="283"/>
              <w:jc w:val="left"/>
              <w:rPr>
                <w:sz w:val="20"/>
              </w:rPr>
            </w:pPr>
            <w:r>
              <w:rPr>
                <w:sz w:val="20"/>
              </w:rPr>
              <w:t>3.1</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2">
              <w:r>
                <w:rPr>
                  <w:rStyle w:val="InternetLink"/>
                  <w:sz w:val="20"/>
                </w:rPr>
                <w:t>Sixth Amended and Restated Articles of Incorporation of iPower Inc.</w:t>
              </w:r>
            </w:hyperlink>
            <w:r>
              <w:rPr>
                <w:sz w:val="20"/>
              </w:rPr>
              <w:t xml:space="preserve"> (incorporated by reference to Exhibit 3.3 to Amendment No. 3 to the Registration Statement on Form S-1 filed May 5, 2021).</w:t>
            </w:r>
          </w:p>
        </w:tc>
      </w:tr>
      <w:tr>
        <w:trPr/>
        <w:tc>
          <w:tcPr>
            <w:tcW w:w="802" w:type="dxa"/>
            <w:tcBorders/>
            <w:tcMar>
              <w:bottom w:w="0" w:type="dxa"/>
            </w:tcMar>
            <w:vAlign w:val="center"/>
          </w:tcPr>
          <w:p>
            <w:pPr>
              <w:pStyle w:val="TableContents"/>
              <w:bidi w:val="0"/>
              <w:spacing w:before="0" w:after="283"/>
              <w:jc w:val="left"/>
              <w:rPr>
                <w:sz w:val="20"/>
              </w:rPr>
            </w:pPr>
            <w:r>
              <w:rPr>
                <w:sz w:val="20"/>
              </w:rPr>
              <w:t>3.2</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3">
              <w:r>
                <w:rPr>
                  <w:rStyle w:val="InternetLink"/>
                  <w:sz w:val="20"/>
                </w:rPr>
                <w:t>Amendment to Articles of Incorporation</w:t>
              </w:r>
            </w:hyperlink>
            <w:r>
              <w:rPr>
                <w:sz w:val="20"/>
              </w:rPr>
              <w:t xml:space="preserve"> (incorporated by reference to Exhibit 3.1 to the Current Report on Form 8-K filed October 21, 2025).</w:t>
            </w:r>
          </w:p>
        </w:tc>
      </w:tr>
      <w:tr>
        <w:trPr/>
        <w:tc>
          <w:tcPr>
            <w:tcW w:w="802" w:type="dxa"/>
            <w:tcBorders/>
            <w:tcMar>
              <w:bottom w:w="0" w:type="dxa"/>
            </w:tcMar>
            <w:vAlign w:val="center"/>
          </w:tcPr>
          <w:p>
            <w:pPr>
              <w:pStyle w:val="TableContents"/>
              <w:bidi w:val="0"/>
              <w:spacing w:before="0" w:after="283"/>
              <w:jc w:val="left"/>
              <w:rPr>
                <w:sz w:val="20"/>
              </w:rPr>
            </w:pPr>
            <w:r>
              <w:rPr>
                <w:sz w:val="20"/>
              </w:rPr>
              <w:t>3.3</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4">
              <w:r>
                <w:rPr>
                  <w:rStyle w:val="InternetLink"/>
                  <w:sz w:val="20"/>
                </w:rPr>
                <w:t>Third Amended and Restated Bylaws of iPower Inc.</w:t>
              </w:r>
            </w:hyperlink>
            <w:r>
              <w:rPr>
                <w:sz w:val="20"/>
              </w:rPr>
              <w:t xml:space="preserve"> (incorporated by reference to Exhibit 3.1 to the Current Report on Form 8-K filed on June 11, 2025).</w:t>
            </w:r>
          </w:p>
        </w:tc>
      </w:tr>
      <w:tr>
        <w:trPr/>
        <w:tc>
          <w:tcPr>
            <w:tcW w:w="802" w:type="dxa"/>
            <w:tcBorders/>
            <w:tcMar>
              <w:bottom w:w="0" w:type="dxa"/>
            </w:tcMar>
            <w:vAlign w:val="center"/>
          </w:tcPr>
          <w:p>
            <w:pPr>
              <w:pStyle w:val="TableContents"/>
              <w:bidi w:val="0"/>
              <w:spacing w:before="0" w:after="283"/>
              <w:jc w:val="left"/>
              <w:rPr>
                <w:sz w:val="20"/>
              </w:rPr>
            </w:pPr>
            <w:r>
              <w:rPr>
                <w:sz w:val="20"/>
              </w:rPr>
              <w:t>4.1</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5">
              <w:r>
                <w:rPr>
                  <w:rStyle w:val="InternetLink"/>
                  <w:sz w:val="20"/>
                </w:rPr>
                <w:t>Form of Series A Senior Secured Convertible Notes</w:t>
              </w:r>
            </w:hyperlink>
            <w:r>
              <w:rPr>
                <w:sz w:val="20"/>
              </w:rPr>
              <w:t xml:space="preserve"> (incorporated by reference to Exhibit 4.1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sz w:val="20"/>
              </w:rPr>
            </w:pPr>
            <w:r>
              <w:rPr>
                <w:sz w:val="20"/>
              </w:rPr>
              <w:t>4.2</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6">
              <w:r>
                <w:rPr>
                  <w:rStyle w:val="InternetLink"/>
                  <w:sz w:val="20"/>
                </w:rPr>
                <w:t>Form of Series B Senior Secured Convertible Notes</w:t>
              </w:r>
            </w:hyperlink>
            <w:r>
              <w:rPr>
                <w:sz w:val="20"/>
              </w:rPr>
              <w:t xml:space="preserve"> (incorporated by reference to Exhibit 4.2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pPr>
            <w:r>
              <w:rPr/>
              <w:t>4.3</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7">
              <w:r>
                <w:rPr>
                  <w:rStyle w:val="InternetLink"/>
                </w:rPr>
                <w:t>Form of Series A Convertible Note</w:t>
              </w:r>
            </w:hyperlink>
            <w:r>
              <w:rPr/>
              <w:t xml:space="preserve"> (incorporated by reference to Exhibit 10.1 to the Current Report dated February 10, 2026).</w:t>
            </w:r>
          </w:p>
        </w:tc>
      </w:tr>
      <w:tr>
        <w:trPr/>
        <w:tc>
          <w:tcPr>
            <w:tcW w:w="802" w:type="dxa"/>
            <w:tcBorders/>
            <w:tcMar>
              <w:bottom w:w="0" w:type="dxa"/>
            </w:tcMar>
            <w:vAlign w:val="center"/>
          </w:tcPr>
          <w:p>
            <w:pPr>
              <w:pStyle w:val="TableContents"/>
              <w:bidi w:val="0"/>
              <w:spacing w:before="0" w:after="283"/>
              <w:jc w:val="left"/>
              <w:rPr/>
            </w:pPr>
            <w:r>
              <w:rPr/>
              <w:t>4.4</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8">
              <w:r>
                <w:rPr>
                  <w:rStyle w:val="InternetLink"/>
                </w:rPr>
                <w:t>Form of Series A Convertible Note</w:t>
              </w:r>
            </w:hyperlink>
            <w:r>
              <w:rPr/>
              <w:t xml:space="preserve"> (incorporated by reference to Exhibit 10.1 to the Current Report on Form 8-K dated May 19, 2026).</w:t>
            </w:r>
          </w:p>
        </w:tc>
      </w:tr>
      <w:tr>
        <w:trPr/>
        <w:tc>
          <w:tcPr>
            <w:tcW w:w="802"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9">
              <w:r>
                <w:rPr>
                  <w:rStyle w:val="InternetLink"/>
                  <w:sz w:val="20"/>
                </w:rPr>
                <w:t>Form of Promissory Note</w:t>
              </w:r>
            </w:hyperlink>
            <w:r>
              <w:rPr>
                <w:sz w:val="20"/>
              </w:rPr>
              <w:t xml:space="preserve"> (portions of this exhibit have been omitted due to confidentiality in accordance with Item 601(b)(2)(ii) of Regulation S-K) (incorporated by reference to Exhibit 10.1 to the Current Report on Form 8-K filed on December 1, 2025).</w:t>
            </w:r>
          </w:p>
        </w:tc>
      </w:tr>
      <w:tr>
        <w:trPr/>
        <w:tc>
          <w:tcPr>
            <w:tcW w:w="802" w:type="dxa"/>
            <w:tcBorders/>
            <w:tcMar>
              <w:bottom w:w="0" w:type="dxa"/>
            </w:tcMar>
            <w:vAlign w:val="center"/>
          </w:tcPr>
          <w:p>
            <w:pPr>
              <w:pStyle w:val="TableContents"/>
              <w:bidi w:val="0"/>
              <w:spacing w:before="0" w:after="283"/>
              <w:jc w:val="left"/>
              <w:rPr>
                <w:sz w:val="20"/>
              </w:rPr>
            </w:pPr>
            <w:r>
              <w:rPr>
                <w:sz w:val="20"/>
              </w:rPr>
              <w:t>10.2</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10">
              <w:r>
                <w:rPr>
                  <w:rStyle w:val="InternetLink"/>
                  <w:sz w:val="20"/>
                </w:rPr>
                <w:t>Form of Securities Purchase Agreement, dated December 22, 2025, between iPower Inc. and the Investor</w:t>
              </w:r>
            </w:hyperlink>
            <w:r>
              <w:rPr>
                <w:sz w:val="20"/>
              </w:rPr>
              <w:t xml:space="preserve"> (incorporated by reference to Exhibit 10.1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sz w:val="20"/>
              </w:rPr>
            </w:pPr>
            <w:r>
              <w:rPr>
                <w:sz w:val="20"/>
              </w:rPr>
              <w:t>10.3</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11">
              <w:r>
                <w:rPr>
                  <w:rStyle w:val="InternetLink"/>
                  <w:sz w:val="20"/>
                </w:rPr>
                <w:t>Form of Security and Pledge Agreement</w:t>
              </w:r>
            </w:hyperlink>
            <w:r>
              <w:rPr>
                <w:sz w:val="20"/>
              </w:rPr>
              <w:t xml:space="preserve"> (incorporated by reference to Exhibit 10.2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12">
              <w:r>
                <w:rPr>
                  <w:rStyle w:val="InternetLink"/>
                  <w:sz w:val="20"/>
                </w:rPr>
                <w:t>Form of Guaranty</w:t>
              </w:r>
            </w:hyperlink>
            <w:r>
              <w:rPr>
                <w:sz w:val="20"/>
              </w:rPr>
              <w:t xml:space="preserve"> (incorporated by reference to Exhibit 10.3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sz w:val="20"/>
              </w:rPr>
            </w:pPr>
            <w:r>
              <w:rPr>
                <w:sz w:val="20"/>
              </w:rPr>
              <w:t>10.5</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13">
              <w:r>
                <w:rPr>
                  <w:rStyle w:val="InternetLink"/>
                  <w:sz w:val="20"/>
                </w:rPr>
                <w:t>Form of Registration Rights Agreement</w:t>
              </w:r>
            </w:hyperlink>
            <w:r>
              <w:rPr>
                <w:sz w:val="20"/>
              </w:rPr>
              <w:t xml:space="preserve"> (incorporated by reference to Exhibit 10.4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sz w:val="20"/>
              </w:rPr>
            </w:pPr>
            <w:r>
              <w:rPr>
                <w:sz w:val="20"/>
              </w:rPr>
              <w:t>10.6</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14">
              <w:r>
                <w:rPr>
                  <w:rStyle w:val="InternetLink"/>
                  <w:sz w:val="20"/>
                </w:rPr>
                <w:t>Addendum to Promissory Note, by and between iPower Inc. and ETTS AI Investment LLC, dated March 26, 2026</w:t>
              </w:r>
            </w:hyperlink>
            <w:r>
              <w:rPr>
                <w:sz w:val="20"/>
              </w:rPr>
              <w:t xml:space="preserve"> (incorporated by reference to Exhibit 10.1 to the Current Report on Form 8-K filed on March 31, 2026).</w:t>
            </w:r>
          </w:p>
        </w:tc>
      </w:tr>
      <w:tr>
        <w:trPr/>
        <w:tc>
          <w:tcPr>
            <w:tcW w:w="802" w:type="dxa"/>
            <w:tcBorders/>
            <w:tcMar>
              <w:bottom w:w="0" w:type="dxa"/>
            </w:tcMar>
            <w:vAlign w:val="center"/>
          </w:tcPr>
          <w:p>
            <w:pPr>
              <w:pStyle w:val="TableContents"/>
              <w:bidi w:val="0"/>
              <w:spacing w:before="0" w:after="283"/>
              <w:jc w:val="left"/>
              <w:rPr>
                <w:sz w:val="20"/>
              </w:rPr>
            </w:pPr>
            <w:r>
              <w:rPr>
                <w:sz w:val="20"/>
              </w:rPr>
              <w:t>10.7</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15">
              <w:r>
                <w:rPr>
                  <w:rStyle w:val="InternetLink"/>
                  <w:sz w:val="20"/>
                </w:rPr>
                <w:t>Sublease Agreement, dated April 2, 2026, between iPower Inc. and Dezheng Logistics Inc.</w:t>
              </w:r>
            </w:hyperlink>
            <w:r>
              <w:rPr>
                <w:sz w:val="20"/>
              </w:rPr>
              <w:t xml:space="preserve"> (incorporated by reference to Exhibit 10.1 to the Current Report on Form 8-K filed on April 17, 2026).</w:t>
            </w:r>
          </w:p>
        </w:tc>
      </w:tr>
      <w:tr>
        <w:trPr/>
        <w:tc>
          <w:tcPr>
            <w:tcW w:w="802" w:type="dxa"/>
            <w:tcBorders/>
            <w:tcMar>
              <w:bottom w:w="0" w:type="dxa"/>
            </w:tcMar>
            <w:vAlign w:val="center"/>
          </w:tcPr>
          <w:p>
            <w:pPr>
              <w:pStyle w:val="TableContents"/>
              <w:bidi w:val="0"/>
              <w:spacing w:before="0" w:after="283"/>
              <w:jc w:val="left"/>
              <w:rPr>
                <w:sz w:val="20"/>
              </w:rPr>
            </w:pPr>
            <w:r>
              <w:rPr>
                <w:sz w:val="20"/>
              </w:rPr>
              <w:t>10.8</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16">
              <w:r>
                <w:rPr>
                  <w:rStyle w:val="InternetLink"/>
                  <w:sz w:val="20"/>
                </w:rPr>
                <w:t>iPower Inc. Second Amended and Restated 2020 Equity Incentive Plan</w:t>
              </w:r>
            </w:hyperlink>
            <w:r>
              <w:rPr>
                <w:sz w:val="20"/>
              </w:rPr>
              <w:t xml:space="preserve"> (incorporated by reference to Exhibit 99.1 to the Registration Statement on Form S-8 filed on April 17, 2026).</w:t>
            </w:r>
          </w:p>
        </w:tc>
      </w:tr>
      <w:tr>
        <w:trPr/>
        <w:tc>
          <w:tcPr>
            <w:tcW w:w="802" w:type="dxa"/>
            <w:tcBorders/>
            <w:tcMar>
              <w:bottom w:w="0" w:type="dxa"/>
            </w:tcMar>
            <w:vAlign w:val="center"/>
          </w:tcPr>
          <w:p>
            <w:pPr>
              <w:pStyle w:val="TableContents"/>
              <w:bidi w:val="0"/>
              <w:spacing w:before="0" w:after="283"/>
              <w:jc w:val="left"/>
              <w:rPr>
                <w:sz w:val="20"/>
              </w:rPr>
            </w:pPr>
            <w:r>
              <w:rPr>
                <w:sz w:val="20"/>
              </w:rPr>
              <w:t>31.1</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w:anchor="ipower_ex3101.htm">
              <w:r>
                <w:rPr>
                  <w:rStyle w:val="InternetLink"/>
                  <w:sz w:val="20"/>
                </w:rPr>
                <w:t>Certification of Chief Executive Officer pursuant to Section 302 of the Sarbanes-Oxley Act of 2002</w:t>
              </w:r>
            </w:hyperlink>
            <w:r>
              <w:rPr>
                <w:sz w:val="20"/>
              </w:rPr>
              <w:t xml:space="preserve"> *</w:t>
            </w:r>
          </w:p>
        </w:tc>
      </w:tr>
      <w:tr>
        <w:trPr/>
        <w:tc>
          <w:tcPr>
            <w:tcW w:w="802" w:type="dxa"/>
            <w:tcBorders/>
            <w:tcMar>
              <w:bottom w:w="0" w:type="dxa"/>
            </w:tcMar>
            <w:vAlign w:val="center"/>
          </w:tcPr>
          <w:p>
            <w:pPr>
              <w:pStyle w:val="TableContents"/>
              <w:bidi w:val="0"/>
              <w:spacing w:before="0" w:after="283"/>
              <w:jc w:val="left"/>
              <w:rPr>
                <w:sz w:val="20"/>
              </w:rPr>
            </w:pPr>
            <w:r>
              <w:rPr>
                <w:sz w:val="20"/>
              </w:rPr>
              <w:t>31.2</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w:anchor="ipower_ex3102.htm">
              <w:r>
                <w:rPr>
                  <w:rStyle w:val="InternetLink"/>
                  <w:sz w:val="20"/>
                </w:rPr>
                <w:t>Certification of Chief Financial Officer pursuant to Section 302 of the Sarbanes-Oxley Act of 2002</w:t>
              </w:r>
            </w:hyperlink>
            <w:r>
              <w:rPr>
                <w:sz w:val="20"/>
              </w:rPr>
              <w:t xml:space="preserve"> *</w:t>
            </w:r>
          </w:p>
        </w:tc>
      </w:tr>
      <w:tr>
        <w:trPr/>
        <w:tc>
          <w:tcPr>
            <w:tcW w:w="802" w:type="dxa"/>
            <w:tcBorders/>
            <w:tcMar>
              <w:bottom w:w="0" w:type="dxa"/>
            </w:tcMar>
            <w:vAlign w:val="center"/>
          </w:tcPr>
          <w:p>
            <w:pPr>
              <w:pStyle w:val="TableContents"/>
              <w:bidi w:val="0"/>
              <w:spacing w:before="0" w:after="283"/>
              <w:jc w:val="left"/>
              <w:rPr>
                <w:sz w:val="20"/>
              </w:rPr>
            </w:pPr>
            <w:r>
              <w:rPr>
                <w:sz w:val="20"/>
              </w:rPr>
              <w:t>32</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w:anchor="ipower_ex3200.htm">
              <w:r>
                <w:rPr>
                  <w:rStyle w:val="InternetLink"/>
                  <w:sz w:val="20"/>
                </w:rPr>
                <w:t>Certification of Chief Executive Officer and Chief Financial Officer Pursuant to 18 U.S.C. Section 1350, As Adopted Pursuant to Section 906 of the Sarbanes-Oxley Act of 2002</w:t>
              </w:r>
            </w:hyperlink>
            <w:r>
              <w:rPr>
                <w:sz w:val="20"/>
              </w:rPr>
              <w:t xml:space="preserve"> **</w:t>
            </w:r>
          </w:p>
        </w:tc>
      </w:tr>
      <w:tr>
        <w:trPr/>
        <w:tc>
          <w:tcPr>
            <w:tcW w:w="802" w:type="dxa"/>
            <w:tcBorders/>
            <w:tcMar>
              <w:bottom w:w="0" w:type="dxa"/>
            </w:tcMar>
            <w:vAlign w:val="center"/>
          </w:tcPr>
          <w:p>
            <w:pPr>
              <w:pStyle w:val="TableContents"/>
              <w:bidi w:val="0"/>
              <w:spacing w:before="0" w:after="283"/>
              <w:jc w:val="left"/>
              <w:rPr>
                <w:sz w:val="20"/>
              </w:rPr>
            </w:pPr>
            <w:r>
              <w:rPr>
                <w:sz w:val="20"/>
              </w:rPr>
              <w:t>101.INS</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Instance Document - the instance document does not appear in the Interactive Data File because XBRL tags are embedded within the Inline XBRL document</w:t>
            </w:r>
          </w:p>
        </w:tc>
      </w:tr>
      <w:tr>
        <w:trPr/>
        <w:tc>
          <w:tcPr>
            <w:tcW w:w="802" w:type="dxa"/>
            <w:tcBorders/>
            <w:tcMar>
              <w:bottom w:w="0" w:type="dxa"/>
            </w:tcMar>
            <w:vAlign w:val="center"/>
          </w:tcPr>
          <w:p>
            <w:pPr>
              <w:pStyle w:val="TableContents"/>
              <w:bidi w:val="0"/>
              <w:spacing w:before="0" w:after="283"/>
              <w:jc w:val="left"/>
              <w:rPr>
                <w:sz w:val="20"/>
              </w:rPr>
            </w:pPr>
            <w:r>
              <w:rPr>
                <w:sz w:val="20"/>
              </w:rPr>
              <w:t>101.SCH</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Taxonomy Schema Document</w:t>
            </w:r>
          </w:p>
        </w:tc>
      </w:tr>
      <w:tr>
        <w:trPr/>
        <w:tc>
          <w:tcPr>
            <w:tcW w:w="802" w:type="dxa"/>
            <w:tcBorders/>
            <w:tcMar>
              <w:bottom w:w="0" w:type="dxa"/>
            </w:tcMar>
            <w:vAlign w:val="center"/>
          </w:tcPr>
          <w:p>
            <w:pPr>
              <w:pStyle w:val="TableContents"/>
              <w:bidi w:val="0"/>
              <w:spacing w:before="0" w:after="283"/>
              <w:jc w:val="left"/>
              <w:rPr>
                <w:sz w:val="20"/>
              </w:rPr>
            </w:pPr>
            <w:r>
              <w:rPr>
                <w:sz w:val="20"/>
              </w:rPr>
              <w:t>101.CAL</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Taxonomy Calculation Linkbase Document</w:t>
            </w:r>
          </w:p>
        </w:tc>
      </w:tr>
      <w:tr>
        <w:trPr/>
        <w:tc>
          <w:tcPr>
            <w:tcW w:w="802" w:type="dxa"/>
            <w:tcBorders/>
            <w:tcMar>
              <w:bottom w:w="0" w:type="dxa"/>
            </w:tcMar>
            <w:vAlign w:val="center"/>
          </w:tcPr>
          <w:p>
            <w:pPr>
              <w:pStyle w:val="TableContents"/>
              <w:bidi w:val="0"/>
              <w:spacing w:before="0" w:after="283"/>
              <w:jc w:val="left"/>
              <w:rPr>
                <w:sz w:val="20"/>
              </w:rPr>
            </w:pPr>
            <w:r>
              <w:rPr>
                <w:sz w:val="20"/>
              </w:rPr>
              <w:t>101.DEF</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Taxonomy Definition Linkbase Data</w:t>
            </w:r>
          </w:p>
        </w:tc>
      </w:tr>
      <w:tr>
        <w:trPr/>
        <w:tc>
          <w:tcPr>
            <w:tcW w:w="802" w:type="dxa"/>
            <w:tcBorders/>
            <w:tcMar>
              <w:bottom w:w="0" w:type="dxa"/>
            </w:tcMar>
            <w:vAlign w:val="center"/>
          </w:tcPr>
          <w:p>
            <w:pPr>
              <w:pStyle w:val="TableContents"/>
              <w:bidi w:val="0"/>
              <w:spacing w:before="0" w:after="283"/>
              <w:jc w:val="left"/>
              <w:rPr>
                <w:sz w:val="20"/>
              </w:rPr>
            </w:pPr>
            <w:r>
              <w:rPr>
                <w:sz w:val="20"/>
              </w:rPr>
              <w:t>101.LAB</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Taxonomy Label Linkbase Document</w:t>
            </w:r>
          </w:p>
        </w:tc>
      </w:tr>
      <w:tr>
        <w:trPr/>
        <w:tc>
          <w:tcPr>
            <w:tcW w:w="802" w:type="dxa"/>
            <w:tcBorders/>
            <w:tcMar>
              <w:bottom w:w="0" w:type="dxa"/>
            </w:tcMar>
            <w:vAlign w:val="center"/>
          </w:tcPr>
          <w:p>
            <w:pPr>
              <w:pStyle w:val="TableContents"/>
              <w:bidi w:val="0"/>
              <w:spacing w:before="0" w:after="283"/>
              <w:jc w:val="left"/>
              <w:rPr>
                <w:sz w:val="20"/>
              </w:rPr>
            </w:pPr>
            <w:r>
              <w:rPr>
                <w:sz w:val="20"/>
              </w:rPr>
              <w:t>101.PRE</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Taxonomy Presentation Linkbase Document</w:t>
            </w:r>
          </w:p>
        </w:tc>
      </w:tr>
      <w:tr>
        <w:trPr/>
        <w:tc>
          <w:tcPr>
            <w:tcW w:w="802"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13" w:name="q3_020"/>
      <w:bookmarkEnd w:id="1013"/>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1370"/>
        <w:gridCol w:w="320"/>
        <w:gridCol w:w="5675"/>
      </w:tblGrid>
      <w:tr>
        <w:trPr/>
        <w:tc>
          <w:tcPr>
            <w:tcW w:w="1370"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b/>
                <w:sz w:val="20"/>
              </w:rPr>
            </w:pPr>
            <w:r>
              <w:rPr>
                <w:b/>
                <w:sz w:val="20"/>
              </w:rPr>
              <w:t>iPower Inc.</w:t>
            </w:r>
          </w:p>
        </w:tc>
      </w:tr>
      <w:tr>
        <w:trPr/>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May 20, 2026</w:t>
            </w:r>
          </w:p>
        </w:tc>
        <w:tc>
          <w:tcPr>
            <w:tcW w:w="320" w:type="dxa"/>
            <w:tcBorders/>
            <w:vAlign w:val="center"/>
          </w:tcPr>
          <w:p>
            <w:pPr>
              <w:pStyle w:val="TableContents"/>
              <w:bidi w:val="0"/>
              <w:spacing w:before="0" w:after="283"/>
              <w:jc w:val="left"/>
              <w:rPr>
                <w:sz w:val="20"/>
              </w:rPr>
            </w:pPr>
            <w:r>
              <w:rPr>
                <w:sz w:val="20"/>
              </w:rPr>
              <w:t>By:</w:t>
            </w:r>
          </w:p>
        </w:tc>
        <w:tc>
          <w:tcPr>
            <w:tcW w:w="567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/s/ Chenlong Tan </w:t>
            </w:r>
          </w:p>
        </w:tc>
      </w:tr>
      <w:tr>
        <w:trPr/>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center"/>
              <w:rPr>
                <w:sz w:val="20"/>
              </w:rPr>
            </w:pPr>
            <w:r>
              <w:rPr>
                <w:sz w:val="20"/>
              </w:rPr>
              <w:t xml:space="preserve">Chenlong Tan </w:t>
            </w:r>
          </w:p>
        </w:tc>
      </w:tr>
      <w:tr>
        <w:trPr/>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center"/>
              <w:rPr>
                <w:sz w:val="20"/>
              </w:rPr>
            </w:pPr>
            <w:r>
              <w:rPr>
                <w:sz w:val="20"/>
              </w:rPr>
              <w:t>Chief Executive Officer, President and Interim Chief Financial Officer</w:t>
            </w:r>
          </w:p>
        </w:tc>
      </w:tr>
      <w:tr>
        <w:trPr/>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4" w:name="ipower_ex3101.htm"/>
      <w:bookmarkStart w:id="1015" w:name="ksipower_ex3101"/>
      <w:bookmarkEnd w:id="1014"/>
      <w:bookmarkEnd w:id="1015"/>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Chenlong Tan, certify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period ended March 31, 2026 of iPower Inc. (the “registrant”);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655"/>
        <w:gridCol w:w="2360"/>
      </w:tblGrid>
      <w:tr>
        <w:trPr/>
        <w:tc>
          <w:tcPr>
            <w:tcW w:w="1655" w:type="dxa"/>
            <w:tcBorders/>
            <w:vAlign w:val="center"/>
          </w:tcPr>
          <w:p>
            <w:pPr>
              <w:pStyle w:val="TableContents"/>
              <w:bidi w:val="0"/>
              <w:spacing w:before="0" w:after="283"/>
              <w:jc w:val="left"/>
              <w:rPr>
                <w:sz w:val="20"/>
              </w:rPr>
            </w:pPr>
            <w:r>
              <w:rPr>
                <w:sz w:val="20"/>
              </w:rPr>
              <w:t>Date: May 20, 2026</w:t>
            </w:r>
          </w:p>
        </w:tc>
        <w:tc>
          <w:tcPr>
            <w:tcW w:w="23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Chenlong Tan</w:t>
            </w:r>
          </w:p>
        </w:tc>
      </w:tr>
      <w:tr>
        <w:trPr/>
        <w:tc>
          <w:tcPr>
            <w:tcW w:w="165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Chenlong Tan</w:t>
            </w:r>
          </w:p>
        </w:tc>
      </w:tr>
      <w:tr>
        <w:trPr/>
        <w:tc>
          <w:tcPr>
            <w:tcW w:w="165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6" w:name="ipower_ex3102.htm"/>
      <w:bookmarkStart w:id="1017" w:name="ksipower_ex3102"/>
      <w:bookmarkEnd w:id="1016"/>
      <w:bookmarkEnd w:id="1017"/>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Chenlong Tan,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period ended March 31, 2026 of iPower Inc.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655"/>
        <w:gridCol w:w="3650"/>
      </w:tblGrid>
      <w:tr>
        <w:trPr/>
        <w:tc>
          <w:tcPr>
            <w:tcW w:w="1655" w:type="dxa"/>
            <w:tcBorders/>
            <w:vAlign w:val="center"/>
          </w:tcPr>
          <w:p>
            <w:pPr>
              <w:pStyle w:val="TableContents"/>
              <w:bidi w:val="0"/>
              <w:spacing w:before="0" w:after="283"/>
              <w:jc w:val="left"/>
              <w:rPr>
                <w:sz w:val="20"/>
              </w:rPr>
            </w:pPr>
            <w:r>
              <w:rPr>
                <w:sz w:val="20"/>
              </w:rPr>
              <w:t>Date: May 20, 2026</w:t>
            </w:r>
          </w:p>
        </w:tc>
        <w:tc>
          <w:tcPr>
            <w:tcW w:w="36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Chenlong Tan</w:t>
            </w:r>
          </w:p>
        </w:tc>
      </w:tr>
      <w:tr>
        <w:trPr/>
        <w:tc>
          <w:tcPr>
            <w:tcW w:w="165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Chenlong Tan</w:t>
            </w:r>
          </w:p>
        </w:tc>
      </w:tr>
      <w:tr>
        <w:trPr/>
        <w:tc>
          <w:tcPr>
            <w:tcW w:w="165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8" w:name="ipower_ex3200.htm"/>
      <w:bookmarkStart w:id="1019" w:name="ksipower_ex3200"/>
      <w:bookmarkEnd w:id="1018"/>
      <w:bookmarkEnd w:id="1019"/>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iPower Inc. (the “Company”) on Form 10-Q for the period ended March 31, 2026, as filed with the Securities and Exchange Commission on the date hereof (the “Report”), I, Chenlong Tan, Chief Executive Officer and Interim Chief Financial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20, 2026</w:t>
      </w:r>
    </w:p>
    <w:p>
      <w:pPr>
        <w:pStyle w:val="TextBody"/>
        <w:bidi w:val="0"/>
        <w:spacing w:before="0" w:after="0"/>
        <w:ind w:left="0" w:right="0" w:hanging="0"/>
        <w:jc w:val="both"/>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75"/>
        <w:gridCol w:w="6245"/>
      </w:tblGrid>
      <w:tr>
        <w:trPr/>
        <w:tc>
          <w:tcPr>
            <w:tcW w:w="75" w:type="dxa"/>
            <w:tcBorders/>
            <w:vAlign w:val="center"/>
          </w:tcPr>
          <w:p>
            <w:pPr>
              <w:pStyle w:val="TableContents"/>
              <w:bidi w:val="0"/>
              <w:spacing w:before="0" w:after="283"/>
              <w:jc w:val="both"/>
              <w:rPr/>
            </w:pPr>
            <w:r>
              <w:rPr/>
              <w:t> </w:t>
            </w:r>
          </w:p>
        </w:tc>
        <w:tc>
          <w:tcPr>
            <w:tcW w:w="6245" w:type="dxa"/>
            <w:tcBorders>
              <w:bottom w:val="single" w:sz="8" w:space="0" w:color="000000"/>
            </w:tcBorders>
            <w:tcMar>
              <w:bottom w:w="28" w:type="dxa"/>
            </w:tcMar>
            <w:vAlign w:val="center"/>
          </w:tcPr>
          <w:p>
            <w:pPr>
              <w:pStyle w:val="TableContents"/>
              <w:bidi w:val="0"/>
              <w:spacing w:before="0" w:after="283"/>
              <w:jc w:val="both"/>
              <w:rPr>
                <w:sz w:val="20"/>
              </w:rPr>
            </w:pPr>
            <w:r>
              <w:rPr>
                <w:sz w:val="20"/>
              </w:rPr>
              <w:t>/s/ Chenlong Tan</w:t>
            </w:r>
          </w:p>
        </w:tc>
      </w:tr>
      <w:tr>
        <w:trPr/>
        <w:tc>
          <w:tcPr>
            <w:tcW w:w="75" w:type="dxa"/>
            <w:tcBorders/>
            <w:vAlign w:val="center"/>
          </w:tcPr>
          <w:p>
            <w:pPr>
              <w:pStyle w:val="TableContents"/>
              <w:bidi w:val="0"/>
              <w:spacing w:before="0" w:after="283"/>
              <w:jc w:val="both"/>
              <w:rPr/>
            </w:pPr>
            <w:r>
              <w:rPr/>
              <w:t> </w:t>
            </w:r>
          </w:p>
        </w:tc>
        <w:tc>
          <w:tcPr>
            <w:tcW w:w="6245" w:type="dxa"/>
            <w:tcBorders/>
            <w:vAlign w:val="center"/>
          </w:tcPr>
          <w:p>
            <w:pPr>
              <w:pStyle w:val="TableContents"/>
              <w:bidi w:val="0"/>
              <w:spacing w:before="0" w:after="283"/>
              <w:jc w:val="both"/>
              <w:rPr>
                <w:sz w:val="20"/>
              </w:rPr>
            </w:pPr>
            <w:r>
              <w:rPr>
                <w:sz w:val="20"/>
              </w:rPr>
              <w:t>Chenlong Tan</w:t>
            </w:r>
          </w:p>
        </w:tc>
      </w:tr>
      <w:tr>
        <w:trPr/>
        <w:tc>
          <w:tcPr>
            <w:tcW w:w="75" w:type="dxa"/>
            <w:tcBorders/>
            <w:vAlign w:val="center"/>
          </w:tcPr>
          <w:p>
            <w:pPr>
              <w:pStyle w:val="TableContents"/>
              <w:bidi w:val="0"/>
              <w:spacing w:before="0" w:after="283"/>
              <w:jc w:val="both"/>
              <w:rPr/>
            </w:pPr>
            <w:r>
              <w:rPr/>
              <w:t> </w:t>
            </w:r>
          </w:p>
        </w:tc>
        <w:tc>
          <w:tcPr>
            <w:tcW w:w="62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0072/000168316821001774/ipower_ex0303.htm" TargetMode="External"/><Relationship Id="rId3" Type="http://schemas.openxmlformats.org/officeDocument/2006/relationships/hyperlink" Target="https://www.sec.gov/Archives/edgar/data/1830072/000168316825007681/ipower_ex0301.htm" TargetMode="External"/><Relationship Id="rId4" Type="http://schemas.openxmlformats.org/officeDocument/2006/relationships/hyperlink" Target="https://www.sec.gov/Archives/edgar/data/1830072/000168316825004403/ipower_ex0301.htm" TargetMode="External"/><Relationship Id="rId5" Type="http://schemas.openxmlformats.org/officeDocument/2006/relationships/hyperlink" Target="https://www.sec.gov/Archives/edgar/data/1830072/000168316825009319/ipower_ex0401.htm" TargetMode="External"/><Relationship Id="rId6" Type="http://schemas.openxmlformats.org/officeDocument/2006/relationships/hyperlink" Target="https://www.sec.gov/Archives/edgar/data/1830072/000168316825009319/ipower_ex0402.htm" TargetMode="External"/><Relationship Id="rId7" Type="http://schemas.openxmlformats.org/officeDocument/2006/relationships/hyperlink" Target="http://www.sec.gov/Archives/edgar/data/1830072/000168316826000884/ipower_ex1001.htm" TargetMode="External"/><Relationship Id="rId8" Type="http://schemas.openxmlformats.org/officeDocument/2006/relationships/hyperlink" Target="http://www.sec.gov/Archives/edgar/data/1830072/000168316826004092/ipower_ex1001.htm" TargetMode="External"/><Relationship Id="rId9" Type="http://schemas.openxmlformats.org/officeDocument/2006/relationships/hyperlink" Target="https://www.sec.gov/Archives/edgar/data/1830072/000168316825008743/ipower_ex1001.htm" TargetMode="External"/><Relationship Id="rId10" Type="http://schemas.openxmlformats.org/officeDocument/2006/relationships/hyperlink" Target="https://www.sec.gov/Archives/edgar/data/1830072/000168316825009319/ipower_ex1001.htm" TargetMode="External"/><Relationship Id="rId11" Type="http://schemas.openxmlformats.org/officeDocument/2006/relationships/hyperlink" Target="https://www.sec.gov/Archives/edgar/data/1830072/000168316825009319/ipower_ex1002.htm" TargetMode="External"/><Relationship Id="rId12" Type="http://schemas.openxmlformats.org/officeDocument/2006/relationships/hyperlink" Target="https://www.sec.gov/Archives/edgar/data/1830072/000168316825009319/ipower_ex1003.htm" TargetMode="External"/><Relationship Id="rId13" Type="http://schemas.openxmlformats.org/officeDocument/2006/relationships/hyperlink" Target="https://www.sec.gov/Archives/edgar/data/1830072/000168316825009319/ipower_ex1004.htm" TargetMode="External"/><Relationship Id="rId14" Type="http://schemas.openxmlformats.org/officeDocument/2006/relationships/hyperlink" Target="https://www.sec.gov/Archives/edgar/data/1830072/000168316826002537/ipower_ex1001.htm" TargetMode="External"/><Relationship Id="rId15" Type="http://schemas.openxmlformats.org/officeDocument/2006/relationships/hyperlink" Target="https://www.sec.gov/Archives/edgar/data/1830072/000168316826003026/ipower_ex1001.htm" TargetMode="External"/><Relationship Id="rId16" Type="http://schemas.openxmlformats.org/officeDocument/2006/relationships/hyperlink" Target="https://www.sec.gov/Archives/edgar/data/1830072/000168316826003056/ipower_ex990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31231</Words>
  <Characters>170124</Characters>
  <CharactersWithSpaces>203686</CharactersWithSpaces>
  <Paragraphs>7526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