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940" w:right="2280" w:hanging="3865"/>
        <w:spacing w:after="0" w:line="500" w:lineRule="auto"/>
        <w:tabs>
          <w:tab w:leader="none" w:pos="28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2024</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2260" w:hanging="3085"/>
        <w:spacing w:after="0" w:line="500" w:lineRule="auto"/>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68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1"/>
        </w:trPr>
        <w:tc>
          <w:tcPr>
            <w:tcW w:w="5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1850"/>
              <w:spacing w:after="0" w:line="19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0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5"/>
              </w:rPr>
              <w:t>8798 9</w:t>
            </w:r>
            <w:r>
              <w:rPr>
                <w:rFonts w:ascii="Times New Roman" w:cs="Times New Roman" w:eastAsia="Times New Roman" w:hAnsi="Times New Roman"/>
                <w:sz w:val="29"/>
                <w:szCs w:val="29"/>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Street</w:t>
            </w:r>
          </w:p>
        </w:tc>
        <w:tc>
          <w:tcPr>
            <w:tcW w:w="3560" w:type="dxa"/>
            <w:vAlign w:val="bottom"/>
          </w:tcPr>
          <w:p>
            <w:pPr>
              <w:spacing w:after="0"/>
              <w:rPr>
                <w:sz w:val="24"/>
                <w:szCs w:val="24"/>
                <w:color w:val="auto"/>
              </w:rPr>
            </w:pPr>
          </w:p>
        </w:tc>
      </w:tr>
      <w:tr>
        <w:trPr>
          <w:trHeight w:val="220"/>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Rancho Cucamonga, CA 91730</w:t>
            </w:r>
          </w:p>
        </w:tc>
        <w:tc>
          <w:tcPr>
            <w:tcW w:w="3560" w:type="dxa"/>
            <w:vAlign w:val="bottom"/>
          </w:tcPr>
          <w:p>
            <w:pPr>
              <w:spacing w:after="0"/>
              <w:rPr>
                <w:sz w:val="19"/>
                <w:szCs w:val="19"/>
                <w:color w:val="auto"/>
              </w:rPr>
            </w:pPr>
          </w:p>
        </w:tc>
      </w:tr>
      <w:tr>
        <w:trPr>
          <w:trHeight w:val="234"/>
        </w:trPr>
        <w:tc>
          <w:tcPr>
            <w:tcW w:w="768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3560" w:type="dxa"/>
            <w:vAlign w:val="bottom"/>
          </w:tcPr>
          <w:p>
            <w:pPr>
              <w:spacing w:after="0"/>
              <w:rPr>
                <w:sz w:val="20"/>
                <w:szCs w:val="20"/>
                <w:color w:val="auto"/>
              </w:rPr>
            </w:pPr>
          </w:p>
        </w:tc>
      </w:tr>
      <w:tr>
        <w:trPr>
          <w:trHeight w:val="41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(626) 863-7344</w:t>
            </w:r>
          </w:p>
        </w:tc>
        <w:tc>
          <w:tcPr>
            <w:tcW w:w="3560" w:type="dxa"/>
            <w:vAlign w:val="bottom"/>
          </w:tcPr>
          <w:p>
            <w:pPr>
              <w:spacing w:after="0"/>
              <w:rPr>
                <w:sz w:val="24"/>
                <w:szCs w:val="24"/>
                <w:color w:val="auto"/>
              </w:rPr>
            </w:pPr>
          </w:p>
        </w:tc>
      </w:tr>
      <w:tr>
        <w:trPr>
          <w:trHeight w:val="234"/>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32"/>
        </w:trPr>
        <w:tc>
          <w:tcPr>
            <w:tcW w:w="456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rPr>
              <w:t>IPW</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160" w:type="dxa"/>
        <w:tblCellMar>
          <w:top w:w="0" w:type="dxa"/>
          <w:left w:w="0" w:type="dxa"/>
          <w:bottom w:w="0" w:type="dxa"/>
          <w:right w:w="0" w:type="dxa"/>
        </w:tblCellMar>
      </w:tblPr>
      <w:tr>
        <w:trPr>
          <w:trHeight w:val="221"/>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May 14, 2024 was 29,818,232.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00" w:type="dxa"/>
            <w:vAlign w:val="bottom"/>
            <w:gridSpan w:val="9"/>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40" w:type="dxa"/>
            <w:vAlign w:val="bottom"/>
            <w:gridSpan w:val="12"/>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240" w:type="dxa"/>
            <w:vAlign w:val="bottom"/>
            <w:gridSpan w:val="13"/>
          </w:tcPr>
          <w:p>
            <w:pPr>
              <w:jc w:val="center"/>
              <w:ind w:right="3860"/>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w:t>
            </w:r>
            <w:r>
              <w:rPr>
                <w:rFonts w:ascii="Times New Roman" w:cs="Times New Roman" w:eastAsia="Times New Roman" w:hAnsi="Times New Roman"/>
                <w:sz w:val="18"/>
                <w:szCs w:val="18"/>
                <w:color w:val="0000EE"/>
              </w:rPr>
              <w:t>Unaudited Condensed Consolidated Financial Statements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1006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2024 and June 30, 2023</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EEEEEE"/>
          </w:tcPr>
          <w:p>
            <w:pPr>
              <w:spacing w:after="0"/>
              <w:rPr>
                <w:sz w:val="15"/>
                <w:szCs w:val="15"/>
                <w:color w:val="auto"/>
              </w:rPr>
            </w:pPr>
          </w:p>
        </w:tc>
        <w:tc>
          <w:tcPr>
            <w:tcW w:w="1006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(Loss) for the three and nine months ended</w:t>
            </w:r>
          </w:p>
        </w:tc>
        <w:tc>
          <w:tcPr>
            <w:tcW w:w="6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Borders>
              <w:top w:val="single" w:sz="8" w:color="EEEEEE"/>
            </w:tcBorders>
            <w:shd w:val="clear" w:color="auto" w:fill="EEEEEE"/>
          </w:tcPr>
          <w:p>
            <w:pPr>
              <w:spacing w:after="0"/>
              <w:rPr>
                <w:sz w:val="18"/>
                <w:szCs w:val="18"/>
                <w:color w:val="auto"/>
              </w:rPr>
            </w:pPr>
          </w:p>
        </w:tc>
        <w:tc>
          <w:tcPr>
            <w:tcW w:w="9660" w:type="dxa"/>
            <w:vAlign w:val="bottom"/>
            <w:tcBorders>
              <w:top w:val="single" w:sz="8" w:color="0000EE"/>
            </w:tcBorders>
            <w:gridSpan w:val="22"/>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March 31, 2024 and 2023</w:t>
            </w:r>
          </w:p>
        </w:tc>
        <w:tc>
          <w:tcPr>
            <w:tcW w:w="400" w:type="dxa"/>
            <w:vAlign w:val="bottom"/>
            <w:tcBorders>
              <w:top w:val="single" w:sz="8" w:color="EEEEEE"/>
            </w:tcBorders>
            <w:gridSpan w:val="2"/>
            <w:shd w:val="clear" w:color="auto" w:fill="EEEEEE"/>
          </w:tcPr>
          <w:p>
            <w:pPr>
              <w:spacing w:after="0"/>
              <w:rPr>
                <w:sz w:val="18"/>
                <w:szCs w:val="18"/>
                <w:color w:val="auto"/>
              </w:rPr>
            </w:pPr>
          </w:p>
        </w:tc>
        <w:tc>
          <w:tcPr>
            <w:tcW w:w="600" w:type="dxa"/>
            <w:vAlign w:val="bottom"/>
            <w:tcBorders>
              <w:top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80" w:type="dxa"/>
            <w:vAlign w:val="bottom"/>
            <w:shd w:val="clear" w:color="auto" w:fill="EEEEEE"/>
          </w:tcPr>
          <w:p>
            <w:pPr>
              <w:spacing w:after="0"/>
              <w:rPr>
                <w:sz w:val="15"/>
                <w:szCs w:val="15"/>
                <w:color w:val="auto"/>
              </w:rPr>
            </w:pPr>
          </w:p>
        </w:tc>
        <w:tc>
          <w:tcPr>
            <w:tcW w:w="1006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Changes in Stockholders’ Equity for the three and nine months ended March 31, 2024</w:t>
            </w:r>
          </w:p>
        </w:tc>
        <w:tc>
          <w:tcPr>
            <w:tcW w:w="6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80" w:type="dxa"/>
            <w:vAlign w:val="bottom"/>
            <w:tcBorders>
              <w:top w:val="single" w:sz="8" w:color="EEEEEE"/>
            </w:tcBorders>
            <w:shd w:val="clear" w:color="auto" w:fill="EEEEEE"/>
          </w:tcPr>
          <w:p>
            <w:pPr>
              <w:spacing w:after="0"/>
              <w:rPr>
                <w:sz w:val="18"/>
                <w:szCs w:val="18"/>
                <w:color w:val="auto"/>
              </w:rPr>
            </w:pPr>
          </w:p>
        </w:tc>
        <w:tc>
          <w:tcPr>
            <w:tcW w:w="9860" w:type="dxa"/>
            <w:vAlign w:val="bottom"/>
            <w:tcBorders>
              <w:top w:val="single" w:sz="8" w:color="0000EE"/>
            </w:tcBorders>
            <w:gridSpan w:val="23"/>
            <w:shd w:val="clear" w:color="auto" w:fill="EEEEEE"/>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0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EEEEEE"/>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1006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nine months ended March 31, 2024 and 2023</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1006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0000EE"/>
              </w:rPr>
              <w:t>Management’s Discussion and Analysis of Financial Condition and Results of Operations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0000EE"/>
              </w:rPr>
              <w:t>Quantitative and Qualitative Disclosures About Market Risk</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0000EE"/>
              </w:rPr>
              <w:t>Controls and Procedures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6240" w:type="dxa"/>
            <w:vAlign w:val="bottom"/>
            <w:gridSpan w:val="13"/>
            <w:shd w:val="clear" w:color="auto" w:fill="EEEEEE"/>
          </w:tcPr>
          <w:p>
            <w:pPr>
              <w:jc w:val="center"/>
              <w:ind w:right="386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600" w:type="dxa"/>
            <w:vAlign w:val="bottom"/>
            <w:shd w:val="clear" w:color="auto" w:fill="EEEEE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0000EE"/>
              </w:rPr>
              <w:t>Legal Proceedings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w:t>
            </w:r>
            <w:r>
              <w:rPr>
                <w:rFonts w:ascii="Times New Roman" w:cs="Times New Roman" w:eastAsia="Times New Roman" w:hAnsi="Times New Roman"/>
                <w:sz w:val="18"/>
                <w:szCs w:val="18"/>
                <w:color w:val="0000EE"/>
              </w:rPr>
              <w:t>Risk Factors</w:t>
            </w:r>
          </w:p>
        </w:tc>
        <w:tc>
          <w:tcPr>
            <w:tcW w:w="60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00" w:type="dxa"/>
            <w:vAlign w:val="bottom"/>
            <w:tcBorders>
              <w:top w:val="single" w:sz="8" w:color="EEEEEE"/>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1A.</w:t>
            </w:r>
          </w:p>
        </w:tc>
        <w:tc>
          <w:tcPr>
            <w:tcW w:w="900" w:type="dxa"/>
            <w:vAlign w:val="bottom"/>
            <w:tcBorders>
              <w:top w:val="single" w:sz="8" w:color="0000EE"/>
            </w:tcBorders>
            <w:gridSpan w:val="4"/>
            <w:shd w:val="clear" w:color="auto" w:fill="EEEEEE"/>
          </w:tcPr>
          <w:p>
            <w:pPr>
              <w:spacing w:after="0"/>
              <w:rPr>
                <w:sz w:val="20"/>
                <w:szCs w:val="20"/>
                <w:color w:val="auto"/>
              </w:rPr>
            </w:pPr>
          </w:p>
        </w:tc>
        <w:tc>
          <w:tcPr>
            <w:tcW w:w="9140" w:type="dxa"/>
            <w:vAlign w:val="bottom"/>
            <w:tcBorders>
              <w:top w:val="single" w:sz="8" w:color="EEEEEE"/>
            </w:tcBorders>
            <w:gridSpan w:val="19"/>
            <w:shd w:val="clear" w:color="auto" w:fill="EEEEEE"/>
          </w:tcPr>
          <w:p>
            <w:pPr>
              <w:spacing w:after="0"/>
              <w:rPr>
                <w:sz w:val="20"/>
                <w:szCs w:val="20"/>
                <w:color w:val="auto"/>
              </w:rPr>
            </w:pPr>
          </w:p>
        </w:tc>
        <w:tc>
          <w:tcPr>
            <w:tcW w:w="6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0000EE"/>
              </w:rPr>
              <w:t>Unregistered Sale of Equity Securities and Use of Proceeds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0000EE"/>
              </w:rPr>
              <w:t>Defaults Upon Senior Securities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0000EE"/>
              </w:rPr>
              <w:t>Mine Safety Disclosures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color w:val="0000EE"/>
              </w:rPr>
              <w:t>Other Information</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40" w:type="dxa"/>
            <w:vAlign w:val="bottom"/>
            <w:gridSpan w:val="25"/>
            <w:shd w:val="clear" w:color="auto" w:fill="EEEEEE"/>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0000EE"/>
              </w:rPr>
              <w:t>Exhibits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148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440" w:type="dxa"/>
            <w:vAlign w:val="bottom"/>
            <w:tcBorders>
              <w:top w:val="single" w:sz="8" w:color="EEEEEE"/>
            </w:tcBorders>
          </w:tcPr>
          <w:p>
            <w:pPr>
              <w:spacing w:after="0"/>
              <w:rPr>
                <w:sz w:val="18"/>
                <w:szCs w:val="18"/>
                <w:color w:val="auto"/>
              </w:rPr>
            </w:pPr>
          </w:p>
        </w:tc>
        <w:tc>
          <w:tcPr>
            <w:tcW w:w="130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680" w:type="dxa"/>
            <w:vAlign w:val="bottom"/>
            <w:tcBorders>
              <w:top w:val="single" w:sz="8" w:color="EEEEEE"/>
            </w:tcBorders>
          </w:tcPr>
          <w:p>
            <w:pPr>
              <w:spacing w:after="0"/>
              <w:rPr>
                <w:sz w:val="18"/>
                <w:szCs w:val="18"/>
                <w:color w:val="auto"/>
              </w:rPr>
            </w:pPr>
          </w:p>
        </w:tc>
        <w:tc>
          <w:tcPr>
            <w:tcW w:w="132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600" w:type="dxa"/>
            <w:vAlign w:val="bottom"/>
            <w:tcBorders>
              <w:top w:val="single" w:sz="8" w:color="EEEE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80" w:type="dxa"/>
            <w:vAlign w:val="bottom"/>
            <w:shd w:val="clear" w:color="auto" w:fill="EEEEEE"/>
          </w:tcPr>
          <w:p>
            <w:pPr>
              <w:spacing w:after="0"/>
              <w:rPr>
                <w:sz w:val="15"/>
                <w:szCs w:val="15"/>
                <w:color w:val="auto"/>
              </w:rPr>
            </w:pPr>
          </w:p>
        </w:tc>
        <w:tc>
          <w:tcPr>
            <w:tcW w:w="10060" w:type="dxa"/>
            <w:vAlign w:val="bottom"/>
            <w:gridSpan w:val="24"/>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EEEEEE"/>
          </w:tcPr>
          <w:p>
            <w:pPr>
              <w:jc w:val="right"/>
              <w:spacing w:after="0" w:line="17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58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8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EEEEEE"/>
            </w:tcBorders>
            <w:shd w:val="clear" w:color="auto" w:fill="EEEEEE"/>
          </w:tcPr>
          <w:p>
            <w:pPr>
              <w:spacing w:after="0" w:line="20" w:lineRule="exact"/>
              <w:rPr>
                <w:sz w:val="1"/>
                <w:szCs w:val="1"/>
                <w:color w:val="auto"/>
              </w:rPr>
            </w:pPr>
          </w:p>
        </w:tc>
        <w:tc>
          <w:tcPr>
            <w:tcW w:w="4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148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13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680" w:type="dxa"/>
            <w:vAlign w:val="bottom"/>
            <w:tcBorders>
              <w:top w:val="single" w:sz="8" w:color="EEEEEE"/>
            </w:tcBorders>
            <w:shd w:val="clear" w:color="auto" w:fill="EEEEEE"/>
          </w:tcPr>
          <w:p>
            <w:pPr>
              <w:spacing w:after="0" w:line="20" w:lineRule="exact"/>
              <w:rPr>
                <w:sz w:val="1"/>
                <w:szCs w:val="1"/>
                <w:color w:val="auto"/>
              </w:rPr>
            </w:pPr>
          </w:p>
        </w:tc>
        <w:tc>
          <w:tcPr>
            <w:tcW w:w="13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600" w:type="dxa"/>
            <w:vAlign w:val="bottom"/>
            <w:tcBorders>
              <w:top w:val="single" w:sz="8" w:color="EEEEEE"/>
            </w:tcBorders>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March 31, 2024 and June 30, 2023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March 31,</w:t>
            </w:r>
          </w:p>
        </w:tc>
        <w:tc>
          <w:tcPr>
            <w:tcW w:w="30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color w:val="auto"/>
              </w:rPr>
              <w:t>June 30,</w:t>
            </w:r>
          </w:p>
        </w:tc>
      </w:tr>
      <w:tr>
        <w:trPr>
          <w:trHeight w:val="216"/>
        </w:trPr>
        <w:tc>
          <w:tcPr>
            <w:tcW w:w="33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r>
      <w:tr>
        <w:trPr>
          <w:trHeight w:val="202"/>
        </w:trPr>
        <w:tc>
          <w:tcPr>
            <w:tcW w:w="3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2,714,724</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3,735,642</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16,843,692</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14,071,543</w:t>
            </w: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Inventories, net</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11,872,286</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20,593,889</w:t>
            </w:r>
          </w:p>
        </w:tc>
      </w:tr>
      <w:tr>
        <w:trPr>
          <w:trHeight w:val="21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1,632,113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2,858,196</w:t>
            </w:r>
          </w:p>
        </w:tc>
      </w:tr>
      <w:tr>
        <w:trPr>
          <w:trHeight w:val="199"/>
        </w:trPr>
        <w:tc>
          <w:tcPr>
            <w:tcW w:w="7540" w:type="dxa"/>
            <w:vAlign w:val="bottom"/>
            <w:tcBorders>
              <w:top w:val="single" w:sz="8" w:color="EEEEEE"/>
            </w:tcBorders>
            <w:gridSpan w:val="2"/>
            <w:shd w:val="clear" w:color="auto" w:fill="EEEEEE"/>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33,062,815</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41,259,270</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3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Right of use - non-current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6,632,349</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7,837,345</w:t>
            </w: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405,621</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536,418</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2,756,420</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2,155,250</w:t>
            </w:r>
          </w:p>
        </w:tc>
      </w:tr>
      <w:tr>
        <w:trPr>
          <w:trHeight w:val="202"/>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Non-current prepayments</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320,190</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531,456</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3,034,110</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3,034,110</w:t>
            </w: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30,495</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33,113</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3,793,042</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4,280,071</w:t>
            </w:r>
          </w:p>
        </w:tc>
      </w:tr>
      <w:tr>
        <w:trPr>
          <w:trHeight w:val="216"/>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381,631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427,254</w:t>
            </w:r>
          </w:p>
        </w:tc>
      </w:tr>
      <w:tr>
        <w:trPr>
          <w:trHeight w:val="196"/>
        </w:trPr>
        <w:tc>
          <w:tcPr>
            <w:tcW w:w="7540" w:type="dxa"/>
            <w:vAlign w:val="bottom"/>
            <w:tcBorders>
              <w:bottom w:val="single" w:sz="8" w:color="EEEEEE"/>
            </w:tcBorders>
            <w:gridSpan w:val="2"/>
          </w:tcPr>
          <w:p>
            <w:pPr>
              <w:ind w:left="540"/>
              <w:spacing w:after="0"/>
              <w:rPr>
                <w:sz w:val="20"/>
                <w:szCs w:val="20"/>
                <w:color w:val="auto"/>
              </w:rPr>
            </w:pPr>
            <w:r>
              <w:rPr>
                <w:rFonts w:ascii="Times New Roman" w:cs="Times New Roman" w:eastAsia="Times New Roman" w:hAnsi="Times New Roman"/>
                <w:sz w:val="16"/>
                <w:szCs w:val="16"/>
                <w:color w:val="auto"/>
              </w:rPr>
              <w:t>Total non-current assets</w:t>
            </w:r>
          </w:p>
        </w:tc>
        <w:tc>
          <w:tcPr>
            <w:tcW w:w="120" w:type="dxa"/>
            <w:vAlign w:val="bottom"/>
            <w:tcBorders>
              <w:bottom w:val="single" w:sz="8" w:color="EEEEEE"/>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17,353,858</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18,835,017</w:t>
            </w:r>
          </w:p>
        </w:tc>
        <w:tc>
          <w:tcPr>
            <w:tcW w:w="100" w:type="dxa"/>
            <w:vAlign w:val="bottom"/>
            <w:tcBorders>
              <w:bottom w:val="single" w:sz="8" w:color="EEEEEE"/>
            </w:tcBorders>
          </w:tcPr>
          <w:p>
            <w:pPr>
              <w:spacing w:after="0"/>
              <w:rPr>
                <w:sz w:val="17"/>
                <w:szCs w:val="17"/>
                <w:color w:val="auto"/>
              </w:rPr>
            </w:pPr>
          </w:p>
        </w:tc>
      </w:tr>
      <w:tr>
        <w:trPr>
          <w:trHeight w:val="196"/>
        </w:trPr>
        <w:tc>
          <w:tcPr>
            <w:tcW w:w="3320" w:type="dxa"/>
            <w:vAlign w:val="bottom"/>
            <w:shd w:val="clear" w:color="auto" w:fill="EEEEEE"/>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67"/>
        </w:trPr>
        <w:tc>
          <w:tcPr>
            <w:tcW w:w="75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50,416,673</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60,094,287</w:t>
            </w:r>
          </w:p>
        </w:tc>
      </w:tr>
      <w:tr>
        <w:trPr>
          <w:trHeight w:val="186"/>
        </w:trPr>
        <w:tc>
          <w:tcPr>
            <w:tcW w:w="3320" w:type="dxa"/>
            <w:vAlign w:val="bottom"/>
            <w:tcBorders>
              <w:top w:val="single" w:sz="8" w:color="EEEEEE"/>
            </w:tcBorders>
            <w:shd w:val="clear" w:color="auto" w:fill="EEEEEE"/>
          </w:tcPr>
          <w:p>
            <w:pPr>
              <w:spacing w:after="0"/>
              <w:rPr>
                <w:sz w:val="16"/>
                <w:szCs w:val="16"/>
                <w:color w:val="auto"/>
              </w:rPr>
            </w:pPr>
          </w:p>
        </w:tc>
        <w:tc>
          <w:tcPr>
            <w:tcW w:w="4220" w:type="dxa"/>
            <w:vAlign w:val="bottom"/>
            <w:tcBorders>
              <w:top w:val="single" w:sz="8" w:color="EEEEEE"/>
            </w:tcBorders>
            <w:shd w:val="clear" w:color="auto" w:fill="EEEEEE"/>
          </w:tcPr>
          <w:p>
            <w:pPr>
              <w:spacing w:after="0"/>
              <w:rPr>
                <w:sz w:val="16"/>
                <w:szCs w:val="16"/>
                <w:color w:val="auto"/>
              </w:rPr>
            </w:pPr>
          </w:p>
        </w:tc>
        <w:tc>
          <w:tcPr>
            <w:tcW w:w="120" w:type="dxa"/>
            <w:vAlign w:val="bottom"/>
            <w:tcBorders>
              <w:top w:val="single" w:sz="8" w:color="EEEEEE"/>
            </w:tcBorders>
            <w:shd w:val="clear" w:color="auto" w:fill="EEEEEE"/>
          </w:tcPr>
          <w:p>
            <w:pPr>
              <w:spacing w:after="0"/>
              <w:rPr>
                <w:sz w:val="16"/>
                <w:szCs w:val="16"/>
                <w:color w:val="auto"/>
              </w:rPr>
            </w:pPr>
          </w:p>
        </w:tc>
        <w:tc>
          <w:tcPr>
            <w:tcW w:w="280" w:type="dxa"/>
            <w:vAlign w:val="bottom"/>
            <w:tcBorders>
              <w:top w:val="single" w:sz="8" w:color="auto"/>
            </w:tcBorders>
            <w:shd w:val="clear" w:color="auto" w:fill="EEEEEE"/>
          </w:tcPr>
          <w:p>
            <w:pPr>
              <w:spacing w:after="0"/>
              <w:rPr>
                <w:sz w:val="16"/>
                <w:szCs w:val="16"/>
                <w:color w:val="auto"/>
              </w:rPr>
            </w:pPr>
          </w:p>
        </w:tc>
        <w:tc>
          <w:tcPr>
            <w:tcW w:w="130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300" w:type="dxa"/>
            <w:vAlign w:val="bottom"/>
            <w:tcBorders>
              <w:top w:val="single" w:sz="8" w:color="auto"/>
            </w:tcBorders>
            <w:shd w:val="clear" w:color="auto" w:fill="EEEEEE"/>
          </w:tcPr>
          <w:p>
            <w:pPr>
              <w:spacing w:after="0"/>
              <w:rPr>
                <w:sz w:val="16"/>
                <w:szCs w:val="16"/>
                <w:color w:val="auto"/>
              </w:rPr>
            </w:pPr>
          </w:p>
        </w:tc>
        <w:tc>
          <w:tcPr>
            <w:tcW w:w="1280" w:type="dxa"/>
            <w:vAlign w:val="bottom"/>
            <w:tcBorders>
              <w:top w:val="single" w:sz="8" w:color="auto"/>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r>
      <w:tr>
        <w:trPr>
          <w:trHeight w:val="162"/>
        </w:trPr>
        <w:tc>
          <w:tcPr>
            <w:tcW w:w="75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LIABILITIES AND STOCKHOLDERS’ EQUITY</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320" w:type="dxa"/>
            <w:vAlign w:val="bottom"/>
            <w:tcBorders>
              <w:top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7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14,199,052</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13,244,957</w:t>
            </w: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Credit cards payable</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236,000</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366,781</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Customer deposit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339,968</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350,595</w:t>
            </w: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3,242,002</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4,831,067</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Advance from shareholders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85,581</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85,200</w:t>
            </w: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Lease liability - current</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2,106,867</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2,159,173</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Long-term promissory note payable - current portion</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2,017,852</w:t>
            </w:r>
          </w:p>
        </w:tc>
      </w:tr>
      <w:tr>
        <w:trPr>
          <w:trHeight w:val="202"/>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Revolving loan payable</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6,011,860</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277,921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276,683</w:t>
            </w:r>
          </w:p>
        </w:tc>
      </w:tr>
      <w:tr>
        <w:trPr>
          <w:trHeight w:val="199"/>
        </w:trPr>
        <w:tc>
          <w:tcPr>
            <w:tcW w:w="7540" w:type="dxa"/>
            <w:vAlign w:val="bottom"/>
            <w:tcBorders>
              <w:top w:val="single" w:sz="8" w:color="EEEEEE"/>
            </w:tcBorders>
            <w:gridSpan w:val="2"/>
            <w:shd w:val="clear" w:color="auto" w:fill="EEEEEE"/>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26,499,251</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23,332,308</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3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5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Long-term revolving loan payable,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9,791,191</w:t>
            </w:r>
          </w:p>
        </w:tc>
      </w:tr>
      <w:tr>
        <w:trPr>
          <w:trHeight w:val="216"/>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Lease liability - non-current</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4,949,802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6,106,047</w:t>
            </w:r>
          </w:p>
        </w:tc>
      </w:tr>
      <w:tr>
        <w:trPr>
          <w:trHeight w:val="196"/>
        </w:trPr>
        <w:tc>
          <w:tcPr>
            <w:tcW w:w="7540" w:type="dxa"/>
            <w:vAlign w:val="bottom"/>
            <w:tcBorders>
              <w:bottom w:val="single" w:sz="8" w:color="EEEEEE"/>
            </w:tcBorders>
            <w:gridSpan w:val="2"/>
          </w:tcPr>
          <w:p>
            <w:pPr>
              <w:ind w:left="5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20" w:type="dxa"/>
            <w:vAlign w:val="bottom"/>
            <w:tcBorders>
              <w:bottom w:val="single" w:sz="8" w:color="EEEEEE"/>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4,949,802</w:t>
            </w:r>
          </w:p>
        </w:tc>
        <w:tc>
          <w:tcPr>
            <w:tcW w:w="320" w:type="dxa"/>
            <w:vAlign w:val="bottom"/>
            <w:tcBorders>
              <w:bottom w:val="single" w:sz="8" w:color="EEEEEE"/>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15,897,238</w:t>
            </w:r>
          </w:p>
        </w:tc>
        <w:tc>
          <w:tcPr>
            <w:tcW w:w="100" w:type="dxa"/>
            <w:vAlign w:val="bottom"/>
            <w:tcBorders>
              <w:bottom w:val="single" w:sz="8" w:color="EEEEEE"/>
            </w:tcBorders>
          </w:tcPr>
          <w:p>
            <w:pPr>
              <w:spacing w:after="0"/>
              <w:rPr>
                <w:sz w:val="17"/>
                <w:szCs w:val="17"/>
                <w:color w:val="auto"/>
              </w:rPr>
            </w:pPr>
          </w:p>
        </w:tc>
      </w:tr>
      <w:tr>
        <w:trPr>
          <w:trHeight w:val="196"/>
        </w:trPr>
        <w:tc>
          <w:tcPr>
            <w:tcW w:w="3320" w:type="dxa"/>
            <w:vAlign w:val="bottom"/>
            <w:shd w:val="clear" w:color="auto" w:fill="EEEEEE"/>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3"/>
        </w:trPr>
        <w:tc>
          <w:tcPr>
            <w:tcW w:w="75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31,449,053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39,229,546</w:t>
            </w:r>
          </w:p>
        </w:tc>
      </w:tr>
      <w:tr>
        <w:trPr>
          <w:trHeight w:val="199"/>
        </w:trPr>
        <w:tc>
          <w:tcPr>
            <w:tcW w:w="3320" w:type="dxa"/>
            <w:vAlign w:val="bottom"/>
            <w:tcBorders>
              <w:top w:val="single" w:sz="8" w:color="EEEEEE"/>
            </w:tcBorders>
            <w:shd w:val="clear" w:color="auto" w:fill="EEEEEE"/>
          </w:tcPr>
          <w:p>
            <w:pPr>
              <w:spacing w:after="0"/>
              <w:rPr>
                <w:sz w:val="17"/>
                <w:szCs w:val="17"/>
                <w:color w:val="auto"/>
              </w:rPr>
            </w:pPr>
          </w:p>
        </w:tc>
        <w:tc>
          <w:tcPr>
            <w:tcW w:w="4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3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03"/>
        </w:trPr>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3320" w:type="dxa"/>
            <w:vAlign w:val="bottom"/>
            <w:shd w:val="clear" w:color="auto" w:fill="EEEEEE"/>
          </w:tcPr>
          <w:p>
            <w:pPr>
              <w:spacing w:after="0"/>
              <w:rPr>
                <w:sz w:val="17"/>
                <w:szCs w:val="17"/>
                <w:color w:val="auto"/>
              </w:rPr>
            </w:pPr>
          </w:p>
        </w:tc>
        <w:tc>
          <w:tcPr>
            <w:tcW w:w="4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Preferred stock, $0.001 par value; 20,000,000 shares authorized; 0 shares issued and outstanding at March 31,</w:t>
            </w:r>
          </w:p>
        </w:tc>
        <w:tc>
          <w:tcPr>
            <w:tcW w:w="12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300" w:type="dxa"/>
            <w:vAlign w:val="bottom"/>
            <w:shd w:val="clear" w:color="auto" w:fill="EEEEEE"/>
          </w:tcPr>
          <w:p>
            <w:pPr>
              <w:spacing w:after="0"/>
              <w:rPr>
                <w:sz w:val="16"/>
                <w:szCs w:val="16"/>
                <w:color w:val="auto"/>
              </w:rPr>
            </w:pPr>
          </w:p>
        </w:tc>
        <w:tc>
          <w:tcPr>
            <w:tcW w:w="320" w:type="dxa"/>
            <w:vAlign w:val="bottom"/>
            <w:shd w:val="clear" w:color="auto" w:fill="EEEEEE"/>
          </w:tcPr>
          <w:p>
            <w:pPr>
              <w:spacing w:after="0"/>
              <w:rPr>
                <w:sz w:val="16"/>
                <w:szCs w:val="16"/>
                <w:color w:val="auto"/>
              </w:rPr>
            </w:pPr>
          </w:p>
        </w:tc>
        <w:tc>
          <w:tcPr>
            <w:tcW w:w="300" w:type="dxa"/>
            <w:vAlign w:val="bottom"/>
            <w:shd w:val="clear" w:color="auto" w:fill="EEEEEE"/>
          </w:tcPr>
          <w:p>
            <w:pPr>
              <w:spacing w:after="0"/>
              <w:rPr>
                <w:sz w:val="16"/>
                <w:szCs w:val="16"/>
                <w:color w:val="auto"/>
              </w:rPr>
            </w:pPr>
          </w:p>
        </w:tc>
        <w:tc>
          <w:tcPr>
            <w:tcW w:w="12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r>
      <w:tr>
        <w:trPr>
          <w:trHeight w:val="216"/>
        </w:trPr>
        <w:tc>
          <w:tcPr>
            <w:tcW w:w="7540" w:type="dxa"/>
            <w:vAlign w:val="bottom"/>
            <w:gridSpan w:val="2"/>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2024 and June 30, 2023</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9"/>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Common stock, $0.001 par value; 180,000,000 shares authorized; 29,818,232 and 29,710,939 shares issued and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5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outstanding at March 31, 2024 and June 30, 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29,819</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29,712</w:t>
            </w:r>
          </w:p>
        </w:tc>
      </w:tr>
      <w:tr>
        <w:trPr>
          <w:trHeight w:val="205"/>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30,013,997</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29,624,520</w:t>
            </w:r>
          </w:p>
        </w:tc>
      </w:tr>
      <w:tr>
        <w:trPr>
          <w:trHeight w:val="20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Accumulated deficits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(10,887,703)</w:t>
            </w:r>
          </w:p>
        </w:tc>
        <w:tc>
          <w:tcPr>
            <w:tcW w:w="300" w:type="dxa"/>
            <w:vAlign w:val="bottom"/>
          </w:tcPr>
          <w:p>
            <w:pPr>
              <w:spacing w:after="0"/>
              <w:rPr>
                <w:sz w:val="17"/>
                <w:szCs w:val="17"/>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(8,702,442)</w:t>
            </w:r>
          </w:p>
        </w:tc>
      </w:tr>
      <w:tr>
        <w:trPr>
          <w:trHeight w:val="203"/>
        </w:trPr>
        <w:tc>
          <w:tcPr>
            <w:tcW w:w="7540" w:type="dxa"/>
            <w:vAlign w:val="bottom"/>
            <w:gridSpan w:val="2"/>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(34,519)</w:t>
            </w:r>
          </w:p>
        </w:tc>
        <w:tc>
          <w:tcPr>
            <w:tcW w:w="30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(24,915)</w:t>
            </w:r>
          </w:p>
        </w:tc>
      </w:tr>
      <w:tr>
        <w:trPr>
          <w:trHeight w:val="213"/>
        </w:trPr>
        <w:tc>
          <w:tcPr>
            <w:tcW w:w="7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(153,974)</w:t>
            </w:r>
          </w:p>
        </w:tc>
        <w:tc>
          <w:tcPr>
            <w:tcW w:w="3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(62,134)</w:t>
            </w:r>
          </w:p>
        </w:tc>
      </w:tr>
      <w:tr>
        <w:trPr>
          <w:trHeight w:val="199"/>
        </w:trPr>
        <w:tc>
          <w:tcPr>
            <w:tcW w:w="7540" w:type="dxa"/>
            <w:vAlign w:val="bottom"/>
            <w:tcBorders>
              <w:top w:val="single" w:sz="8" w:color="EEEEEE"/>
            </w:tcBorders>
            <w:gridSpan w:val="2"/>
            <w:shd w:val="clear" w:color="auto" w:fill="EEEEEE"/>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bottom w:val="single" w:sz="8" w:color="auto"/>
            </w:tcBorders>
            <w:shd w:val="clear" w:color="auto" w:fill="EEEEEE"/>
          </w:tcPr>
          <w:p>
            <w:pPr>
              <w:spacing w:after="0"/>
              <w:rPr>
                <w:sz w:val="17"/>
                <w:szCs w:val="17"/>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18,967,620</w:t>
            </w: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bottom w:val="single" w:sz="8" w:color="auto"/>
            </w:tcBorders>
            <w:shd w:val="clear" w:color="auto" w:fill="EEEEEE"/>
          </w:tcPr>
          <w:p>
            <w:pPr>
              <w:spacing w:after="0"/>
              <w:rPr>
                <w:sz w:val="17"/>
                <w:szCs w:val="17"/>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20,864,741</w:t>
            </w:r>
          </w:p>
        </w:tc>
        <w:tc>
          <w:tcPr>
            <w:tcW w:w="100" w:type="dxa"/>
            <w:vAlign w:val="bottom"/>
            <w:tcBorders>
              <w:top w:val="single" w:sz="8" w:color="EEEEEE"/>
            </w:tcBorders>
            <w:shd w:val="clear" w:color="auto" w:fill="EEEEEE"/>
          </w:tcPr>
          <w:p>
            <w:pPr>
              <w:spacing w:after="0"/>
              <w:rPr>
                <w:sz w:val="17"/>
                <w:szCs w:val="17"/>
                <w:color w:val="auto"/>
              </w:rPr>
            </w:pPr>
          </w:p>
        </w:tc>
      </w:tr>
      <w:tr>
        <w:trPr>
          <w:trHeight w:val="196"/>
        </w:trPr>
        <w:tc>
          <w:tcPr>
            <w:tcW w:w="33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540" w:type="dxa"/>
            <w:vAlign w:val="bottom"/>
            <w:gridSpan w:val="2"/>
            <w:shd w:val="clear" w:color="auto" w:fill="EEEEEE"/>
          </w:tcPr>
          <w:p>
            <w:pPr>
              <w:ind w:left="5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0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50,416,673</w:t>
            </w:r>
          </w:p>
        </w:tc>
        <w:tc>
          <w:tcPr>
            <w:tcW w:w="300" w:type="dxa"/>
            <w:vAlign w:val="bottom"/>
            <w:shd w:val="clear" w:color="auto" w:fill="EEEEEE"/>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60,094,287</w:t>
            </w:r>
          </w:p>
        </w:tc>
      </w:tr>
      <w:tr>
        <w:trPr>
          <w:trHeight w:val="20"/>
        </w:trPr>
        <w:tc>
          <w:tcPr>
            <w:tcW w:w="3320" w:type="dxa"/>
            <w:vAlign w:val="bottom"/>
            <w:tcBorders>
              <w:top w:val="single" w:sz="8" w:color="EEEEEE"/>
            </w:tcBorders>
          </w:tcPr>
          <w:p>
            <w:pPr>
              <w:spacing w:after="0" w:line="20" w:lineRule="exact"/>
              <w:rPr>
                <w:sz w:val="1"/>
                <w:szCs w:val="1"/>
                <w:color w:val="auto"/>
              </w:rPr>
            </w:pPr>
          </w:p>
        </w:tc>
        <w:tc>
          <w:tcPr>
            <w:tcW w:w="4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866"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March 31, 2024 and 2023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20" w:type="dxa"/>
            <w:vAlign w:val="bottom"/>
            <w:gridSpan w:val="6"/>
          </w:tcPr>
          <w:p>
            <w:pPr>
              <w:jc w:val="right"/>
              <w:ind w:right="920"/>
              <w:spacing w:after="0"/>
              <w:rPr>
                <w:sz w:val="20"/>
                <w:szCs w:val="20"/>
                <w:color w:val="auto"/>
              </w:rPr>
            </w:pPr>
            <w:r>
              <w:rPr>
                <w:rFonts w:ascii="Times New Roman" w:cs="Times New Roman" w:eastAsia="Times New Roman" w:hAnsi="Times New Roman"/>
                <w:sz w:val="16"/>
                <w:szCs w:val="16"/>
                <w:color w:val="auto"/>
              </w:rPr>
              <w:t>For the Three Months Ended</w:t>
            </w:r>
          </w:p>
        </w:tc>
        <w:tc>
          <w:tcPr>
            <w:tcW w:w="180" w:type="dxa"/>
            <w:vAlign w:val="bottom"/>
          </w:tcPr>
          <w:p>
            <w:pPr>
              <w:spacing w:after="0"/>
              <w:rPr>
                <w:sz w:val="17"/>
                <w:szCs w:val="17"/>
                <w:color w:val="auto"/>
              </w:rPr>
            </w:pPr>
          </w:p>
        </w:tc>
        <w:tc>
          <w:tcPr>
            <w:tcW w:w="2920" w:type="dxa"/>
            <w:vAlign w:val="bottom"/>
            <w:gridSpan w:val="7"/>
          </w:tcPr>
          <w:p>
            <w:pPr>
              <w:jc w:val="right"/>
              <w:ind w:right="720"/>
              <w:spacing w:after="0"/>
              <w:rPr>
                <w:sz w:val="20"/>
                <w:szCs w:val="20"/>
                <w:color w:val="auto"/>
              </w:rPr>
            </w:pPr>
            <w:r>
              <w:rPr>
                <w:rFonts w:ascii="Times New Roman" w:cs="Times New Roman" w:eastAsia="Times New Roman" w:hAnsi="Times New Roman"/>
                <w:sz w:val="16"/>
                <w:szCs w:val="16"/>
                <w:color w:val="auto"/>
              </w:rPr>
              <w:t>For the Nine Months Ended</w:t>
            </w:r>
          </w:p>
        </w:tc>
      </w:tr>
      <w:tr>
        <w:trPr>
          <w:trHeight w:val="213"/>
        </w:trPr>
        <w:tc>
          <w:tcPr>
            <w:tcW w:w="4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March 31,</w:t>
            </w:r>
          </w:p>
        </w:tc>
        <w:tc>
          <w:tcPr>
            <w:tcW w:w="11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6"/>
                <w:szCs w:val="16"/>
                <w:color w:val="auto"/>
              </w:rPr>
              <w:t>March 31,</w:t>
            </w:r>
          </w:p>
        </w:tc>
        <w:tc>
          <w:tcPr>
            <w:tcW w:w="11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7"/>
        </w:trPr>
        <w:tc>
          <w:tcPr>
            <w:tcW w:w="47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(Unaudited)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gridSpan w:val="2"/>
          </w:tcPr>
          <w:p>
            <w:pPr>
              <w:spacing w:after="0"/>
              <w:rPr>
                <w:sz w:val="17"/>
                <w:szCs w:val="17"/>
                <w:color w:val="auto"/>
              </w:rPr>
            </w:pPr>
          </w:p>
        </w:tc>
      </w:tr>
      <w:tr>
        <w:trPr>
          <w:trHeight w:val="203"/>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23,308,508</w:t>
            </w:r>
          </w:p>
        </w:tc>
        <w:tc>
          <w:tcPr>
            <w:tcW w:w="200" w:type="dxa"/>
            <w:vAlign w:val="bottom"/>
          </w:tcPr>
          <w:p>
            <w:pPr>
              <w:spacing w:after="0"/>
              <w:rPr>
                <w:sz w:val="17"/>
                <w:szCs w:val="17"/>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20,225,619</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66,617,004</w:t>
            </w:r>
          </w:p>
        </w:tc>
        <w:tc>
          <w:tcPr>
            <w:tcW w:w="320" w:type="dxa"/>
            <w:vAlign w:val="bottom"/>
          </w:tcPr>
          <w:p>
            <w:pPr>
              <w:spacing w:after="0"/>
              <w:rPr>
                <w:sz w:val="17"/>
                <w:szCs w:val="17"/>
                <w:color w:val="auto"/>
              </w:rPr>
            </w:pP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65,502,882</w:t>
            </w:r>
          </w:p>
        </w:tc>
        <w:tc>
          <w:tcPr>
            <w:tcW w:w="8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bottom w:val="single" w:sz="8" w:color="auto"/>
            </w:tcBorders>
            <w:shd w:val="clear" w:color="auto" w:fill="EEEEEE"/>
          </w:tcPr>
          <w:p>
            <w:pPr>
              <w:spacing w:after="0"/>
              <w:rPr>
                <w:sz w:val="18"/>
                <w:szCs w:val="18"/>
                <w:color w:val="auto"/>
              </w:rPr>
            </w:pPr>
          </w:p>
        </w:tc>
        <w:tc>
          <w:tcPr>
            <w:tcW w:w="1120" w:type="dxa"/>
            <w:vAlign w:val="bottom"/>
            <w:tcBorders>
              <w:bottom w:val="single" w:sz="8" w:color="auto"/>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196"/>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23,308,508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20,225,619</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66,617,004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65,502,882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12,360,170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12,433,898</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36,591,581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39,755,919</w:t>
            </w:r>
          </w:p>
        </w:tc>
        <w:tc>
          <w:tcPr>
            <w:tcW w:w="80" w:type="dxa"/>
            <w:vAlign w:val="bottom"/>
          </w:tcPr>
          <w:p>
            <w:pPr>
              <w:spacing w:after="0"/>
              <w:rPr>
                <w:sz w:val="17"/>
                <w:szCs w:val="17"/>
                <w:color w:val="auto"/>
              </w:rPr>
            </w:pPr>
          </w:p>
        </w:tc>
      </w:tr>
      <w:tr>
        <w:trPr>
          <w:trHeight w:val="216"/>
        </w:trPr>
        <w:tc>
          <w:tcPr>
            <w:tcW w:w="47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bottom w:val="single" w:sz="8" w:color="auto"/>
            </w:tcBorders>
            <w:shd w:val="clear" w:color="auto" w:fill="EEEEEE"/>
          </w:tcPr>
          <w:p>
            <w:pPr>
              <w:spacing w:after="0"/>
              <w:rPr>
                <w:sz w:val="18"/>
                <w:szCs w:val="18"/>
                <w:color w:val="auto"/>
              </w:rPr>
            </w:pPr>
          </w:p>
        </w:tc>
        <w:tc>
          <w:tcPr>
            <w:tcW w:w="1120" w:type="dxa"/>
            <w:vAlign w:val="bottom"/>
            <w:tcBorders>
              <w:bottom w:val="single" w:sz="8" w:color="auto"/>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196"/>
        </w:trPr>
        <w:tc>
          <w:tcPr>
            <w:tcW w:w="4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10,948,338</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7,791,721</w:t>
            </w:r>
          </w:p>
        </w:tc>
        <w:tc>
          <w:tcPr>
            <w:tcW w:w="3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30,025,423</w:t>
            </w:r>
          </w:p>
        </w:tc>
        <w:tc>
          <w:tcPr>
            <w:tcW w:w="3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25,746,963</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Selling and fulfillment</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6,025,878</w:t>
            </w: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6,537,124</w:t>
            </w: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23,026,329</w:t>
            </w: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24,294,673</w:t>
            </w:r>
          </w:p>
        </w:tc>
        <w:tc>
          <w:tcPr>
            <w:tcW w:w="80" w:type="dxa"/>
            <w:vAlign w:val="bottom"/>
            <w:shd w:val="clear" w:color="auto" w:fill="EEEEEE"/>
          </w:tcPr>
          <w:p>
            <w:pPr>
              <w:spacing w:after="0"/>
              <w:rPr>
                <w:sz w:val="17"/>
                <w:szCs w:val="17"/>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3,321,184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3,065,795</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9,218,842</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8,879,326</w:t>
            </w:r>
          </w:p>
        </w:tc>
        <w:tc>
          <w:tcPr>
            <w:tcW w:w="80" w:type="dxa"/>
            <w:vAlign w:val="bottom"/>
          </w:tcPr>
          <w:p>
            <w:pPr>
              <w:spacing w:after="0"/>
              <w:rPr>
                <w:sz w:val="17"/>
                <w:szCs w:val="17"/>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Impairment loss - goodwill</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3,060,034</w:t>
            </w:r>
          </w:p>
        </w:tc>
        <w:tc>
          <w:tcPr>
            <w:tcW w:w="80" w:type="dxa"/>
            <w:vAlign w:val="bottom"/>
            <w:shd w:val="clear" w:color="auto" w:fill="EEEEEE"/>
          </w:tcPr>
          <w:p>
            <w:pPr>
              <w:spacing w:after="0"/>
              <w:rPr>
                <w:sz w:val="18"/>
                <w:szCs w:val="18"/>
                <w:color w:val="auto"/>
              </w:rPr>
            </w:pPr>
          </w:p>
        </w:tc>
      </w:tr>
      <w:tr>
        <w:trPr>
          <w:trHeight w:val="196"/>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9,347,062</w:t>
            </w: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9,602,919</w:t>
            </w:r>
          </w:p>
        </w:tc>
        <w:tc>
          <w:tcPr>
            <w:tcW w:w="320" w:type="dxa"/>
            <w:vAlign w:val="bottom"/>
            <w:tcBorders>
              <w:bottom w:val="single" w:sz="8" w:color="EEEEEE"/>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32,245,171</w:t>
            </w:r>
          </w:p>
        </w:tc>
        <w:tc>
          <w:tcPr>
            <w:tcW w:w="320" w:type="dxa"/>
            <w:vAlign w:val="bottom"/>
            <w:tcBorders>
              <w:bottom w:val="single" w:sz="8" w:color="EEEEEE"/>
            </w:tcBorders>
          </w:tcPr>
          <w:p>
            <w:pPr>
              <w:spacing w:after="0"/>
              <w:rPr>
                <w:sz w:val="17"/>
                <w:szCs w:val="17"/>
                <w:color w:val="auto"/>
              </w:rPr>
            </w:pPr>
          </w:p>
        </w:tc>
        <w:tc>
          <w:tcPr>
            <w:tcW w:w="20" w:type="dxa"/>
            <w:vAlign w:val="bottom"/>
            <w:tcBorders>
              <w:bottom w:val="single" w:sz="8" w:color="EEEEEE"/>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36,234,033</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r>
      <w:tr>
        <w:trPr>
          <w:trHeight w:val="196"/>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1,601,276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(1,811,198)</w:t>
            </w:r>
          </w:p>
        </w:tc>
        <w:tc>
          <w:tcPr>
            <w:tcW w:w="18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(2,219,748)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(10,487,070)</w:t>
            </w:r>
          </w:p>
        </w:tc>
      </w:tr>
      <w:tr>
        <w:trPr>
          <w:trHeight w:val="199"/>
        </w:trPr>
        <w:tc>
          <w:tcPr>
            <w:tcW w:w="47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Interest expenses</w:t>
            </w:r>
          </w:p>
        </w:tc>
        <w:tc>
          <w:tcPr>
            <w:tcW w:w="18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6"/>
                <w:szCs w:val="16"/>
                <w:color w:val="auto"/>
              </w:rPr>
              <w:t>(181,199)</w:t>
            </w: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(238,623)</w:t>
            </w:r>
          </w:p>
        </w:tc>
        <w:tc>
          <w:tcPr>
            <w:tcW w:w="18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rPr>
              <w:t>(592,176)</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2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(800,783)</w:t>
            </w: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180" w:type="dxa"/>
            <w:vAlign w:val="bottom"/>
          </w:tcPr>
          <w:p>
            <w:pPr>
              <w:spacing w:after="0"/>
              <w:rPr>
                <w:sz w:val="17"/>
                <w:szCs w:val="17"/>
                <w:color w:val="auto"/>
              </w:rPr>
            </w:pPr>
          </w:p>
        </w:tc>
        <w:tc>
          <w:tcPr>
            <w:tcW w:w="13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(792)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(1,297)</w:t>
            </w:r>
          </w:p>
        </w:tc>
        <w:tc>
          <w:tcPr>
            <w:tcW w:w="180" w:type="dxa"/>
            <w:vAlign w:val="bottom"/>
          </w:tcPr>
          <w:p>
            <w:pPr>
              <w:spacing w:after="0"/>
              <w:rPr>
                <w:sz w:val="17"/>
                <w:szCs w:val="17"/>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(2,618)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(8,625)</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Other non-operating income (expense)</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6"/>
                <w:szCs w:val="16"/>
                <w:color w:val="auto"/>
              </w:rPr>
              <w:t>(29,669)</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(72,235)</w:t>
            </w: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32,003</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199,125</w:t>
            </w:r>
          </w:p>
        </w:tc>
        <w:tc>
          <w:tcPr>
            <w:tcW w:w="80" w:type="dxa"/>
            <w:vAlign w:val="bottom"/>
            <w:shd w:val="clear" w:color="auto" w:fill="EEEEEE"/>
          </w:tcPr>
          <w:p>
            <w:pPr>
              <w:spacing w:after="0"/>
              <w:rPr>
                <w:sz w:val="18"/>
                <w:szCs w:val="18"/>
                <w:color w:val="auto"/>
              </w:rPr>
            </w:pPr>
          </w:p>
        </w:tc>
      </w:tr>
      <w:tr>
        <w:trPr>
          <w:trHeight w:val="210"/>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6"/>
                <w:szCs w:val="16"/>
                <w:color w:val="auto"/>
              </w:rPr>
              <w:t>Total other expenses, net</w:t>
            </w:r>
          </w:p>
        </w:tc>
        <w:tc>
          <w:tcPr>
            <w:tcW w:w="1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(211,660</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(312,155</w:t>
            </w:r>
          </w:p>
        </w:tc>
        <w:tc>
          <w:tcPr>
            <w:tcW w:w="320" w:type="dxa"/>
            <w:vAlign w:val="bottom"/>
            <w:tcBorders>
              <w:bottom w:val="single" w:sz="8" w:color="EEEEEE"/>
            </w:tcBorders>
          </w:tcPr>
          <w:p>
            <w:pPr>
              <w:jc w:val="right"/>
              <w:ind w:right="240"/>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(562,791</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(610,283</w:t>
            </w:r>
          </w:p>
        </w:tc>
        <w:tc>
          <w:tcPr>
            <w:tcW w:w="100" w:type="dxa"/>
            <w:vAlign w:val="bottom"/>
            <w:tcBorders>
              <w:bottom w:val="single" w:sz="8" w:color="EEEEEE"/>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1,389,616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(2,123,353)</w:t>
            </w:r>
          </w:p>
        </w:tc>
        <w:tc>
          <w:tcPr>
            <w:tcW w:w="180" w:type="dxa"/>
            <w:vAlign w:val="bottom"/>
          </w:tcPr>
          <w:p>
            <w:pPr>
              <w:spacing w:after="0"/>
              <w:rPr>
                <w:sz w:val="17"/>
                <w:szCs w:val="17"/>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(2,782,539)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(11,097,353)</w:t>
            </w:r>
          </w:p>
        </w:tc>
      </w:tr>
      <w:tr>
        <w:trPr>
          <w:trHeight w:val="203"/>
        </w:trPr>
        <w:tc>
          <w:tcPr>
            <w:tcW w:w="47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377,147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(589,581)</w:t>
            </w:r>
          </w:p>
        </w:tc>
        <w:tc>
          <w:tcPr>
            <w:tcW w:w="180" w:type="dxa"/>
            <w:vAlign w:val="bottom"/>
          </w:tcPr>
          <w:p>
            <w:pPr>
              <w:spacing w:after="0"/>
              <w:rPr>
                <w:sz w:val="18"/>
                <w:szCs w:val="18"/>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(587,674)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(2,085,126)</w:t>
            </w:r>
          </w:p>
        </w:tc>
      </w:tr>
      <w:tr>
        <w:trPr>
          <w:trHeight w:val="199"/>
        </w:trPr>
        <w:tc>
          <w:tcPr>
            <w:tcW w:w="4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1,012,469</w:t>
            </w: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(1,533,772)</w:t>
            </w:r>
          </w:p>
        </w:tc>
        <w:tc>
          <w:tcPr>
            <w:tcW w:w="3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(2,194,865)</w:t>
            </w:r>
          </w:p>
        </w:tc>
        <w:tc>
          <w:tcPr>
            <w:tcW w:w="320" w:type="dxa"/>
            <w:vAlign w:val="bottom"/>
            <w:tcBorders>
              <w:top w:val="single" w:sz="8" w:color="EEEEEE"/>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(9,012,227)</w:t>
            </w:r>
          </w:p>
        </w:tc>
        <w:tc>
          <w:tcPr>
            <w:tcW w:w="100" w:type="dxa"/>
            <w:vAlign w:val="bottom"/>
            <w:tcBorders>
              <w:top w:val="single" w:sz="8" w:color="EEEEEE"/>
            </w:tcBorders>
            <w:gridSpan w:val="2"/>
            <w:shd w:val="clear" w:color="auto" w:fill="EEEEEE"/>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shd w:val="clear" w:color="auto" w:fill="EEEEEE"/>
          </w:tcPr>
          <w:p>
            <w:pPr>
              <w:spacing w:after="0"/>
              <w:rPr>
                <w:sz w:val="17"/>
                <w:szCs w:val="17"/>
                <w:color w:val="auto"/>
              </w:rPr>
            </w:pPr>
          </w:p>
        </w:tc>
        <w:tc>
          <w:tcPr>
            <w:tcW w:w="138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6"/>
                <w:szCs w:val="16"/>
                <w:color w:val="auto"/>
              </w:rPr>
              <w:t>(3,613)</w:t>
            </w: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46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6"/>
                <w:szCs w:val="16"/>
                <w:color w:val="auto"/>
              </w:rPr>
              <w:t>(3,238)</w:t>
            </w:r>
          </w:p>
        </w:tc>
        <w:tc>
          <w:tcPr>
            <w:tcW w:w="180" w:type="dxa"/>
            <w:vAlign w:val="bottom"/>
            <w:shd w:val="clear" w:color="auto" w:fill="EEEEEE"/>
          </w:tcPr>
          <w:p>
            <w:pPr>
              <w:spacing w:after="0"/>
              <w:rPr>
                <w:sz w:val="17"/>
                <w:szCs w:val="17"/>
                <w:color w:val="auto"/>
              </w:rPr>
            </w:pPr>
          </w:p>
        </w:tc>
        <w:tc>
          <w:tcPr>
            <w:tcW w:w="148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rPr>
              <w:t>(9,604)</w:t>
            </w: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2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(8,878)</w:t>
            </w:r>
          </w:p>
        </w:tc>
      </w:tr>
      <w:tr>
        <w:trPr>
          <w:trHeight w:val="216"/>
        </w:trPr>
        <w:tc>
          <w:tcPr>
            <w:tcW w:w="474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19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NET INCOME (LOSS) ATTRIBUTABLE TO IPOWER INC.</w:t>
            </w: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1,016,082</w:t>
            </w: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(1,530,534)</w:t>
            </w: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(2,185,261)</w:t>
            </w: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(9,003,349)</w:t>
            </w:r>
          </w:p>
        </w:tc>
        <w:tc>
          <w:tcPr>
            <w:tcW w:w="100" w:type="dxa"/>
            <w:vAlign w:val="bottom"/>
            <w:gridSpan w:val="2"/>
            <w:shd w:val="clear" w:color="auto" w:fill="EEEEEE"/>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03"/>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17,604</w:t>
            </w:r>
          </w:p>
        </w:tc>
        <w:tc>
          <w:tcPr>
            <w:tcW w:w="180" w:type="dxa"/>
            <w:vAlign w:val="bottom"/>
          </w:tcPr>
          <w:p>
            <w:pPr>
              <w:spacing w:after="0"/>
              <w:rPr>
                <w:sz w:val="17"/>
                <w:szCs w:val="17"/>
                <w:color w:val="auto"/>
              </w:rPr>
            </w:pP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(91,840)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(46,722)</w:t>
            </w:r>
          </w:p>
        </w:tc>
      </w:tr>
      <w:tr>
        <w:trPr>
          <w:trHeight w:val="216"/>
        </w:trPr>
        <w:tc>
          <w:tcPr>
            <w:tcW w:w="474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80" w:type="dxa"/>
            <w:vAlign w:val="bottom"/>
            <w:tcBorders>
              <w:bottom w:val="single" w:sz="8" w:color="auto"/>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114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116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tcBorders>
              <w:bottom w:val="single" w:sz="8" w:color="auto"/>
            </w:tcBorders>
            <w:shd w:val="clear" w:color="auto" w:fill="EEEEEE"/>
          </w:tcPr>
          <w:p>
            <w:pPr>
              <w:spacing w:after="0"/>
              <w:rPr>
                <w:sz w:val="18"/>
                <w:szCs w:val="18"/>
                <w:color w:val="auto"/>
              </w:rPr>
            </w:pPr>
          </w:p>
        </w:tc>
        <w:tc>
          <w:tcPr>
            <w:tcW w:w="1120" w:type="dxa"/>
            <w:vAlign w:val="bottom"/>
            <w:tcBorders>
              <w:bottom w:val="single" w:sz="8" w:color="auto"/>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169"/>
        </w:trPr>
        <w:tc>
          <w:tcPr>
            <w:tcW w:w="474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COMPREHENSIVE INCOME (LOSS) ATTRIBUTABLE TO</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80"/>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IPOWER INC.</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1,085,204</w:t>
            </w:r>
          </w:p>
        </w:tc>
        <w:tc>
          <w:tcPr>
            <w:tcW w:w="200" w:type="dxa"/>
            <w:vAlign w:val="bottom"/>
          </w:tcPr>
          <w:p>
            <w:pPr>
              <w:spacing w:after="0"/>
              <w:rPr>
                <w:sz w:val="24"/>
                <w:szCs w:val="24"/>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(1,512,930)</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(2,277,101)</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(9,050,071)</w:t>
            </w:r>
          </w:p>
        </w:tc>
      </w:tr>
      <w:tr>
        <w:trPr>
          <w:trHeight w:val="186"/>
        </w:trPr>
        <w:tc>
          <w:tcPr>
            <w:tcW w:w="47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114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1120" w:type="dxa"/>
            <w:vAlign w:val="bottom"/>
            <w:tcBorders>
              <w:top w:val="single" w:sz="8" w:color="auto"/>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EEEEEE"/>
            </w:tcBorders>
            <w:shd w:val="clear" w:color="auto" w:fill="EEEEEE"/>
          </w:tcPr>
          <w:p>
            <w:pPr>
              <w:spacing w:after="0"/>
              <w:rPr>
                <w:sz w:val="16"/>
                <w:szCs w:val="16"/>
                <w:color w:val="auto"/>
              </w:rPr>
            </w:pPr>
          </w:p>
        </w:tc>
      </w:tr>
      <w:tr>
        <w:trPr>
          <w:trHeight w:val="20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COMMON STOCK</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6"/>
                <w:szCs w:val="16"/>
                <w:color w:val="auto"/>
              </w:rPr>
              <w:t>29,821,811</w:t>
            </w: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29,730,914</w:t>
            </w:r>
          </w:p>
        </w:tc>
        <w:tc>
          <w:tcPr>
            <w:tcW w:w="180" w:type="dxa"/>
            <w:vAlign w:val="bottom"/>
            <w:shd w:val="clear" w:color="auto" w:fill="EEEEEE"/>
          </w:tcPr>
          <w:p>
            <w:pPr>
              <w:spacing w:after="0"/>
              <w:rPr>
                <w:sz w:val="19"/>
                <w:szCs w:val="19"/>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29,791,990</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29,702,014</w:t>
            </w:r>
          </w:p>
        </w:tc>
        <w:tc>
          <w:tcPr>
            <w:tcW w:w="80" w:type="dxa"/>
            <w:vAlign w:val="bottom"/>
            <w:shd w:val="clear" w:color="auto" w:fill="EEEEEE"/>
          </w:tcPr>
          <w:p>
            <w:pPr>
              <w:spacing w:after="0"/>
              <w:rPr>
                <w:sz w:val="19"/>
                <w:szCs w:val="19"/>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6"/>
                <w:szCs w:val="16"/>
                <w:color w:val="auto"/>
              </w:rPr>
              <w:t>29,821,811</w:t>
            </w: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6"/>
                <w:szCs w:val="16"/>
                <w:color w:val="auto"/>
              </w:rPr>
              <w:t>29,730,914</w:t>
            </w:r>
          </w:p>
        </w:tc>
        <w:tc>
          <w:tcPr>
            <w:tcW w:w="180" w:type="dxa"/>
            <w:vAlign w:val="bottom"/>
            <w:shd w:val="clear" w:color="auto" w:fill="EEEEEE"/>
          </w:tcPr>
          <w:p>
            <w:pPr>
              <w:spacing w:after="0"/>
              <w:rPr>
                <w:sz w:val="19"/>
                <w:szCs w:val="19"/>
                <w:color w:val="auto"/>
              </w:rPr>
            </w:pP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29,791,990</w:t>
            </w:r>
          </w:p>
        </w:tc>
        <w:tc>
          <w:tcPr>
            <w:tcW w:w="32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29,702,014</w:t>
            </w:r>
          </w:p>
        </w:tc>
        <w:tc>
          <w:tcPr>
            <w:tcW w:w="80" w:type="dxa"/>
            <w:vAlign w:val="bottom"/>
            <w:shd w:val="clear" w:color="auto" w:fill="EEEEEE"/>
          </w:tcPr>
          <w:p>
            <w:pPr>
              <w:spacing w:after="0"/>
              <w:rPr>
                <w:sz w:val="19"/>
                <w:szCs w:val="19"/>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86"/>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EARNINGS (LOSSES) PER SHARE</w:t>
            </w:r>
          </w:p>
        </w:tc>
        <w:tc>
          <w:tcPr>
            <w:tcW w:w="18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66"/>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00" w:type="dxa"/>
            <w:vAlign w:val="bottom"/>
          </w:tcPr>
          <w:p>
            <w:pPr>
              <w:spacing w:after="0"/>
              <w:rPr>
                <w:sz w:val="23"/>
                <w:szCs w:val="23"/>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(0.07)</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(0.30)</w:t>
            </w:r>
          </w:p>
        </w:tc>
      </w:tr>
      <w:tr>
        <w:trPr>
          <w:trHeight w:val="186"/>
        </w:trPr>
        <w:tc>
          <w:tcPr>
            <w:tcW w:w="47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80" w:type="dxa"/>
            <w:vAlign w:val="bottom"/>
            <w:tcBorders>
              <w:top w:val="single" w:sz="8" w:color="auto"/>
            </w:tcBorders>
            <w:shd w:val="clear" w:color="auto" w:fill="EEEEEE"/>
          </w:tcPr>
          <w:p>
            <w:pPr>
              <w:spacing w:after="0"/>
              <w:rPr>
                <w:sz w:val="16"/>
                <w:szCs w:val="16"/>
                <w:color w:val="auto"/>
              </w:rPr>
            </w:pPr>
          </w:p>
        </w:tc>
        <w:tc>
          <w:tcPr>
            <w:tcW w:w="200" w:type="dxa"/>
            <w:vAlign w:val="bottom"/>
            <w:tcBorders>
              <w:top w:val="single" w:sz="8" w:color="EEEEEE"/>
            </w:tcBorders>
            <w:shd w:val="clear" w:color="auto" w:fill="EEEEEE"/>
          </w:tcPr>
          <w:p>
            <w:pPr>
              <w:spacing w:after="0"/>
              <w:rPr>
                <w:sz w:val="16"/>
                <w:szCs w:val="16"/>
                <w:color w:val="auto"/>
              </w:rPr>
            </w:pPr>
          </w:p>
        </w:tc>
        <w:tc>
          <w:tcPr>
            <w:tcW w:w="140" w:type="dxa"/>
            <w:vAlign w:val="bottom"/>
            <w:tcBorders>
              <w:top w:val="single" w:sz="8" w:color="EEEEEE"/>
            </w:tcBorders>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114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auto"/>
            </w:tcBorders>
            <w:shd w:val="clear" w:color="auto" w:fill="EEEEEE"/>
          </w:tcPr>
          <w:p>
            <w:pPr>
              <w:spacing w:after="0"/>
              <w:rPr>
                <w:sz w:val="16"/>
                <w:szCs w:val="16"/>
                <w:color w:val="auto"/>
              </w:rPr>
            </w:pPr>
          </w:p>
        </w:tc>
        <w:tc>
          <w:tcPr>
            <w:tcW w:w="1160" w:type="dxa"/>
            <w:vAlign w:val="bottom"/>
            <w:tcBorders>
              <w:top w:val="single" w:sz="8" w:color="auto"/>
            </w:tcBorders>
            <w:shd w:val="clear" w:color="auto" w:fill="EEEEEE"/>
          </w:tcPr>
          <w:p>
            <w:pPr>
              <w:spacing w:after="0"/>
              <w:rPr>
                <w:sz w:val="16"/>
                <w:szCs w:val="16"/>
                <w:color w:val="auto"/>
              </w:rPr>
            </w:pPr>
          </w:p>
        </w:tc>
        <w:tc>
          <w:tcPr>
            <w:tcW w:w="320" w:type="dxa"/>
            <w:vAlign w:val="bottom"/>
            <w:tcBorders>
              <w:top w:val="single" w:sz="8" w:color="EEEEEE"/>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200" w:type="dxa"/>
            <w:vAlign w:val="bottom"/>
            <w:tcBorders>
              <w:top w:val="single" w:sz="8" w:color="auto"/>
            </w:tcBorders>
            <w:shd w:val="clear" w:color="auto" w:fill="EEEEEE"/>
          </w:tcPr>
          <w:p>
            <w:pPr>
              <w:spacing w:after="0"/>
              <w:rPr>
                <w:sz w:val="16"/>
                <w:szCs w:val="16"/>
                <w:color w:val="auto"/>
              </w:rPr>
            </w:pPr>
          </w:p>
        </w:tc>
        <w:tc>
          <w:tcPr>
            <w:tcW w:w="1120" w:type="dxa"/>
            <w:vAlign w:val="bottom"/>
            <w:tcBorders>
              <w:top w:val="single" w:sz="8" w:color="auto"/>
            </w:tcBorders>
            <w:shd w:val="clear" w:color="auto" w:fill="EEEEEE"/>
          </w:tcPr>
          <w:p>
            <w:pPr>
              <w:spacing w:after="0"/>
              <w:rPr>
                <w:sz w:val="16"/>
                <w:szCs w:val="16"/>
                <w:color w:val="auto"/>
              </w:rPr>
            </w:pPr>
          </w:p>
        </w:tc>
        <w:tc>
          <w:tcPr>
            <w:tcW w:w="20" w:type="dxa"/>
            <w:vAlign w:val="bottom"/>
            <w:tcBorders>
              <w:top w:val="single" w:sz="8" w:color="EEEEEE"/>
            </w:tcBorders>
            <w:shd w:val="clear" w:color="auto" w:fill="EEEEEE"/>
          </w:tcPr>
          <w:p>
            <w:pPr>
              <w:spacing w:after="0"/>
              <w:rPr>
                <w:sz w:val="16"/>
                <w:szCs w:val="16"/>
                <w:color w:val="auto"/>
              </w:rPr>
            </w:pPr>
          </w:p>
        </w:tc>
        <w:tc>
          <w:tcPr>
            <w:tcW w:w="80" w:type="dxa"/>
            <w:vAlign w:val="bottom"/>
            <w:tcBorders>
              <w:top w:val="single" w:sz="8" w:color="EEEEEE"/>
            </w:tcBorders>
            <w:shd w:val="clear" w:color="auto" w:fill="EEEEEE"/>
          </w:tcPr>
          <w:p>
            <w:pPr>
              <w:spacing w:after="0"/>
              <w:rPr>
                <w:sz w:val="16"/>
                <w:szCs w:val="16"/>
                <w:color w:val="auto"/>
              </w:rPr>
            </w:pPr>
          </w:p>
        </w:tc>
      </w:tr>
      <w:tr>
        <w:trPr>
          <w:trHeight w:val="226"/>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200" w:type="dxa"/>
            <w:vAlign w:val="bottom"/>
          </w:tcPr>
          <w:p>
            <w:pPr>
              <w:spacing w:after="0"/>
              <w:rPr>
                <w:sz w:val="19"/>
                <w:szCs w:val="19"/>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(0.05)</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tcPr>
          <w:p>
            <w:pPr>
              <w:jc w:val="right"/>
              <w:ind w:right="201"/>
              <w:spacing w:after="0"/>
              <w:rPr>
                <w:sz w:val="20"/>
                <w:szCs w:val="20"/>
                <w:color w:val="auto"/>
              </w:rPr>
            </w:pPr>
            <w:r>
              <w:rPr>
                <w:rFonts w:ascii="Times New Roman" w:cs="Times New Roman" w:eastAsia="Times New Roman" w:hAnsi="Times New Roman"/>
                <w:sz w:val="16"/>
                <w:szCs w:val="16"/>
                <w:color w:val="auto"/>
              </w:rPr>
              <w:t>(0.07)</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(0.30)</w:t>
            </w:r>
          </w:p>
        </w:tc>
      </w:tr>
      <w:tr>
        <w:trPr>
          <w:trHeight w:val="20"/>
        </w:trPr>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Three and Nine Months Ended March 31, 2024 and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319"/>
              <w:spacing w:after="0"/>
              <w:rPr>
                <w:sz w:val="20"/>
                <w:szCs w:val="20"/>
                <w:color w:val="auto"/>
              </w:rPr>
            </w:pPr>
            <w:r>
              <w:rPr>
                <w:rFonts w:ascii="Times New Roman" w:cs="Times New Roman" w:eastAsia="Times New Roman" w:hAnsi="Times New Roman"/>
                <w:sz w:val="14"/>
                <w:szCs w:val="14"/>
                <w:color w:val="auto"/>
              </w:rPr>
              <w:t>Retained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gridSpan w:val="3"/>
          </w:tcPr>
          <w:p>
            <w:pPr>
              <w:jc w:val="center"/>
              <w:ind w:right="148"/>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279"/>
              <w:spacing w:after="0"/>
              <w:rPr>
                <w:sz w:val="20"/>
                <w:szCs w:val="20"/>
                <w:color w:val="auto"/>
              </w:rPr>
            </w:pPr>
            <w:r>
              <w:rPr>
                <w:rFonts w:ascii="Times New Roman" w:cs="Times New Roman" w:eastAsia="Times New Roman" w:hAnsi="Times New Roman"/>
                <w:sz w:val="14"/>
                <w:szCs w:val="14"/>
                <w:color w:val="auto"/>
              </w:rPr>
              <w:t>Non-</w:t>
            </w:r>
          </w:p>
        </w:tc>
        <w:tc>
          <w:tcPr>
            <w:tcW w:w="140" w:type="dxa"/>
            <w:vAlign w:val="bottom"/>
          </w:tcPr>
          <w:p>
            <w:pPr>
              <w:spacing w:after="0"/>
              <w:rPr>
                <w:sz w:val="12"/>
                <w:szCs w:val="12"/>
                <w:color w:val="auto"/>
              </w:rPr>
            </w:pPr>
          </w:p>
        </w:tc>
        <w:tc>
          <w:tcPr>
            <w:tcW w:w="9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0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19"/>
              <w:spacing w:after="0" w:line="149" w:lineRule="exact"/>
              <w:rPr>
                <w:sz w:val="20"/>
                <w:szCs w:val="20"/>
                <w:color w:val="auto"/>
              </w:rPr>
            </w:pPr>
            <w:r>
              <w:rPr>
                <w:rFonts w:ascii="Times New Roman" w:cs="Times New Roman" w:eastAsia="Times New Roman" w:hAnsi="Times New Roman"/>
                <w:sz w:val="14"/>
                <w:szCs w:val="14"/>
                <w:color w:val="auto"/>
              </w:rPr>
              <w:t>Earnings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Paid in</w:t>
            </w:r>
          </w:p>
        </w:tc>
        <w:tc>
          <w:tcPr>
            <w:tcW w:w="110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020" w:type="dxa"/>
            <w:vAlign w:val="bottom"/>
            <w:gridSpan w:val="2"/>
          </w:tcPr>
          <w:p>
            <w:pPr>
              <w:jc w:val="center"/>
              <w:ind w:right="279"/>
              <w:spacing w:after="0"/>
              <w:rPr>
                <w:sz w:val="20"/>
                <w:szCs w:val="20"/>
                <w:color w:val="auto"/>
              </w:rPr>
            </w:pPr>
            <w:r>
              <w:rPr>
                <w:rFonts w:ascii="Times New Roman" w:cs="Times New Roman" w:eastAsia="Times New Roman" w:hAnsi="Times New Roman"/>
                <w:sz w:val="14"/>
                <w:szCs w:val="14"/>
                <w:color w:val="auto"/>
              </w:rPr>
              <w:t>controlling</w:t>
            </w:r>
          </w:p>
        </w:tc>
        <w:tc>
          <w:tcPr>
            <w:tcW w:w="140" w:type="dxa"/>
            <w:vAlign w:val="bottom"/>
          </w:tcPr>
          <w:p>
            <w:pPr>
              <w:spacing w:after="0"/>
              <w:rPr>
                <w:sz w:val="14"/>
                <w:szCs w:val="14"/>
                <w:color w:val="auto"/>
              </w:rPr>
            </w:pPr>
          </w:p>
        </w:tc>
        <w:tc>
          <w:tcPr>
            <w:tcW w:w="96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color w:val="auto"/>
              </w:rPr>
              <w:t>Income</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3"/>
                <w:szCs w:val="13"/>
                <w:color w:val="auto"/>
              </w:rPr>
            </w:pPr>
          </w:p>
        </w:tc>
        <w:tc>
          <w:tcPr>
            <w:tcW w:w="920" w:type="dxa"/>
            <w:vAlign w:val="bottom"/>
            <w:gridSpan w:val="2"/>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3"/>
                <w:szCs w:val="13"/>
                <w:color w:val="auto"/>
              </w:rPr>
            </w:pPr>
          </w:p>
        </w:tc>
        <w:tc>
          <w:tcPr>
            <w:tcW w:w="960" w:type="dxa"/>
            <w:vAlign w:val="bottom"/>
            <w:gridSpan w:val="2"/>
          </w:tcPr>
          <w:p>
            <w:pPr>
              <w:jc w:val="center"/>
              <w:ind w:right="319"/>
              <w:spacing w:after="0" w:line="155" w:lineRule="exact"/>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3"/>
                <w:szCs w:val="13"/>
                <w:color w:val="auto"/>
              </w:rPr>
            </w:pPr>
          </w:p>
        </w:tc>
        <w:tc>
          <w:tcPr>
            <w:tcW w:w="1020" w:type="dxa"/>
            <w:vAlign w:val="bottom"/>
            <w:gridSpan w:val="2"/>
          </w:tcPr>
          <w:p>
            <w:pPr>
              <w:jc w:val="center"/>
              <w:ind w:right="279"/>
              <w:spacing w:after="0" w:line="155" w:lineRule="exact"/>
              <w:rPr>
                <w:sz w:val="20"/>
                <w:szCs w:val="20"/>
                <w:color w:val="auto"/>
              </w:rPr>
            </w:pPr>
            <w:r>
              <w:rPr>
                <w:rFonts w:ascii="Times New Roman" w:cs="Times New Roman" w:eastAsia="Times New Roman" w:hAnsi="Times New Roman"/>
                <w:sz w:val="14"/>
                <w:szCs w:val="14"/>
                <w:color w:val="auto"/>
                <w:w w:val="99"/>
              </w:rPr>
              <w:t>Interest</w:t>
            </w:r>
          </w:p>
        </w:tc>
        <w:tc>
          <w:tcPr>
            <w:tcW w:w="140" w:type="dxa"/>
            <w:vAlign w:val="bottom"/>
          </w:tcPr>
          <w:p>
            <w:pPr>
              <w:spacing w:after="0"/>
              <w:rPr>
                <w:sz w:val="13"/>
                <w:szCs w:val="13"/>
                <w:color w:val="auto"/>
              </w:rPr>
            </w:pPr>
          </w:p>
        </w:tc>
        <w:tc>
          <w:tcPr>
            <w:tcW w:w="960" w:type="dxa"/>
            <w:vAlign w:val="bottom"/>
            <w:gridSpan w:val="2"/>
          </w:tcPr>
          <w:p>
            <w:pPr>
              <w:jc w:val="center"/>
              <w:ind w:right="288"/>
              <w:spacing w:after="0" w:line="155" w:lineRule="exact"/>
              <w:rPr>
                <w:sz w:val="20"/>
                <w:szCs w:val="20"/>
                <w:color w:val="auto"/>
              </w:rPr>
            </w:pPr>
            <w:r>
              <w:rPr>
                <w:rFonts w:ascii="Times New Roman" w:cs="Times New Roman" w:eastAsia="Times New Roman" w:hAnsi="Times New Roman"/>
                <w:sz w:val="14"/>
                <w:szCs w:val="14"/>
                <w:color w:val="auto"/>
              </w:rPr>
              <w:t>(loss)</w:t>
            </w:r>
          </w:p>
        </w:tc>
        <w:tc>
          <w:tcPr>
            <w:tcW w:w="160" w:type="dxa"/>
            <w:vAlign w:val="bottom"/>
          </w:tcPr>
          <w:p>
            <w:pPr>
              <w:spacing w:after="0"/>
              <w:rPr>
                <w:sz w:val="13"/>
                <w:szCs w:val="13"/>
                <w:color w:val="auto"/>
              </w:rPr>
            </w:pPr>
          </w:p>
        </w:tc>
        <w:tc>
          <w:tcPr>
            <w:tcW w:w="840" w:type="dxa"/>
            <w:vAlign w:val="bottom"/>
            <w:gridSpan w:val="3"/>
          </w:tcPr>
          <w:p>
            <w:pPr>
              <w:jc w:val="right"/>
              <w:ind w:right="40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350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June 30, 2023</w:t>
            </w: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440" w:type="dxa"/>
            <w:vAlign w:val="bottom"/>
            <w:tcBorders>
              <w:top w:val="single" w:sz="8" w:color="auto"/>
            </w:tcBorders>
            <w:shd w:val="clear" w:color="auto" w:fill="EEEEEE"/>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29,712</w:t>
            </w:r>
          </w:p>
        </w:tc>
        <w:tc>
          <w:tcPr>
            <w:tcW w:w="2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29,624,520</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(8,702,442)</w:t>
            </w:r>
          </w:p>
        </w:tc>
        <w:tc>
          <w:tcPr>
            <w:tcW w:w="2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(24,915)</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(62,134)</w:t>
            </w:r>
          </w:p>
        </w:tc>
        <w:tc>
          <w:tcPr>
            <w:tcW w:w="2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20,864,741</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(1,286,515)</w:t>
            </w:r>
          </w:p>
        </w:tc>
        <w:tc>
          <w:tcPr>
            <w:tcW w:w="100" w:type="dxa"/>
            <w:vAlign w:val="bottom"/>
          </w:tcPr>
          <w:p>
            <w:pPr>
              <w:spacing w:after="0"/>
              <w:rPr>
                <w:sz w:val="12"/>
                <w:szCs w:val="12"/>
                <w:color w:val="auto"/>
              </w:rPr>
            </w:pPr>
          </w:p>
        </w:tc>
        <w:tc>
          <w:tcPr>
            <w:tcW w:w="10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(2,836)</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(1,289,351)</w:t>
            </w:r>
          </w:p>
        </w:tc>
        <w:tc>
          <w:tcPr>
            <w:tcW w:w="0" w:type="dxa"/>
            <w:vAlign w:val="bottom"/>
          </w:tcPr>
          <w:p>
            <w:pPr>
              <w:spacing w:after="0"/>
              <w:rPr>
                <w:sz w:val="1"/>
                <w:szCs w:val="1"/>
                <w:color w:val="auto"/>
              </w:rPr>
            </w:pPr>
          </w:p>
        </w:tc>
      </w:tr>
      <w:tr>
        <w:trPr>
          <w:trHeight w:val="149"/>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117,882</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(707)</w:t>
            </w:r>
          </w:p>
        </w:tc>
        <w:tc>
          <w:tcPr>
            <w:tcW w:w="16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(707)</w:t>
            </w:r>
          </w:p>
        </w:tc>
        <w:tc>
          <w:tcPr>
            <w:tcW w:w="0" w:type="dxa"/>
            <w:vAlign w:val="bottom"/>
          </w:tcPr>
          <w:p>
            <w:pPr>
              <w:spacing w:after="0"/>
              <w:rPr>
                <w:sz w:val="1"/>
                <w:szCs w:val="1"/>
                <w:color w:val="auto"/>
              </w:rPr>
            </w:pPr>
          </w:p>
        </w:tc>
      </w:tr>
      <w:tr>
        <w:trPr>
          <w:trHeight w:val="142"/>
        </w:trPr>
        <w:tc>
          <w:tcPr>
            <w:tcW w:w="350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2023, unaudited</w:t>
            </w: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440" w:type="dxa"/>
            <w:vAlign w:val="bottom"/>
            <w:tcBorders>
              <w:top w:val="single" w:sz="8" w:color="auto"/>
            </w:tcBorders>
            <w:shd w:val="clear" w:color="auto" w:fill="EEEEEE"/>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29,712</w:t>
            </w:r>
          </w:p>
        </w:tc>
        <w:tc>
          <w:tcPr>
            <w:tcW w:w="2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29,742,402</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(9,988,957)</w:t>
            </w:r>
          </w:p>
        </w:tc>
        <w:tc>
          <w:tcPr>
            <w:tcW w:w="2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(27,751)</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(62,841)</w:t>
            </w:r>
          </w:p>
        </w:tc>
        <w:tc>
          <w:tcPr>
            <w:tcW w:w="2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19,692,565</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(1,914,828)</w:t>
            </w:r>
          </w:p>
        </w:tc>
        <w:tc>
          <w:tcPr>
            <w:tcW w:w="100" w:type="dxa"/>
            <w:vAlign w:val="bottom"/>
          </w:tcPr>
          <w:p>
            <w:pPr>
              <w:spacing w:after="0"/>
              <w:rPr>
                <w:sz w:val="12"/>
                <w:szCs w:val="12"/>
                <w:color w:val="auto"/>
              </w:rPr>
            </w:pPr>
          </w:p>
        </w:tc>
        <w:tc>
          <w:tcPr>
            <w:tcW w:w="10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(3,155)</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(1,917,983)</w:t>
            </w:r>
          </w:p>
        </w:tc>
        <w:tc>
          <w:tcPr>
            <w:tcW w:w="0" w:type="dxa"/>
            <w:vAlign w:val="bottom"/>
          </w:tcPr>
          <w:p>
            <w:pPr>
              <w:spacing w:after="0"/>
              <w:rPr>
                <w:sz w:val="1"/>
                <w:szCs w:val="1"/>
                <w:color w:val="auto"/>
              </w:rPr>
            </w:pPr>
          </w:p>
        </w:tc>
      </w:tr>
      <w:tr>
        <w:trPr>
          <w:trHeight w:val="149"/>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141,245</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141,245</w:t>
            </w:r>
          </w:p>
        </w:tc>
        <w:tc>
          <w:tcPr>
            <w:tcW w:w="0" w:type="dxa"/>
            <w:vAlign w:val="bottom"/>
          </w:tcPr>
          <w:p>
            <w:pPr>
              <w:spacing w:after="0"/>
              <w:rPr>
                <w:sz w:val="1"/>
                <w:szCs w:val="1"/>
                <w:color w:val="auto"/>
              </w:rPr>
            </w:pPr>
          </w:p>
        </w:tc>
      </w:tr>
      <w:tr>
        <w:trPr>
          <w:trHeight w:val="162"/>
        </w:trPr>
        <w:tc>
          <w:tcPr>
            <w:tcW w:w="3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(160,255)</w:t>
            </w:r>
          </w:p>
        </w:tc>
        <w:tc>
          <w:tcPr>
            <w:tcW w:w="16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(160,255)</w:t>
            </w:r>
          </w:p>
        </w:tc>
        <w:tc>
          <w:tcPr>
            <w:tcW w:w="0" w:type="dxa"/>
            <w:vAlign w:val="bottom"/>
          </w:tcPr>
          <w:p>
            <w:pPr>
              <w:spacing w:after="0"/>
              <w:rPr>
                <w:sz w:val="1"/>
                <w:szCs w:val="1"/>
                <w:color w:val="auto"/>
              </w:rPr>
            </w:pPr>
          </w:p>
        </w:tc>
      </w:tr>
      <w:tr>
        <w:trPr>
          <w:trHeight w:val="142"/>
        </w:trPr>
        <w:tc>
          <w:tcPr>
            <w:tcW w:w="350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2023, unaudited</w:t>
            </w: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29,710,939</w:t>
            </w:r>
          </w:p>
        </w:tc>
        <w:tc>
          <w:tcPr>
            <w:tcW w:w="1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EEEEEE"/>
            </w:tcBorders>
            <w:shd w:val="clear" w:color="auto" w:fill="EEEEEE"/>
          </w:tcPr>
          <w:p>
            <w:pPr>
              <w:spacing w:after="0"/>
              <w:rPr>
                <w:sz w:val="12"/>
                <w:szCs w:val="12"/>
                <w:color w:val="auto"/>
              </w:rPr>
            </w:pPr>
          </w:p>
        </w:tc>
        <w:tc>
          <w:tcPr>
            <w:tcW w:w="440" w:type="dxa"/>
            <w:vAlign w:val="bottom"/>
            <w:tcBorders>
              <w:top w:val="single" w:sz="8" w:color="auto"/>
            </w:tcBorders>
            <w:shd w:val="clear" w:color="auto" w:fill="EEEEEE"/>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29,712</w:t>
            </w:r>
          </w:p>
        </w:tc>
        <w:tc>
          <w:tcPr>
            <w:tcW w:w="24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29,883,647</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(11,903,785)</w:t>
            </w:r>
          </w:p>
        </w:tc>
        <w:tc>
          <w:tcPr>
            <w:tcW w:w="20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(30,906)</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(223,096)</w:t>
            </w:r>
          </w:p>
        </w:tc>
        <w:tc>
          <w:tcPr>
            <w:tcW w:w="2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17,755,572</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1,016,082</w:t>
            </w:r>
          </w:p>
        </w:tc>
        <w:tc>
          <w:tcPr>
            <w:tcW w:w="100" w:type="dxa"/>
            <w:vAlign w:val="bottom"/>
          </w:tcPr>
          <w:p>
            <w:pPr>
              <w:spacing w:after="0"/>
              <w:rPr>
                <w:sz w:val="12"/>
                <w:szCs w:val="12"/>
                <w:color w:val="auto"/>
              </w:rPr>
            </w:pPr>
          </w:p>
        </w:tc>
        <w:tc>
          <w:tcPr>
            <w:tcW w:w="10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(3,613)</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1,012,469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130,457</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130,457</w:t>
            </w: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shares issued for vested RSUs</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107,293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14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7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69,122</w:t>
            </w:r>
          </w:p>
        </w:tc>
        <w:tc>
          <w:tcPr>
            <w:tcW w:w="160" w:type="dxa"/>
            <w:vAlign w:val="bottom"/>
            <w:shd w:val="clear" w:color="auto" w:fill="EEEEEE"/>
          </w:tcPr>
          <w:p>
            <w:pPr>
              <w:spacing w:after="0"/>
              <w:rPr>
                <w:sz w:val="14"/>
                <w:szCs w:val="14"/>
                <w:color w:val="auto"/>
              </w:rPr>
            </w:pPr>
          </w:p>
        </w:tc>
        <w:tc>
          <w:tcPr>
            <w:tcW w:w="8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69,122</w:t>
            </w:r>
          </w:p>
        </w:tc>
        <w:tc>
          <w:tcPr>
            <w:tcW w:w="0" w:type="dxa"/>
            <w:vAlign w:val="bottom"/>
          </w:tcPr>
          <w:p>
            <w:pPr>
              <w:spacing w:after="0"/>
              <w:rPr>
                <w:sz w:val="1"/>
                <w:szCs w:val="1"/>
                <w:color w:val="auto"/>
              </w:rPr>
            </w:pPr>
          </w:p>
        </w:tc>
      </w:tr>
      <w:tr>
        <w:trPr>
          <w:trHeight w:val="196"/>
        </w:trPr>
        <w:tc>
          <w:tcPr>
            <w:tcW w:w="3500" w:type="dxa"/>
            <w:vAlign w:val="bottom"/>
            <w:tcBorders>
              <w:bottom w:val="single" w:sz="8" w:color="EEEEEE"/>
            </w:tcBorders>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2024, unaudited</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29,818,232</w:t>
            </w: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29,819</w:t>
            </w:r>
          </w:p>
        </w:tc>
        <w:tc>
          <w:tcPr>
            <w:tcW w:w="240" w:type="dxa"/>
            <w:vAlign w:val="bottom"/>
            <w:tcBorders>
              <w:bottom w:val="single" w:sz="8" w:color="EEEEEE"/>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30,013,997</w:t>
            </w:r>
          </w:p>
        </w:tc>
        <w:tc>
          <w:tcPr>
            <w:tcW w:w="220" w:type="dxa"/>
            <w:vAlign w:val="bottom"/>
            <w:tcBorders>
              <w:bottom w:val="single" w:sz="8" w:color="EEEEEE"/>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(10,887,703</w:t>
            </w:r>
          </w:p>
        </w:tc>
        <w:tc>
          <w:tcPr>
            <w:tcW w:w="200" w:type="dxa"/>
            <w:vAlign w:val="bottom"/>
            <w:tcBorders>
              <w:bottom w:val="single" w:sz="8" w:color="EEEEEE"/>
            </w:tcBorders>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(34,519</w:t>
            </w:r>
          </w:p>
        </w:tc>
        <w:tc>
          <w:tcPr>
            <w:tcW w:w="220" w:type="dxa"/>
            <w:vAlign w:val="bottom"/>
            <w:tcBorders>
              <w:bottom w:val="single" w:sz="8" w:color="EEEEEE"/>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(153,974</w:t>
            </w:r>
          </w:p>
        </w:tc>
        <w:tc>
          <w:tcPr>
            <w:tcW w:w="220" w:type="dxa"/>
            <w:vAlign w:val="bottom"/>
            <w:tcBorders>
              <w:bottom w:val="single" w:sz="8" w:color="EEEEEE"/>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18,967,620</w:t>
            </w:r>
          </w:p>
        </w:tc>
        <w:tc>
          <w:tcPr>
            <w:tcW w:w="2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50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74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740" w:type="dxa"/>
            <w:vAlign w:val="bottom"/>
            <w:shd w:val="clear" w:color="auto" w:fill="EEEEEE"/>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2022</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29,572,382</w:t>
            </w:r>
          </w:p>
        </w:tc>
        <w:tc>
          <w:tcPr>
            <w:tcW w:w="560" w:type="dxa"/>
            <w:vAlign w:val="bottom"/>
            <w:gridSpan w:val="2"/>
          </w:tcPr>
          <w:p>
            <w:pPr>
              <w:jc w:val="right"/>
              <w:ind w:right="2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29,573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29,111,863</w:t>
            </w: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3,262,948</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(13,232)</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5,678</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32,396,830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(4,182,376)</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(2,805)</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(4,185,181)</w:t>
            </w: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137,882</w:t>
            </w:r>
          </w:p>
        </w:tc>
        <w:tc>
          <w:tcPr>
            <w:tcW w:w="14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137,882</w:t>
            </w:r>
          </w:p>
        </w:tc>
        <w:tc>
          <w:tcPr>
            <w:tcW w:w="0" w:type="dxa"/>
            <w:vAlign w:val="bottom"/>
          </w:tcPr>
          <w:p>
            <w:pPr>
              <w:spacing w:after="0"/>
              <w:rPr>
                <w:sz w:val="1"/>
                <w:szCs w:val="1"/>
                <w:color w:val="auto"/>
              </w:rPr>
            </w:pPr>
          </w:p>
        </w:tc>
      </w:tr>
      <w:tr>
        <w:trPr>
          <w:trHeight w:val="162"/>
        </w:trPr>
        <w:tc>
          <w:tcPr>
            <w:tcW w:w="35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7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88"/>
              <w:spacing w:after="0"/>
              <w:rPr>
                <w:sz w:val="20"/>
                <w:szCs w:val="20"/>
                <w:color w:val="auto"/>
              </w:rPr>
            </w:pPr>
            <w:r>
              <w:rPr>
                <w:rFonts w:ascii="Times New Roman" w:cs="Times New Roman" w:eastAsia="Times New Roman" w:hAnsi="Times New Roman"/>
                <w:sz w:val="14"/>
                <w:szCs w:val="14"/>
                <w:color w:val="auto"/>
              </w:rPr>
              <w:t>(111,475)</w:t>
            </w:r>
          </w:p>
        </w:tc>
        <w:tc>
          <w:tcPr>
            <w:tcW w:w="160" w:type="dxa"/>
            <w:vAlign w:val="bottom"/>
            <w:shd w:val="clear" w:color="auto" w:fill="EEEEEE"/>
          </w:tcPr>
          <w:p>
            <w:pPr>
              <w:spacing w:after="0"/>
              <w:rPr>
                <w:sz w:val="14"/>
                <w:szCs w:val="14"/>
                <w:color w:val="auto"/>
              </w:rPr>
            </w:pPr>
          </w:p>
        </w:tc>
        <w:tc>
          <w:tcPr>
            <w:tcW w:w="8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(111,475)</w:t>
            </w: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2022, unaudited</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29,572,382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29,573</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29,249,745</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(919,428)</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(16,037)</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(105,797)</w:t>
            </w:r>
          </w:p>
        </w:tc>
        <w:tc>
          <w:tcPr>
            <w:tcW w:w="22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28,238,056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(3,290,439)</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(2,835)</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(3,293,274)</w:t>
            </w: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132,266</w:t>
            </w:r>
          </w:p>
        </w:tc>
        <w:tc>
          <w:tcPr>
            <w:tcW w:w="14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132,266</w:t>
            </w:r>
          </w:p>
        </w:tc>
        <w:tc>
          <w:tcPr>
            <w:tcW w:w="0" w:type="dxa"/>
            <w:vAlign w:val="bottom"/>
          </w:tcPr>
          <w:p>
            <w:pPr>
              <w:spacing w:after="0"/>
              <w:rPr>
                <w:sz w:val="1"/>
                <w:szCs w:val="1"/>
                <w:color w:val="auto"/>
              </w:rPr>
            </w:pPr>
          </w:p>
        </w:tc>
      </w:tr>
      <w:tr>
        <w:trPr>
          <w:trHeight w:val="162"/>
        </w:trPr>
        <w:tc>
          <w:tcPr>
            <w:tcW w:w="35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7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47,149</w:t>
            </w:r>
          </w:p>
        </w:tc>
        <w:tc>
          <w:tcPr>
            <w:tcW w:w="160" w:type="dxa"/>
            <w:vAlign w:val="bottom"/>
            <w:shd w:val="clear" w:color="auto" w:fill="EEEEEE"/>
          </w:tcPr>
          <w:p>
            <w:pPr>
              <w:spacing w:after="0"/>
              <w:rPr>
                <w:sz w:val="14"/>
                <w:szCs w:val="14"/>
                <w:color w:val="auto"/>
              </w:rPr>
            </w:pPr>
          </w:p>
        </w:tc>
        <w:tc>
          <w:tcPr>
            <w:tcW w:w="8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47,149</w:t>
            </w:r>
          </w:p>
        </w:tc>
        <w:tc>
          <w:tcPr>
            <w:tcW w:w="0" w:type="dxa"/>
            <w:vAlign w:val="bottom"/>
          </w:tcPr>
          <w:p>
            <w:pPr>
              <w:spacing w:after="0"/>
              <w:rPr>
                <w:sz w:val="1"/>
                <w:szCs w:val="1"/>
                <w:color w:val="auto"/>
              </w:rPr>
            </w:pPr>
          </w:p>
        </w:tc>
      </w:tr>
      <w:tr>
        <w:trPr>
          <w:trHeight w:val="142"/>
        </w:trPr>
        <w:tc>
          <w:tcPr>
            <w:tcW w:w="35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2022, unaudited</w:t>
            </w: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29,572,382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29,573</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29,382,011</w:t>
            </w:r>
          </w:p>
        </w:tc>
        <w:tc>
          <w:tcPr>
            <w:tcW w:w="220" w:type="dxa"/>
            <w:vAlign w:val="bottom"/>
          </w:tcPr>
          <w:p>
            <w:pPr>
              <w:spacing w:after="0"/>
              <w:rPr>
                <w:sz w:val="12"/>
                <w:szCs w:val="12"/>
                <w:color w:val="auto"/>
              </w:rPr>
            </w:pPr>
          </w:p>
        </w:tc>
        <w:tc>
          <w:tcPr>
            <w:tcW w:w="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(4,209,867)</w:t>
            </w:r>
          </w:p>
        </w:tc>
        <w:tc>
          <w:tcPr>
            <w:tcW w:w="20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(18,872)</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(58,648)</w:t>
            </w:r>
          </w:p>
        </w:tc>
        <w:tc>
          <w:tcPr>
            <w:tcW w:w="22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25,124,197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shd w:val="clear" w:color="auto" w:fill="EEEEEE"/>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040" w:type="dxa"/>
            <w:vAlign w:val="bottom"/>
            <w:gridSpan w:val="2"/>
            <w:shd w:val="clear" w:color="auto" w:fill="EEEEEE"/>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720" w:type="dxa"/>
            <w:vAlign w:val="bottom"/>
            <w:gridSpan w:val="2"/>
            <w:shd w:val="clear" w:color="auto" w:fill="EEEEEE"/>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00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(1,530,534)</w:t>
            </w:r>
          </w:p>
        </w:tc>
        <w:tc>
          <w:tcPr>
            <w:tcW w:w="100" w:type="dxa"/>
            <w:vAlign w:val="bottom"/>
            <w:shd w:val="clear" w:color="auto" w:fill="EEEEEE"/>
          </w:tcPr>
          <w:p>
            <w:pPr>
              <w:spacing w:after="0"/>
              <w:rPr>
                <w:sz w:val="12"/>
                <w:szCs w:val="12"/>
                <w:color w:val="auto"/>
              </w:rPr>
            </w:pPr>
          </w:p>
        </w:tc>
        <w:tc>
          <w:tcPr>
            <w:tcW w:w="1020" w:type="dxa"/>
            <w:vAlign w:val="bottom"/>
            <w:gridSpan w:val="2"/>
            <w:shd w:val="clear" w:color="auto" w:fill="EEEEEE"/>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(3,238)</w:t>
            </w:r>
          </w:p>
        </w:tc>
        <w:tc>
          <w:tcPr>
            <w:tcW w:w="140" w:type="dxa"/>
            <w:vAlign w:val="bottom"/>
            <w:shd w:val="clear" w:color="auto" w:fill="EEEEEE"/>
          </w:tcPr>
          <w:p>
            <w:pPr>
              <w:spacing w:after="0"/>
              <w:rPr>
                <w:sz w:val="12"/>
                <w:szCs w:val="12"/>
                <w:color w:val="auto"/>
              </w:rPr>
            </w:pPr>
          </w:p>
        </w:tc>
        <w:tc>
          <w:tcPr>
            <w:tcW w:w="960" w:type="dxa"/>
            <w:vAlign w:val="bottom"/>
            <w:gridSpan w:val="2"/>
            <w:shd w:val="clear" w:color="auto" w:fill="EEEEEE"/>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84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(1,533,772)</w:t>
            </w:r>
          </w:p>
        </w:tc>
        <w:tc>
          <w:tcPr>
            <w:tcW w:w="0" w:type="dxa"/>
            <w:vAlign w:val="bottom"/>
          </w:tcPr>
          <w:p>
            <w:pPr>
              <w:spacing w:after="0"/>
              <w:rPr>
                <w:sz w:val="1"/>
                <w:szCs w:val="1"/>
                <w:color w:val="auto"/>
              </w:rPr>
            </w:pPr>
          </w:p>
        </w:tc>
      </w:tr>
      <w:tr>
        <w:trPr>
          <w:trHeight w:val="148"/>
        </w:trPr>
        <w:tc>
          <w:tcPr>
            <w:tcW w:w="3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117,574</w:t>
            </w:r>
          </w:p>
        </w:tc>
        <w:tc>
          <w:tcPr>
            <w:tcW w:w="140" w:type="dxa"/>
            <w:vAlign w:val="bottom"/>
          </w:tcPr>
          <w:p>
            <w:pPr>
              <w:spacing w:after="0"/>
              <w:rPr>
                <w:sz w:val="12"/>
                <w:szCs w:val="12"/>
                <w:color w:val="auto"/>
              </w:rPr>
            </w:pPr>
          </w:p>
        </w:tc>
        <w:tc>
          <w:tcPr>
            <w:tcW w:w="96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117,574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0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EEEEEE"/>
          </w:tcPr>
          <w:p>
            <w:pPr>
              <w:spacing w:after="0"/>
              <w:rPr>
                <w:sz w:val="14"/>
                <w:szCs w:val="14"/>
                <w:color w:val="auto"/>
              </w:rPr>
            </w:pPr>
          </w:p>
        </w:tc>
        <w:tc>
          <w:tcPr>
            <w:tcW w:w="440" w:type="dxa"/>
            <w:vAlign w:val="bottom"/>
            <w:shd w:val="clear" w:color="auto" w:fill="EEEEEE"/>
          </w:tcPr>
          <w:p>
            <w:pPr>
              <w:spacing w:after="0"/>
              <w:rPr>
                <w:sz w:val="14"/>
                <w:szCs w:val="14"/>
                <w:color w:val="auto"/>
              </w:rPr>
            </w:pPr>
          </w:p>
        </w:tc>
        <w:tc>
          <w:tcPr>
            <w:tcW w:w="7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020" w:type="dxa"/>
            <w:vAlign w:val="bottom"/>
            <w:gridSpan w:val="2"/>
            <w:shd w:val="clear" w:color="auto" w:fill="EEEEEE"/>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148"/>
              <w:spacing w:after="0"/>
              <w:rPr>
                <w:sz w:val="20"/>
                <w:szCs w:val="20"/>
                <w:color w:val="auto"/>
              </w:rPr>
            </w:pPr>
            <w:r>
              <w:rPr>
                <w:rFonts w:ascii="Times New Roman" w:cs="Times New Roman" w:eastAsia="Times New Roman" w:hAnsi="Times New Roman"/>
                <w:sz w:val="14"/>
                <w:szCs w:val="14"/>
                <w:color w:val="auto"/>
              </w:rPr>
              <w:t>17,604</w:t>
            </w:r>
          </w:p>
        </w:tc>
        <w:tc>
          <w:tcPr>
            <w:tcW w:w="160" w:type="dxa"/>
            <w:vAlign w:val="bottom"/>
            <w:shd w:val="clear" w:color="auto" w:fill="EEEEEE"/>
          </w:tcPr>
          <w:p>
            <w:pPr>
              <w:spacing w:after="0"/>
              <w:rPr>
                <w:sz w:val="14"/>
                <w:szCs w:val="14"/>
                <w:color w:val="auto"/>
              </w:rPr>
            </w:pPr>
          </w:p>
        </w:tc>
        <w:tc>
          <w:tcPr>
            <w:tcW w:w="8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17,604</w:t>
            </w:r>
          </w:p>
        </w:tc>
        <w:tc>
          <w:tcPr>
            <w:tcW w:w="0" w:type="dxa"/>
            <w:vAlign w:val="bottom"/>
          </w:tcPr>
          <w:p>
            <w:pPr>
              <w:spacing w:after="0"/>
              <w:rPr>
                <w:sz w:val="1"/>
                <w:szCs w:val="1"/>
                <w:color w:val="auto"/>
              </w:rPr>
            </w:pPr>
          </w:p>
        </w:tc>
      </w:tr>
      <w:tr>
        <w:trPr>
          <w:trHeight w:val="155"/>
        </w:trPr>
        <w:tc>
          <w:tcPr>
            <w:tcW w:w="350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2023, unaudited</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29,572,382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29,573</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29,499,585</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(5,740,401</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(22,110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(41,044</w:t>
            </w:r>
          </w:p>
        </w:tc>
        <w:tc>
          <w:tcPr>
            <w:tcW w:w="22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23,725,603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iPower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Nine Months Ended March 31, 2024 and 2023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color w:val="auto"/>
              </w:rPr>
              <w:t>For the Nine Months Ended March 31,</w:t>
            </w:r>
          </w:p>
        </w:tc>
      </w:tr>
      <w:tr>
        <w:trPr>
          <w:trHeight w:val="216"/>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(Unaudited)</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8"/>
                <w:szCs w:val="18"/>
                <w:color w:val="auto"/>
              </w:rPr>
            </w:pPr>
          </w:p>
        </w:tc>
      </w:tr>
      <w:tr>
        <w:trPr>
          <w:trHeight w:val="195"/>
        </w:trPr>
        <w:tc>
          <w:tcPr>
            <w:tcW w:w="7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(2,194,865)</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(9,012,227)</w:t>
            </w: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to cash provided by operating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599,241</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594,718</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Inventory reserve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222,755</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238,899</w:t>
            </w: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equity method investment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2,618</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8,625</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Impairment loss - goodwill</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3,060,034</w:t>
            </w: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389,584</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387,722</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(3,555)</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27,874</w:t>
            </w: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debt premium / discount and non-cash financing costs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167,312</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161,074</w:t>
            </w: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(2,772,149)</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1,727,405</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8,498,848</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10,547,933</w:t>
            </w: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tax assets/liabilities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(601,170)</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(2,485,274)</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1,226,083</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1,974,296</w:t>
            </w: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Non-current prepayments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211,266</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323,751</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Other non-current assets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45,623</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11,448</w:t>
            </w: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954,095</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3,904,541</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Credit cards payable</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(130,781)</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(510,840)</w:t>
            </w:r>
          </w:p>
        </w:tc>
      </w:tr>
      <w:tr>
        <w:trPr>
          <w:trHeight w:val="20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Customer deposit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(10,627)</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209,405</w:t>
            </w:r>
          </w:p>
        </w:tc>
      </w:tr>
      <w:tr>
        <w:trPr>
          <w:trHeight w:val="203"/>
        </w:trPr>
        <w:tc>
          <w:tcPr>
            <w:tcW w:w="732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Other payables and accrued liabilities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(1,453,560)</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(3,473,115)</w:t>
            </w:r>
          </w:p>
        </w:tc>
      </w:tr>
      <w:tr>
        <w:trPr>
          <w:trHeight w:val="213"/>
        </w:trPr>
        <w:tc>
          <w:tcPr>
            <w:tcW w:w="73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1,238</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89,563</w:t>
            </w:r>
          </w:p>
        </w:tc>
      </w:tr>
      <w:tr>
        <w:trPr>
          <w:trHeight w:val="199"/>
        </w:trPr>
        <w:tc>
          <w:tcPr>
            <w:tcW w:w="732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5,151,956</w:t>
            </w:r>
          </w:p>
        </w:tc>
        <w:tc>
          <w:tcPr>
            <w:tcW w:w="3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7,785,832</w:t>
            </w:r>
          </w:p>
        </w:tc>
        <w:tc>
          <w:tcPr>
            <w:tcW w:w="100" w:type="dxa"/>
            <w:vAlign w:val="bottom"/>
            <w:tcBorders>
              <w:top w:val="single" w:sz="8" w:color="EEEEEE"/>
            </w:tcBorders>
            <w:shd w:val="clear" w:color="auto" w:fill="EEEEEE"/>
          </w:tcPr>
          <w:p>
            <w:pPr>
              <w:spacing w:after="0"/>
              <w:rPr>
                <w:sz w:val="17"/>
                <w:szCs w:val="17"/>
                <w:color w:val="auto"/>
              </w:rPr>
            </w:pPr>
          </w:p>
        </w:tc>
      </w:tr>
      <w:tr>
        <w:trPr>
          <w:trHeight w:val="203"/>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equipment</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(144,885)</w:t>
            </w:r>
          </w:p>
        </w:tc>
      </w:tr>
      <w:tr>
        <w:trPr>
          <w:trHeight w:val="216"/>
        </w:trPr>
        <w:tc>
          <w:tcPr>
            <w:tcW w:w="7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1340" w:type="dxa"/>
            <w:vAlign w:val="bottom"/>
            <w:tcBorders>
              <w:bottom w:val="single" w:sz="8" w:color="auto"/>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1340" w:type="dxa"/>
            <w:vAlign w:val="bottom"/>
            <w:tcBorders>
              <w:bottom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96"/>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(144,885)</w:t>
            </w:r>
          </w:p>
        </w:tc>
        <w:tc>
          <w:tcPr>
            <w:tcW w:w="100" w:type="dxa"/>
            <w:vAlign w:val="bottom"/>
          </w:tcPr>
          <w:p>
            <w:pPr>
              <w:spacing w:after="0"/>
              <w:rPr>
                <w:sz w:val="17"/>
                <w:szCs w:val="17"/>
                <w:color w:val="auto"/>
              </w:rPr>
            </w:pPr>
          </w:p>
        </w:tc>
      </w:tr>
      <w:tr>
        <w:trPr>
          <w:trHeight w:val="203"/>
        </w:trPr>
        <w:tc>
          <w:tcPr>
            <w:tcW w:w="7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Proceeds from related parties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94,409</w:t>
            </w: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to related parties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(82,500)</w:t>
            </w: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Proceeds from short-term loans - related party</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2,000,000</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31,385</w:t>
            </w: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on investment payable</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(1,500,000)</w:t>
            </w: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Payments on short-term loans - related party</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(2,000,000)</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short-term loans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(1,750,000)</w:t>
            </w:r>
          </w:p>
        </w:tc>
        <w:tc>
          <w:tcPr>
            <w:tcW w:w="24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(1,781,385)</w:t>
            </w:r>
          </w:p>
        </w:tc>
      </w:tr>
      <w:tr>
        <w:trPr>
          <w:trHeight w:val="203"/>
        </w:trPr>
        <w:tc>
          <w:tcPr>
            <w:tcW w:w="73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Proceeds from long-term loans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2,950,000</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3,835,615</w:t>
            </w:r>
          </w:p>
        </w:tc>
      </w:tr>
      <w:tr>
        <w:trPr>
          <w:trHeight w:val="213"/>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long-term loans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(7,300,000)</w:t>
            </w:r>
          </w:p>
        </w:tc>
        <w:tc>
          <w:tcPr>
            <w:tcW w:w="24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(8,600,000)</w:t>
            </w:r>
          </w:p>
        </w:tc>
      </w:tr>
      <w:tr>
        <w:trPr>
          <w:trHeight w:val="199"/>
        </w:trPr>
        <w:tc>
          <w:tcPr>
            <w:tcW w:w="732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(6,100,000)</w:t>
            </w:r>
          </w:p>
        </w:tc>
        <w:tc>
          <w:tcPr>
            <w:tcW w:w="3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(8,002,476)</w:t>
            </w:r>
          </w:p>
        </w:tc>
        <w:tc>
          <w:tcPr>
            <w:tcW w:w="100" w:type="dxa"/>
            <w:vAlign w:val="bottom"/>
            <w:tcBorders>
              <w:top w:val="single" w:sz="8" w:color="EEEEEE"/>
            </w:tcBorders>
            <w:shd w:val="clear" w:color="auto" w:fill="EEEEEE"/>
          </w:tcPr>
          <w:p>
            <w:pPr>
              <w:spacing w:after="0"/>
              <w:rPr>
                <w:sz w:val="17"/>
                <w:szCs w:val="17"/>
                <w:color w:val="auto"/>
              </w:rPr>
            </w:pPr>
          </w:p>
        </w:tc>
      </w:tr>
      <w:tr>
        <w:trPr>
          <w:trHeight w:val="203"/>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(72,874)</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(40,923)</w:t>
            </w:r>
          </w:p>
        </w:tc>
      </w:tr>
      <w:tr>
        <w:trPr>
          <w:trHeight w:val="203"/>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CHANGES IN CASH</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6"/>
                <w:szCs w:val="16"/>
                <w:color w:val="auto"/>
              </w:rPr>
              <w:t>(1,020,918)</w:t>
            </w:r>
          </w:p>
        </w:tc>
        <w:tc>
          <w:tcPr>
            <w:tcW w:w="240" w:type="dxa"/>
            <w:vAlign w:val="bottom"/>
            <w:shd w:val="clear" w:color="auto" w:fill="EEEEEE"/>
          </w:tcPr>
          <w:p>
            <w:pPr>
              <w:spacing w:after="0"/>
              <w:rPr>
                <w:sz w:val="17"/>
                <w:szCs w:val="17"/>
                <w:color w:val="auto"/>
              </w:rPr>
            </w:pPr>
          </w:p>
        </w:tc>
        <w:tc>
          <w:tcPr>
            <w:tcW w:w="144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6"/>
                <w:szCs w:val="16"/>
                <w:color w:val="auto"/>
              </w:rPr>
              <w:t>(402,452)</w:t>
            </w:r>
          </w:p>
        </w:tc>
      </w:tr>
      <w:tr>
        <w:trPr>
          <w:trHeight w:val="203"/>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AND CASH EQUIVALENT, beginning of period</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3,735,642</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1,821,947</w:t>
            </w:r>
          </w:p>
        </w:tc>
      </w:tr>
      <w:tr>
        <w:trPr>
          <w:trHeight w:val="199"/>
        </w:trPr>
        <w:tc>
          <w:tcPr>
            <w:tcW w:w="7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CASH AND CASH EQUIVALENT, end of period</w:t>
            </w:r>
          </w:p>
        </w:tc>
        <w:tc>
          <w:tcPr>
            <w:tcW w:w="580" w:type="dxa"/>
            <w:vAlign w:val="bottom"/>
            <w:gridSpan w:val="2"/>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6"/>
                <w:szCs w:val="16"/>
                <w:color w:val="auto"/>
              </w:rPr>
              <w:t>2,714,724</w:t>
            </w:r>
          </w:p>
        </w:tc>
        <w:tc>
          <w:tcPr>
            <w:tcW w:w="240" w:type="dxa"/>
            <w:vAlign w:val="bottom"/>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6"/>
                <w:szCs w:val="16"/>
                <w:color w:val="auto"/>
              </w:rPr>
              <w:t>1,419,495</w:t>
            </w:r>
          </w:p>
        </w:tc>
      </w:tr>
      <w:tr>
        <w:trPr>
          <w:trHeight w:val="20"/>
        </w:trPr>
        <w:tc>
          <w:tcPr>
            <w:tcW w:w="73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86"/>
        </w:trPr>
        <w:tc>
          <w:tcPr>
            <w:tcW w:w="7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67"/>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income tax</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55,000</w:t>
            </w:r>
          </w:p>
        </w:tc>
      </w:tr>
      <w:tr>
        <w:trPr>
          <w:trHeight w:val="186"/>
        </w:trPr>
        <w:tc>
          <w:tcPr>
            <w:tcW w:w="7320" w:type="dxa"/>
            <w:vAlign w:val="bottom"/>
            <w:tcBorders>
              <w:top w:val="single" w:sz="8" w:color="EEEEEE"/>
              <w:bottom w:val="single" w:sz="8" w:color="EEEEEE"/>
            </w:tcBorders>
            <w:shd w:val="clear" w:color="auto" w:fill="EEEEEE"/>
          </w:tcPr>
          <w:p>
            <w:pPr>
              <w:ind w:left="180"/>
              <w:spacing w:after="0" w:line="171" w:lineRule="exact"/>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Borders>
              <w:top w:val="single" w:sz="8" w:color="EEEEEE"/>
              <w:bottom w:val="single" w:sz="8" w:color="EEEEEE"/>
            </w:tcBorders>
            <w:shd w:val="clear" w:color="auto" w:fill="EEEEEE"/>
          </w:tcPr>
          <w:p>
            <w:pPr>
              <w:spacing w:after="0"/>
              <w:rPr>
                <w:sz w:val="16"/>
                <w:szCs w:val="16"/>
                <w:color w:val="auto"/>
              </w:rPr>
            </w:pPr>
          </w:p>
        </w:tc>
        <w:tc>
          <w:tcPr>
            <w:tcW w:w="240" w:type="dxa"/>
            <w:vAlign w:val="bottom"/>
            <w:tcBorders>
              <w:top w:val="single" w:sz="8" w:color="auto"/>
              <w:bottom w:val="single" w:sz="8" w:color="auto"/>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273,438</w:t>
            </w:r>
          </w:p>
        </w:tc>
        <w:tc>
          <w:tcPr>
            <w:tcW w:w="320" w:type="dxa"/>
            <w:vAlign w:val="bottom"/>
            <w:tcBorders>
              <w:top w:val="single" w:sz="8" w:color="EEEEEE"/>
              <w:bottom w:val="single" w:sz="8" w:color="EEEEEE"/>
            </w:tcBorders>
            <w:shd w:val="clear" w:color="auto" w:fill="EEEEEE"/>
          </w:tcPr>
          <w:p>
            <w:pPr>
              <w:spacing w:after="0"/>
              <w:rPr>
                <w:sz w:val="16"/>
                <w:szCs w:val="16"/>
                <w:color w:val="auto"/>
              </w:rPr>
            </w:pPr>
          </w:p>
        </w:tc>
        <w:tc>
          <w:tcPr>
            <w:tcW w:w="240" w:type="dxa"/>
            <w:vAlign w:val="bottom"/>
            <w:tcBorders>
              <w:top w:val="single" w:sz="8" w:color="auto"/>
              <w:bottom w:val="single" w:sz="8" w:color="auto"/>
            </w:tcBorders>
            <w:shd w:val="clear" w:color="auto" w:fill="EEEEEE"/>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EEEEEE"/>
              <w:bottom w:val="single" w:sz="8" w:color="EEEEEE"/>
            </w:tcBorders>
            <w:shd w:val="clear" w:color="auto" w:fill="EEEEEE"/>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7320" w:type="dxa"/>
            <w:vAlign w:val="bottom"/>
            <w:shd w:val="clear" w:color="auto" w:fill="EEEEEE"/>
          </w:tcPr>
          <w:p>
            <w:pPr>
              <w:spacing w:after="0"/>
              <w:rPr>
                <w:sz w:val="20"/>
                <w:szCs w:val="20"/>
                <w:color w:val="auto"/>
              </w:rPr>
            </w:pPr>
            <w:r>
              <w:rPr>
                <w:rFonts w:ascii="Times New Roman" w:cs="Times New Roman" w:eastAsia="Times New Roman" w:hAnsi="Times New Roman"/>
                <w:sz w:val="16"/>
                <w:szCs w:val="16"/>
                <w:color w:val="auto"/>
              </w:rPr>
              <w:t>SUPPLEMENTAL DISCLOSURE OF NON-CASH INVESTING AND FINANCING TRANSACTIONS:</w:t>
            </w:r>
          </w:p>
        </w:tc>
        <w:tc>
          <w:tcPr>
            <w:tcW w:w="3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0"/>
        </w:trPr>
        <w:tc>
          <w:tcPr>
            <w:tcW w:w="7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 of use assets acquired under new operating leases</w:t>
            </w:r>
          </w:p>
        </w:tc>
        <w:tc>
          <w:tcPr>
            <w:tcW w:w="5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632,732</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163"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2024 and June 30, 2023 and for the Three and Nine Months Ended March 31, 2024 and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consumer home, garden and other products and accessories mainly in the North America.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E Marketing Solution Inc. (“E Marketing”), an entity incorporated in California and owned by one of the minority shareholders of the Company. As a result, E Marketing became the Company’s wholly owned subsidiary.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2021, the Company acquired 100% of the equity ownership of its variable interest entity, Global Product Marketing Inc. (“GPM”), an entity which was incorporated in the State of Nevada on September 4, 2020, and was owned by Chenlong Tan, the Company’s Chairman, CEO and President, and one of the majority shareholders of the Company. As a result, GPM became the Company’s wholly owned subsidiary.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and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in or otherwise control Box Harmony. See details at Note 3 below.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creating a social media platform in order to provide content and services to assist businesses, including the Company and other businesses, in marketing their products. The Company owns 60% of the equity interest in GSM and controls its operations. See details at Note 3 below.</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2024, or for any other interim period or for any other future year. All intercompany balances and transactions have been eliminated in consolidation.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included in the Annual Report for the year ended June 30, 2023, which are included in Form 10-K filed with the SEC on September 14,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Emerging Growth Company Status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 difficult.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Company’s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its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March 31, 2024, were translated at 7.2212 RMB to $1.00. The equity accounts were stated at their historical rates. The average translation rates applied to statements of operations and comprehensive income (loss) accounts for the nine months ended March 31, 2024 was 7.2000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which is currently the maximum amount insured by the FDIC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are recognized and carried at the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the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regarding the acquisition.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regarding the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quarter ended September 30, 2022. The Company also considered the Market Capital Method, an alternative market approach, which suggested the Company’s goodwill is partially impaired.</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ended March 31, 2024, the Company performed a qualitative goodwill impairment analysis following the steps laid out in ASC 350-20-35-3C and noted no goodwill impairment. As of March 31, 2024 and June 30, 2023, the goodwill balance amounted to $3,034,110 and $3,034,110,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March 31, 2024 include a covenant not to compete, supplier relationships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EEEEEE"/>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10"/>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16"/>
        </w:trPr>
        <w:tc>
          <w:tcPr>
            <w:tcW w:w="41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March 31, 2024 and 2023, there were no indicators of impairment.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as part of the consideration paid for the acquisition of Anivia, the Company issued a two-year unsecured 6% subordinated promissory note, payable in equal semi-annual installments commencing August 15, 2022 (the “Purchase Note”). The principal amount of the Purchase Note was $3.5 million. On February 15, 2022, the Company evaluated the fair value of the Purchase Note to be $3.6 million using the following inputs: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Corporate bond yield</w:t>
            </w:r>
          </w:p>
        </w:tc>
        <w:tc>
          <w:tcPr>
            <w:tcW w:w="22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Liquidity premium</w:t>
            </w:r>
          </w:p>
        </w:tc>
        <w:tc>
          <w:tcPr>
            <w:tcW w:w="22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2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 outstanding balance of the Purchase Note was $0.</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does not have any assets or liabilities measured at fair value on a recurring basis. We measure certain non-financial assets on a non-recurring basis, including goodwill. As a result of those measurements, we recognized an impairment charge of $3.1 million during the year ended June 30, 2023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Fair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Impairment</w:t>
            </w:r>
          </w:p>
        </w:tc>
      </w:tr>
      <w:tr>
        <w:trPr>
          <w:trHeight w:val="238"/>
        </w:trPr>
        <w:tc>
          <w:tcPr>
            <w:tcW w:w="4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Loss</w:t>
            </w:r>
          </w:p>
        </w:tc>
      </w:tr>
      <w:tr>
        <w:trPr>
          <w:trHeight w:val="209"/>
        </w:trPr>
        <w:tc>
          <w:tcPr>
            <w:tcW w:w="41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EEEEEE"/>
          </w:tcPr>
          <w:p>
            <w:pPr>
              <w:ind w:left="8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97"/>
              </w:rPr>
              <w:t>3,060,034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3,034,110</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7"/>
              </w:rPr>
              <w:t>3,060,034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with a total carrying value of $6.1 million, was written down to its fair value of $3.0 million, resulting in an impairment charge of $3,060,034, which was recorded in earnings for the year ended June 30, 2023.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costs are expensed as incurred.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advertising and promotional costs included in selling and fulfillment expenses for the three and nine months ended March 31, 2024 and 2023 were as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20" w:type="dxa"/>
            <w:vAlign w:val="bottom"/>
          </w:tcPr>
          <w:p>
            <w:pPr>
              <w:spacing w:after="0"/>
              <w:rPr>
                <w:sz w:val="20"/>
                <w:szCs w:val="20"/>
                <w:color w:val="auto"/>
              </w:rPr>
            </w:pPr>
          </w:p>
        </w:tc>
        <w:tc>
          <w:tcPr>
            <w:tcW w:w="288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4740" w:type="dxa"/>
            <w:vAlign w:val="bottom"/>
            <w:tcBorders>
              <w:bottom w:val="single" w:sz="8" w:color="EEEEE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19"/>
                <w:szCs w:val="19"/>
                <w:color w:val="auto"/>
              </w:rPr>
            </w:pPr>
          </w:p>
        </w:tc>
      </w:tr>
      <w:tr>
        <w:trPr>
          <w:trHeight w:val="223"/>
        </w:trPr>
        <w:tc>
          <w:tcPr>
            <w:tcW w:w="47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20" w:type="dxa"/>
            <w:vAlign w:val="bottom"/>
            <w:tcBorders>
              <w:bottom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819,827</w:t>
            </w:r>
          </w:p>
        </w:tc>
        <w:tc>
          <w:tcPr>
            <w:tcW w:w="340" w:type="dxa"/>
            <w:vAlign w:val="bottom"/>
            <w:tcBorders>
              <w:bottom w:val="single" w:sz="8" w:color="EEEEEE"/>
            </w:tcBorders>
            <w:shd w:val="clear" w:color="auto" w:fill="EEEEEE"/>
          </w:tcPr>
          <w:p>
            <w:pPr>
              <w:spacing w:after="0"/>
              <w:rPr>
                <w:sz w:val="19"/>
                <w:szCs w:val="19"/>
                <w:color w:val="auto"/>
              </w:rPr>
            </w:pPr>
          </w:p>
        </w:tc>
        <w:tc>
          <w:tcPr>
            <w:tcW w:w="340" w:type="dxa"/>
            <w:vAlign w:val="bottom"/>
            <w:tcBorders>
              <w:bottom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1,304,662</w:t>
            </w:r>
          </w:p>
        </w:tc>
        <w:tc>
          <w:tcPr>
            <w:tcW w:w="3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3,529,809</w:t>
            </w:r>
          </w:p>
        </w:tc>
        <w:tc>
          <w:tcPr>
            <w:tcW w:w="32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3,777,122</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which consist of selling and fulfillment and general and administrative expenses, are expensed as incurred. Vendor warranty credits resulting from refund of returns on quality issues are recorded to offset merchant selling fees. During the three and nine months ended March 31, 2024 and 2023, the Company recorded vendor credit of $858,456 and $0,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Issuance Costs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unaudited condensed consolidated balance sheets as direct deductions from the carrying amount of the outstanding borrowings.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nine months ended March 31, 2024 and 2023, sales through Amazon to Canada and other foreign countries were approximately 8.5% and 12.8% of the Company’s total sales. During the nine months ended March 31, 2024, sales of hydroponic products, including ventilation and grow light systems, was approximately 21.7% of the Company’s total sales and the remaining 78.3% consisted of general gardening, home goods, and other products and accessories. During the nine months ended March, 2023, sales of hydroponic products, including ventilation and grow light systems, were approximately 46% of the Company’s total sales and the remaining 54% consisted of general gardening, home goods and other products and accessories. As of March, 2024 and June 30, 2023, the Company had approximately $1.9 million and $1.6 million of inventory stored in China, respectively. The Company’s majority of long-lived assets are located in California, United States, a majority of the deferred tax assets are U.S. related, and a majority of the Company’s revenues are derived from within the U.S.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right-of-use (“ROU”) assets and related lease obligations on the balance sheet.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costs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costs related to the award should not be recognized (or should be reversed) because the vesting condition in the award has not been satisfied.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does not anticipate any adjustments that will result in a material change to its financial position. Therefore, no reserves for uncertain income tax positions have been recorded pursuant to ASC 740, Income Taxes. The Company’s policy for recording interest and penalties associated with income-based tax audits is to record such items as a component of income taxes.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convertible or exercisable into common stock were issued upon conversion or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ASU’s amendments are effective for public business entities for annual periods beginning after December 15, 2024. For entities other than public business entities, the amendments are effective for annual periods beginning after December 15, 2025. Entities are permitted to early adopt the standard “for annual financial statements that have not yet been issued or made available for issuance.” The amendments should be applied on a prospective basis. Retrospective application is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apply to all public entities that are required to report segment information in accordance with Topic 280, Segment Reporting. The amendments in this ASU are intended to improve reportable segment disclosure requirements primarily through enhanced disclosures about significant segment expenses. The key amendments: 1. Require that a public entity disclose, on an annual and interim basis, significant segment expenses that are regularly provided to the chief operating decision maker (CODM) and included within each reported measure of segment profit or loss. 2.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3. Require that a public entity provide all annual disclosures about a reportable segment’s profit or loss and assets currently required by FASB Accounting Standards Codification® Topic 280, Segment Reporting, in interim periods. 4. Clarify that if the CODM uses more than one measure of a segment’s profit or loss in assessing segment performance and deciding how to allocate resources, a public entity may report one or more of those additional measures of segment profit. However, at least one of the reported segment profit or loss measures (or the single reported measure, if only one is disclosed) should be the measure that is most consistent with the measurement principles used in measuring the corresponding amounts in the public entity’s consolidated financial statements. 5. Require that a public entity disclose the title and position of the CODM and an explanation of how the CODM uses the reported measure(s) of segment profit or loss in assessing segment performance and deciding how to allocate resources. 6. Require that a public entity that has a single reportable segment provide all the disclosures required by the amendments in the ASU and all existing segment disclosures in Topic 280. This ASU is effective for fiscal years beginning after December 15, 2023, and interim periods within fiscal years beginning after December 15, 2024. Early adoption is permitted.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does not expect the adoption of this standard to have a material impact on its consolidated financial statements.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This ASU incorporates certain U.S. Securities and Exchange Commission (SEC) disclosure requirements into the FASB Accounting Standards Codification™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In SEC Release No. 33-10532, Disclosure Update and Simplification, issued August 17, 2018, the SEC referred certain of its disclosure requirements that overlap with, but require incremental information to, generally accepted accounting principles to the FASB for potential incorporation into the Codification. The ASU incorporates into the Codification 14 of the 27 disclosures referred by the SEC. They modify the disclosure or presentation requirements of a variety of Topics in the Codification. The requirements are relatively narrow in nature. Some of the amendments represent clarifications to, or technical corrections of, the current requirements. Because of the variety of Topics amended, a broad range of entities may be affected by one or more of those amendments.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 removes that related disclosure from its rules. For all other entities, the amendments will be effective two years later. However, if by June 30, 2027, the SEC has not removed the related disclosure from its regulations, the amendments will be removed from the Codification and not become effective for any entity. The Company does not expect the adoption of this standard to have a material impact on its consolidated financial statements.</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2022, FASB issued ASU 2022-04, Liabilities—Supplier Finance Programs (Subtopic 405-50): Disclosure of Supplier Finance Program Obligations. The amendments in this ASU require that a company that uses a supplier finance program in connection with the purchase of goods or services disclose sufficient information about the program to allow a user of financial statements to understand the program’s nature, activity during the period, changes from period to period, and potential magnitude. ASU 2022-04 is effective for fiscal years, including interim periods within those fiscal years, beginning after December 15, 2022, except for the rollforward of the supplier finance program obligations, which is effective for fiscal years beginning after December 15, 2023. Early adoption is permitted. An entity should apply ASU No. 2022-04 retrospectively to all periods in which a balance sheet is presented, except for the obligation rollforward, which should be applied prospectively. The adoption of this standard did not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its consolidated financial statements.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In December 2022, the FASB issued ASU 2022-06, Reference Rate reform (Topic 848): Deferral of the Sunset Date of Topic 848, which deferred the sunset date of Topic 848, Reference Rate Reform to December 31, 2024, after which entities will no longer be permitted to apply the relief in Topic 848. The Company does not expect the adoption of this standard to have a material impact on the Company's consolidated financial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its consolidated financial statements.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the disclosures above on Goodwill for further details.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unaudited condensed consolidated financial statements are presented.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 In January 2023, TPA and Xiao transferred their 60% equity units to a third party without consideration as the LLC was still in development stage and did not have significant operations. The transfer of equity did not have any impact on the LLC’s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GSM’s operations. Based on ASU 2015-02, the Company consolidates GSM into its financial statements due to its majority equity ownership and control over operations. For the three and nine months ended March 31, 2024 and 2023, the impact of GSM’s activities were immaterial to the Company’s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 of Anivia Limited and Subsidiaries and Variable Interest Entity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consist of a management fee and a fee for services provided, as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logistics services in the PRC.</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fair value of the consideration for the transaction was $10,629,000, which was paid to White Cherry as follows: at closing, the Company (i) paid $3,500,000 in the form of a two-year unsecured 6% subordinated promissory note, payable in equal semi-annual installments commencing August 15, 2022 (the “Purchase Note”), (ii) issued 3,083,700 restricted shares of the Company’s common stock, which shares were subject to a lock-up period of 180 days and remain subject to insider trading rules, and (iii) an additional $1,500,000 in cash which was to be paid after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Fly Elephant Limited and the WFOE.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in conjunction with the Company’s entry into the Second Amendment to the Credit Agreement, the Company’s promissory note holder, White Cherry, entered into an amendment (the “Amendment”) to the subordination agreement, originally dated March 9, 2022 (the “Subordination Agreement”). The Amendment to the Subordination Agreement was amended solely for purposes of adjusting the definition of payment conditions under Section 2 of the Subordination Agreement such that “payment conditions” thereafter were to be deemed satisfied in connection with a permitted payment if</w:t>
      </w:r>
    </w:p>
    <w:p>
      <w:pPr>
        <w:spacing w:after="0" w:line="3" w:lineRule="exact"/>
        <w:rPr>
          <w:sz w:val="20"/>
          <w:szCs w:val="20"/>
          <w:color w:val="auto"/>
        </w:rPr>
      </w:pPr>
    </w:p>
    <w:p>
      <w:pPr>
        <w:ind w:firstLine="8"/>
        <w:spacing w:after="0" w:line="260" w:lineRule="auto"/>
        <w:tabs>
          <w:tab w:leader="none" w:pos="2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under the credit agreement and is continuing and (b) the Company has Excess Availability in the 30 days prior to the payment (as defined in the Second Amendment to the Credit Agreement) of no less than $7,500,000.</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conjunction with the closing of the transaction, the WFOE entered into an employment agreement with Li Zanyu, dated February 15, 2022 (the “Employment Agreement”), pursuant to which Mr. Li was appointed to serve as general manager of the WFOE for a term of 10 years (through February 14, 2032), with annual base compensation of up to 500,000 RMB plus bonus as may be determined by the WFOE from time to time, in its sole discretion, based on Mr. Li’s performance. During his term of employment, Mr. Li may not engage in other employment without the consent of the WFOE.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will bear joint and several liability for any direct or indirect losses suffered by the Company as a result thereof. The Company recognized approximately $6.1 million of goodwill in the transaction, which is primarily due to the subsumed assembled workforce intangible assets. Goodwill is not deductible for income tax purposes. The Company expensed with the acquisition certain legal and accounting costs of $54,702 as general and administration expenses and $50,000 paid to JPM as financing fees.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summarizes the purchase consideration and allocation of the fair values assigned to the assets at the purchase date, February 15,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of Purchase Price:</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Promissory note issued</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3,600,627</w:t>
            </w:r>
          </w:p>
        </w:tc>
        <w:tc>
          <w:tcPr>
            <w:tcW w:w="80" w:type="dxa"/>
            <w:vAlign w:val="bottom"/>
          </w:tcPr>
          <w:p>
            <w:pPr>
              <w:spacing w:after="0"/>
              <w:rPr>
                <w:sz w:val="18"/>
                <w:szCs w:val="18"/>
                <w:color w:val="auto"/>
              </w:rPr>
            </w:pPr>
          </w:p>
        </w:tc>
      </w:tr>
      <w:tr>
        <w:trPr>
          <w:trHeight w:val="230"/>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Common stock issued</w:t>
            </w:r>
          </w:p>
        </w:tc>
        <w:tc>
          <w:tcPr>
            <w:tcW w:w="4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5,528,373</w:t>
            </w:r>
          </w:p>
        </w:tc>
        <w:tc>
          <w:tcPr>
            <w:tcW w:w="80" w:type="dxa"/>
            <w:vAlign w:val="bottom"/>
            <w:shd w:val="clear" w:color="auto" w:fill="EEEEEE"/>
          </w:tcPr>
          <w:p>
            <w:pPr>
              <w:spacing w:after="0"/>
              <w:rPr>
                <w:sz w:val="19"/>
                <w:szCs w:val="19"/>
                <w:color w:val="auto"/>
              </w:rPr>
            </w:pPr>
          </w:p>
        </w:tc>
      </w:tr>
      <w:tr>
        <w:trPr>
          <w:trHeight w:val="263"/>
        </w:trPr>
        <w:tc>
          <w:tcPr>
            <w:tcW w:w="95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10,629,000</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95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Covenant not to compete</w:t>
            </w:r>
          </w:p>
        </w:tc>
        <w:tc>
          <w:tcPr>
            <w:tcW w:w="420" w:type="dxa"/>
            <w:vAlign w:val="bottom"/>
            <w:shd w:val="clear" w:color="auto" w:fill="EEEEEE"/>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3,459,120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Supplier relationship</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1,179,246</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534,591</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1,784,113</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46,548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Rent deposit</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52,707</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ROU asset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234,578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6,094,144</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(1,389,113)</w:t>
            </w: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(1,143,076)</w:t>
            </w:r>
          </w:p>
        </w:tc>
      </w:tr>
      <w:tr>
        <w:trPr>
          <w:trHeight w:val="229"/>
        </w:trPr>
        <w:tc>
          <w:tcPr>
            <w:tcW w:w="95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420" w:type="dxa"/>
            <w:vAlign w:val="bottom"/>
            <w:shd w:val="clear" w:color="auto" w:fill="EEEEEE"/>
          </w:tcPr>
          <w:p>
            <w:pPr>
              <w:spacing w:after="0"/>
              <w:rPr>
                <w:sz w:val="19"/>
                <w:szCs w:val="19"/>
                <w:color w:val="auto"/>
              </w:rPr>
            </w:pPr>
          </w:p>
        </w:tc>
        <w:tc>
          <w:tcPr>
            <w:tcW w:w="126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(223,858)</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2022, the $1.5 million cash portion of the consideration, which was presented as investment payable, was fully paid off.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of Anivia since February 16, 2022 have been included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5 – Variable interest entity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 See Note 4 for details.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provide financial or other support to the VIE for the periods presented where the Company was not otherwise contractually required to provide such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June 30, 2023, there was no pledge or collateralization of the VIE assets that would be used to settle obligations of the VIE.</w:t>
      </w:r>
    </w:p>
    <w:p>
      <w:pPr>
        <w:spacing w:after="0" w:line="22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carrying amounts of the assets, liabilities and the results of operations of the VIE included in the Company’s unaudited condensed consolidated balance sheets and statements of operations and comprehensive income after the elimination of intercompany balances and transactions with the VIE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periods indicated:</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75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1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397,087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341,774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181,380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664,886</w:t>
            </w:r>
          </w:p>
        </w:tc>
      </w:tr>
      <w:tr>
        <w:trPr>
          <w:trHeight w:val="216"/>
        </w:trPr>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 deposit</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72,743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81,624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33,774</w:t>
            </w:r>
          </w:p>
        </w:tc>
      </w:tr>
      <w:tr>
        <w:trPr>
          <w:trHeight w:val="216"/>
        </w:trPr>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485,118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6,104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64,510</w:t>
            </w:r>
          </w:p>
        </w:tc>
      </w:tr>
      <w:tr>
        <w:trPr>
          <w:trHeight w:val="216"/>
        </w:trPr>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from shareholders</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85,581</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85,200</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355,189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6,278</w:t>
            </w:r>
          </w:p>
        </w:tc>
      </w:tr>
      <w:tr>
        <w:trPr>
          <w:trHeight w:val="216"/>
        </w:trPr>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485,262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277,921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276,683</w:t>
            </w:r>
          </w:p>
        </w:tc>
      </w:tr>
      <w:tr>
        <w:trPr>
          <w:trHeight w:val="216"/>
        </w:trPr>
        <w:tc>
          <w:tcPr>
            <w:tcW w:w="7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484,343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344,735</w:t>
            </w:r>
          </w:p>
        </w:tc>
      </w:tr>
      <w:tr>
        <w:trPr>
          <w:trHeight w:val="432"/>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nine months ended March 31, 2024: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20"/>
                <w:szCs w:val="20"/>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09"/>
        </w:trPr>
        <w:tc>
          <w:tcPr>
            <w:tcW w:w="75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after elimination of intercompany transactions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63,898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(327,984)</w:t>
            </w:r>
          </w:p>
        </w:tc>
      </w:tr>
      <w:tr>
        <w:trPr>
          <w:trHeight w:val="41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three and nine months ended March 31, 2023: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09"/>
        </w:trPr>
        <w:tc>
          <w:tcPr>
            <w:tcW w:w="75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after elimination of intercompany transactions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389,995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1,301,559</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2024, the VIE contributed approximately $1.6 million and $5.5 million of revenue and $0.1 million and $0.3 million of net loss before elimination, respectively. For the three and nine months ended March 31, 2023, the VIE contributed approximately $0.7 million and $5.0 million of revenue and $0.1 million and $0.7 million of net loss before elimination,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Accounts receivable, net</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for the Company consisted of the following as of the dates indicated below:</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16,913,692</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14,141,543</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(70,000)</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16,843,692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14,071,543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March 31, 2024 and 2023, there were no changes in allowance for credit losses on accounts receivable.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Inventories,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June 30, 2023, inventories consisted of finished goods ready for sale, net of allowance for obsolescence, amounted to $11,872,286 and $20,593,889,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2024, the Company recorded inventory reserve expense of $0 and $222,755, respectively. For the three and nine months ended March 31, 2023, the Company recorded inventory reserve expense of $163,901 and $238,899, respectively. As of March 31, 2024 and June 30, 2023, allowance for obsolescence was $781,655 and $558,899,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Prepayments and other current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June 30, 2023, prepayments and other current assets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5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52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4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756,107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1,668,173</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31,496</w:t>
            </w: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45,718</w:t>
            </w:r>
          </w:p>
        </w:tc>
      </w:tr>
      <w:tr>
        <w:trPr>
          <w:trHeight w:val="216"/>
        </w:trPr>
        <w:tc>
          <w:tcPr>
            <w:tcW w:w="5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4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1,093,638</w:t>
            </w: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1,393,433</w:t>
            </w:r>
          </w:p>
        </w:tc>
        <w:tc>
          <w:tcPr>
            <w:tcW w:w="80" w:type="dxa"/>
            <w:vAlign w:val="bottom"/>
            <w:shd w:val="clear" w:color="auto" w:fill="EEEEEE"/>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(249,128)</w:t>
            </w:r>
          </w:p>
        </w:tc>
        <w:tc>
          <w:tcPr>
            <w:tcW w:w="18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(249,128)</w:t>
            </w:r>
          </w:p>
        </w:tc>
      </w:tr>
      <w:tr>
        <w:trPr>
          <w:trHeight w:val="210"/>
        </w:trPr>
        <w:tc>
          <w:tcPr>
            <w:tcW w:w="5240" w:type="dxa"/>
            <w:vAlign w:val="bottom"/>
            <w:tcBorders>
              <w:top w:val="single" w:sz="8" w:color="EEEEEE"/>
            </w:tcBorders>
            <w:shd w:val="clear" w:color="auto" w:fill="EEEEEE"/>
          </w:tcPr>
          <w:p>
            <w:pPr>
              <w:spacing w:after="0"/>
              <w:rPr>
                <w:sz w:val="18"/>
                <w:szCs w:val="18"/>
                <w:color w:val="auto"/>
              </w:rPr>
            </w:pPr>
          </w:p>
        </w:tc>
        <w:tc>
          <w:tcPr>
            <w:tcW w:w="24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1,632,113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2,858,196</w:t>
            </w:r>
          </w:p>
        </w:tc>
        <w:tc>
          <w:tcPr>
            <w:tcW w:w="80" w:type="dxa"/>
            <w:vAlign w:val="bottom"/>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$6,619 and $165,962 from one and two unrelated parties for their use of the Company’s courier accounts at March 31, 2024 and June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March 31, 2024 and 2023, there were no changes in allowance for credit losses on other receivables.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9 – Non-current prepayments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Non-current prepayments included $292,071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$28,119 down payment on a four-year car lease. As of March 31, 2024 and June 30, 2023, total non-current prepayments were $320,190 and $531,456, respectively. For the three and nine months ended March 31, 2024, the Company recorded $70,422 and $211,266 amortization of prepayments in the operating expenses, respectively. For the three and nine months ended March 31, 2023, the Company recorded $107,917 and $323,751 amortization of prepayments in the operating expenses, respectively.</w:t>
      </w:r>
    </w:p>
    <w:p>
      <w:pPr>
        <w:sectPr>
          <w:pgSz w:w="11900" w:h="16838" w:orient="portrait"/>
          <w:cols w:equalWidth="0" w:num="1">
            <w:col w:w="11240"/>
          </w:cols>
          <w:pgMar w:left="320" w:top="792"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June 30, 2023,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1" w:lineRule="exact"/>
        <w:rPr>
          <w:sz w:val="20"/>
          <w:szCs w:val="20"/>
          <w:color w:val="auto"/>
        </w:rPr>
      </w:pPr>
    </w:p>
    <w:p>
      <w:pPr>
        <w:ind w:left="860" w:hanging="858"/>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(1,379,915)</w:t>
      </w:r>
    </w:p>
    <w:p>
      <w:pPr>
        <w:spacing w:after="0" w:line="31" w:lineRule="exact"/>
        <w:rPr>
          <w:sz w:val="20"/>
          <w:szCs w:val="20"/>
          <w:color w:val="auto"/>
        </w:rPr>
      </w:pPr>
    </w:p>
    <w:p>
      <w:pPr>
        <w:ind w:left="860" w:hanging="858"/>
        <w:spacing w:after="0"/>
        <w:tabs>
          <w:tab w:leader="none" w:pos="8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3,793,042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002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8"/>
          <w:szCs w:val="18"/>
          <w:b w:val="1"/>
          <w:bCs w:val="1"/>
          <w:color w:val="auto"/>
        </w:rPr>
        <w:t>June 30, 2023</w:t>
      </w:r>
    </w:p>
    <w:p>
      <w:pPr>
        <w:spacing w:after="0" w:line="31" w:lineRule="exact"/>
        <w:rPr>
          <w:sz w:val="20"/>
          <w:szCs w:val="20"/>
          <w:color w:val="auto"/>
        </w:rPr>
      </w:pPr>
    </w:p>
    <w:p>
      <w:pPr>
        <w:ind w:left="854" w:hanging="854"/>
        <w:spacing w:after="0"/>
        <w:tabs>
          <w:tab w:leader="none" w:pos="8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3,459,120</w:t>
      </w:r>
    </w:p>
    <w:p>
      <w:pPr>
        <w:spacing w:after="0" w:line="22" w:lineRule="exact"/>
        <w:rPr>
          <w:rFonts w:ascii="Times New Roman" w:cs="Times New Roman" w:eastAsia="Times New Roman" w:hAnsi="Times New Roman"/>
          <w:sz w:val="18"/>
          <w:szCs w:val="18"/>
          <w:color w:val="auto"/>
        </w:rPr>
      </w:pPr>
    </w:p>
    <w:p>
      <w:pPr>
        <w:ind w:left="8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1,179,246</w:t>
      </w:r>
    </w:p>
    <w:p>
      <w:pPr>
        <w:spacing w:after="0" w:line="9" w:lineRule="exact"/>
        <w:rPr>
          <w:rFonts w:ascii="Times New Roman" w:cs="Times New Roman" w:eastAsia="Times New Roman" w:hAnsi="Times New Roman"/>
          <w:sz w:val="18"/>
          <w:szCs w:val="18"/>
          <w:color w:val="auto"/>
        </w:rPr>
      </w:pPr>
    </w:p>
    <w:p>
      <w:pPr>
        <w:ind w:left="97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534,591</w:t>
      </w:r>
    </w:p>
    <w:p>
      <w:pPr>
        <w:spacing w:after="0" w:line="9" w:lineRule="exact"/>
        <w:rPr>
          <w:rFonts w:ascii="Times New Roman" w:cs="Times New Roman" w:eastAsia="Times New Roman" w:hAnsi="Times New Roman"/>
          <w:sz w:val="18"/>
          <w:szCs w:val="18"/>
          <w:color w:val="auto"/>
        </w:rPr>
      </w:pPr>
    </w:p>
    <w:p>
      <w:pPr>
        <w:ind w:left="9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(892,886)</w:t>
      </w:r>
    </w:p>
    <w:p>
      <w:pPr>
        <w:spacing w:after="0" w:line="31" w:lineRule="exact"/>
        <w:rPr>
          <w:sz w:val="20"/>
          <w:szCs w:val="20"/>
          <w:color w:val="auto"/>
        </w:rPr>
      </w:pPr>
    </w:p>
    <w:p>
      <w:pPr>
        <w:ind w:left="854" w:hanging="854"/>
        <w:spacing w:after="0"/>
        <w:tabs>
          <w:tab w:leader="none" w:pos="8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4,280,071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944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940" w:space="720"/>
            <w:col w:w="1640" w:space="266"/>
            <w:col w:w="1674"/>
          </w:cols>
          <w:pgMar w:left="320" w:top="792" w:right="339" w:bottom="1440" w:gutter="0" w:footer="0" w:header="0"/>
          <w:type w:val="continuous"/>
        </w:sectPr>
      </w:pP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March 31, 2024 was approximately 6.45 years. The amortization expense for the three and nine months ended March 31, 2024 was $162,343 and</w:t>
      </w:r>
    </w:p>
    <w:p>
      <w:pPr>
        <w:jc w:val="both"/>
        <w:ind w:firstLine="8"/>
        <w:spacing w:after="0" w:line="255" w:lineRule="auto"/>
        <w:tabs>
          <w:tab w:leader="none" w:pos="1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487,028, respectively. The amortization expense for the three and nine months ended March 31, 2023 was $162,343 and $487,028, respectively. At March 31, 2024,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280" w:type="dxa"/>
            <w:vAlign w:val="bottom"/>
          </w:tcPr>
          <w:p>
            <w:pPr>
              <w:spacing w:after="0"/>
              <w:rPr>
                <w:sz w:val="21"/>
                <w:szCs w:val="21"/>
                <w:color w:val="auto"/>
              </w:rPr>
            </w:pPr>
          </w:p>
        </w:tc>
        <w:tc>
          <w:tcPr>
            <w:tcW w:w="14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162,343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609,277</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468,750</w:t>
            </w:r>
          </w:p>
        </w:tc>
      </w:tr>
      <w:tr>
        <w:trPr>
          <w:trHeight w:val="230"/>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1,253,930</w:t>
            </w:r>
          </w:p>
        </w:tc>
      </w:tr>
      <w:tr>
        <w:trPr>
          <w:trHeight w:val="223"/>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3,793,042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Other payables and accrued liabilities</w:t>
            </w:r>
          </w:p>
        </w:tc>
        <w:tc>
          <w:tcPr>
            <w:tcW w:w="2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March 31, 2024 and June 30, 2023, other payables and accrued liabilities consisted of the following:</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5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payables for inventory in transit</w:t>
            </w:r>
          </w:p>
        </w:tc>
        <w:tc>
          <w:tcPr>
            <w:tcW w:w="20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1,012,844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2,948,551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Amazon fees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866,398</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915,319</w:t>
            </w:r>
          </w:p>
        </w:tc>
      </w:tr>
      <w:tr>
        <w:trPr>
          <w:trHeight w:val="216"/>
        </w:trPr>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0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436,267</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448,433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Payroll liabilities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198,035</w:t>
            </w:r>
          </w:p>
        </w:tc>
        <w:tc>
          <w:tcPr>
            <w:tcW w:w="18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222,962</w:t>
            </w:r>
          </w:p>
        </w:tc>
      </w:tr>
      <w:tr>
        <w:trPr>
          <w:trHeight w:val="229"/>
        </w:trPr>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accrued liabilities and payables</w:t>
            </w:r>
          </w:p>
        </w:tc>
        <w:tc>
          <w:tcPr>
            <w:tcW w:w="20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728,458</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295,802</w:t>
            </w:r>
          </w:p>
        </w:tc>
      </w:tr>
      <w:tr>
        <w:trPr>
          <w:trHeight w:val="210"/>
        </w:trPr>
        <w:tc>
          <w:tcPr>
            <w:tcW w:w="56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3,242,002</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4,831,067</w:t>
            </w:r>
          </w:p>
        </w:tc>
      </w:tr>
      <w:tr>
        <w:trPr>
          <w:trHeight w:val="20"/>
        </w:trPr>
        <w:tc>
          <w:tcPr>
            <w:tcW w:w="5660" w:type="dxa"/>
            <w:vAlign w:val="bottom"/>
            <w:tcBorders>
              <w:top w:val="single" w:sz="8" w:color="EEEEEE"/>
            </w:tcBorders>
          </w:tcPr>
          <w:p>
            <w:pPr>
              <w:spacing w:after="0" w:line="20" w:lineRule="exact"/>
              <w:rPr>
                <w:sz w:val="1"/>
                <w:szCs w:val="1"/>
                <w:color w:val="auto"/>
              </w:rPr>
            </w:pPr>
          </w:p>
        </w:tc>
        <w:tc>
          <w:tcPr>
            <w:tcW w:w="20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controlled VIE, DHS, facilitates the Company in the process of inventory procurement. During the nine months ended March 31, 2024 and 2023, the Company purchased a total of $0 and $31,385, respectively, in inventories from a supplier which had a payment term of 90 days with a 2% premium on the purchase price, which was presented as financing cash flows from short term loans on the statement of cash flows. As of March 31, 2024 and June 30, 2023, the outstanding balance included in other payables to this supplier was $0 and $0.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Loans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into a Credit Agreement with JPM,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Borrowing base equal to the sum of</w:t>
      </w:r>
    </w:p>
    <w:p>
      <w:pPr>
        <w:spacing w:after="0" w:line="225" w:lineRule="exact"/>
        <w:rPr>
          <w:sz w:val="20"/>
          <w:szCs w:val="20"/>
          <w:color w:val="auto"/>
        </w:rPr>
      </w:pPr>
    </w:p>
    <w:p>
      <w:pPr>
        <w:ind w:left="780"/>
        <w:spacing w:after="0"/>
        <w:rPr>
          <w:sz w:val="20"/>
          <w:szCs w:val="20"/>
          <w:color w:val="auto"/>
        </w:rPr>
      </w:pPr>
      <w:r>
        <w:rPr>
          <w:rFonts w:ascii="Wingdings" w:cs="Wingdings" w:eastAsia="Wingdings" w:hAnsi="Wingdings"/>
          <w:sz w:val="18"/>
          <w:szCs w:val="18"/>
          <w:b w:val="1"/>
          <w:bCs w:val="1"/>
          <w:color w:val="auto"/>
        </w:rPr>
        <w:t>Ø</w:t>
      </w:r>
      <w:r>
        <w:rPr>
          <w:rFonts w:ascii="Times New Roman" w:cs="Times New Roman" w:eastAsia="Times New Roman" w:hAnsi="Times New Roman"/>
          <w:sz w:val="18"/>
          <w:szCs w:val="18"/>
          <w:color w:val="auto"/>
        </w:rPr>
        <w:t>Up to 90% of eligible credit card receivables</w:t>
      </w:r>
    </w:p>
    <w:p>
      <w:pPr>
        <w:spacing w:after="0" w:line="27" w:lineRule="exact"/>
        <w:rPr>
          <w:sz w:val="20"/>
          <w:szCs w:val="20"/>
          <w:color w:val="auto"/>
        </w:rPr>
      </w:pPr>
    </w:p>
    <w:p>
      <w:pPr>
        <w:ind w:left="780"/>
        <w:spacing w:after="0"/>
        <w:rPr>
          <w:sz w:val="20"/>
          <w:szCs w:val="20"/>
          <w:color w:val="auto"/>
        </w:rPr>
      </w:pPr>
      <w:r>
        <w:rPr>
          <w:rFonts w:ascii="Wingdings" w:cs="Wingdings" w:eastAsia="Wingdings" w:hAnsi="Wingdings"/>
          <w:sz w:val="18"/>
          <w:szCs w:val="18"/>
          <w:b w:val="1"/>
          <w:bCs w:val="1"/>
          <w:color w:val="auto"/>
        </w:rPr>
        <w:t>Ø</w:t>
      </w:r>
      <w:r>
        <w:rPr>
          <w:rFonts w:ascii="Times New Roman" w:cs="Times New Roman" w:eastAsia="Times New Roman" w:hAnsi="Times New Roman"/>
          <w:sz w:val="18"/>
          <w:szCs w:val="18"/>
          <w:color w:val="auto"/>
        </w:rPr>
        <w:t>Up to 85% of eligible trade accounts receivable</w:t>
      </w:r>
    </w:p>
    <w:p>
      <w:pPr>
        <w:spacing w:after="0" w:line="9" w:lineRule="exact"/>
        <w:rPr>
          <w:sz w:val="20"/>
          <w:szCs w:val="20"/>
          <w:color w:val="auto"/>
        </w:rPr>
      </w:pPr>
    </w:p>
    <w:p>
      <w:pPr>
        <w:ind w:left="780"/>
        <w:spacing w:after="0"/>
        <w:rPr>
          <w:sz w:val="20"/>
          <w:szCs w:val="20"/>
          <w:color w:val="auto"/>
        </w:rPr>
      </w:pPr>
      <w:r>
        <w:rPr>
          <w:rFonts w:ascii="Wingdings" w:cs="Wingdings" w:eastAsia="Wingdings" w:hAnsi="Wingdings"/>
          <w:sz w:val="18"/>
          <w:szCs w:val="18"/>
          <w:b w:val="1"/>
          <w:bCs w:val="1"/>
          <w:color w:val="auto"/>
        </w:rPr>
        <w:t>Ø</w:t>
      </w: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207" w:lineRule="exact"/>
        <w:rPr>
          <w:sz w:val="20"/>
          <w:szCs w:val="20"/>
          <w:color w:val="auto"/>
        </w:rPr>
      </w:pPr>
    </w:p>
    <w:p>
      <w:pPr>
        <w:ind w:left="920" w:hanging="143"/>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27" w:lineRule="exact"/>
        <w:rPr>
          <w:rFonts w:ascii="Times New Roman" w:cs="Times New Roman" w:eastAsia="Times New Roman" w:hAnsi="Times New Roman"/>
          <w:sz w:val="18"/>
          <w:szCs w:val="18"/>
          <w:color w:val="auto"/>
        </w:rPr>
      </w:pPr>
    </w:p>
    <w:p>
      <w:pPr>
        <w:ind w:left="920" w:hanging="143"/>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920" w:hanging="143"/>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the three year term of the ABL as interest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interest expense recorded for the three and nine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290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4740" w:type="dxa"/>
            <w:vAlign w:val="bottom"/>
            <w:tcBorders>
              <w:bottom w:val="single" w:sz="8" w:color="EEEEE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0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95,167</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136,570</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296,471</w:t>
            </w: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500,117</w:t>
            </w:r>
          </w:p>
        </w:tc>
        <w:tc>
          <w:tcPr>
            <w:tcW w:w="100" w:type="dxa"/>
            <w:vAlign w:val="bottom"/>
            <w:gridSpan w:val="2"/>
            <w:shd w:val="clear" w:color="auto" w:fill="EEEEEE"/>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Credit utilization fees</w:t>
            </w:r>
          </w:p>
        </w:tc>
        <w:tc>
          <w:tcPr>
            <w:tcW w:w="2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18,897</w:t>
            </w:r>
          </w:p>
        </w:tc>
        <w:tc>
          <w:tcPr>
            <w:tcW w:w="30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15,679</w:t>
            </w:r>
          </w:p>
        </w:tc>
        <w:tc>
          <w:tcPr>
            <w:tcW w:w="2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54,961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29,265</w:t>
            </w: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66,305</w:t>
            </w: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66,305</w:t>
            </w: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198,914</w:t>
            </w:r>
          </w:p>
        </w:tc>
        <w:tc>
          <w:tcPr>
            <w:tcW w:w="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198,914</w:t>
            </w:r>
          </w:p>
        </w:tc>
        <w:tc>
          <w:tcPr>
            <w:tcW w:w="80" w:type="dxa"/>
            <w:vAlign w:val="bottom"/>
            <w:shd w:val="clear" w:color="auto" w:fill="EEEEEE"/>
          </w:tcPr>
          <w:p>
            <w:pPr>
              <w:spacing w:after="0"/>
              <w:rPr>
                <w:sz w:val="19"/>
                <w:szCs w:val="19"/>
                <w:color w:val="auto"/>
              </w:rPr>
            </w:pPr>
          </w:p>
        </w:tc>
      </w:tr>
      <w:tr>
        <w:trPr>
          <w:trHeight w:val="22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180,369</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218,554</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550,346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728,296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June 30, 2023, the outstanding amount of the revolving loan payable, net of debt discount and including interest payable was $6,011,860 and $9,791,191, respectively.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the Company entered into a second amendment to the credit agreement and consent (the “Second Amendment to the Credit Agreement”), originally dated November 12, 2021, as amended, with JPM.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11, 2022, the Company and JPM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 accurately reflecting the Excess Availability (together, the “Existing Defaults”). Under the terms of the Waiver Letter, JPM agreed to waive the right to enforce an event of default based on the aforementioned Existing Defaults. As of March 31, 2024, the Company was in compliance with the ABL covenants.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And in February 2023, the Company paid the second installment of $875,000. In August 2023, the Company paid the third installment of $875,000. In February 2024, the Company paid the fourth installment of $875,000. For the three months ended March 31, 2024, the Company recorded interest of $6,617 and amortization of note premium of $6,445. For the nine months ended March 31, 2024, the Company recorded interest of $39,429 and amortization of note premium of $31,602. In February 2024, the note premium was fully amortized, and the outstanding balance of the principal and interest was fully paid off. As of March 31, 2024, the total outstanding balance of the Purchase Note was $0. As of June 30, 2023, including $236,250 of accrued interest and $31,602 of unamortized premium, the total outstanding balance of the Purchase Note was $2,017,852, which is presented on the consolidated balance sheet as a current portion of $2,017,852 and a non-current portion of $0.</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Short-term loan payable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8, 2023, the Company entered into an agreement with White Cherry Limited (“White Cherry”), a BVI company owned by the former owner of DHS, for an on-demand, unsecured and subordinated loan (“On-demand Loan”). Pursuant to the agreement, White Cherry agreed to loan the Company the amount requested. The On-demand Loan bears interest at the rate of the Secured Overnight Financing Rate, or SOFR, plus 1% per annum. The On-demand Loan is due in 30 days upon receipt of White Cherry’s notice of repayment. On July 16, 2023, the Company borrowed $2,000,000 from White Cherry, repaid $1 million on July 31, 2023 and $1 million on January 31, 2024. For the three and nine months ended March 31, 2024, the Company recorded interest of $723 and $32,911, respectively. As of March 31, 2024, the outstanding balance of the On-demand Loan was $0.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Starting from March 2022 to January 2023, the Company subleased 50,000 square feet of its warehouse space to Box Harmony, LLC, which is a 40% owned joint venture of the Company as disclosed in Note 1 and Note 2 above. For the three and nine months ended March 31, 2024, the Company received and recorded sublease fee of $0 and $0 as other non-operating income, respectively. For the three and nine months ended March 31, 2023, the Company recorded a sublease fee of $0 and $387,750 as other non-operating income.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period ended March 31, 2024, the Company started selling products through MII Strategy Inc. (“MII”), a company owned by the Company’s CEO, Mr. Chenlong Tan. As of March 31, 2024, the total amount due from MII was $59,901.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the Company assumed $92,246 of advance from shareholders of DHS through acquisition of Anivia. This amount was for capital injection pending capital inspection by the local government in accordance with the PRC rules. As of March 31, 2024 and June 30, 2023, the balance of advance from shareholders was $85,581 and $85,200,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8, 2023, the Company entered into an agreement with White Cherry for an on-demand loan. See Note 12 above for details.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corporate income taxes in the United States, upon completion of the acquisition of Anivia in February 2022, the Company is subject to corporate income taxes in PRC. Anivia and its subsidiaries are subject to BVI or Hong Kong income taxes but did not have any operations for the nine months ended March 31, 2024 and 2023. DHS, the operating VIE of Anivia, is considered a Controlled Foreign Corporation (CFC) defined under IRC Sec. 957(a) since the Company indirectly owns more than 50% voting control of DHS as a result of the Transfer Agreement. Therefore, DHS is subject to the Global Intangible Low-Taxed Income (or GILTI) Tax. DHS is subject to 5% tax rate in PRC. The Company made an election to apply the GILTI high-tax exclusion for DHS under the Final Regulations (T.D. 9902). As the result of the election, no GILTI tax was recorded as of March 31, 2024 and 2023. In addition, as a result of the acquisition, the Company booked a $6,094,144 of goodwill. Since the acquisition was a stock acquisition, the Goodwill is not deductible for tax purposes.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March 31, 2024,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The income tax provision for the three and nine months ended March 31, 2024 and 2023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0"/>
                <w:szCs w:val="20"/>
                <w:color w:val="auto"/>
              </w:rPr>
            </w:pPr>
          </w:p>
        </w:tc>
        <w:tc>
          <w:tcPr>
            <w:tcW w:w="2900" w:type="dxa"/>
            <w:vAlign w:val="bottom"/>
            <w:gridSpan w:val="6"/>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r>
      <w:tr>
        <w:trPr>
          <w:trHeight w:val="223"/>
        </w:trPr>
        <w:tc>
          <w:tcPr>
            <w:tcW w:w="4740" w:type="dxa"/>
            <w:vAlign w:val="bottom"/>
            <w:tcBorders>
              <w:bottom w:val="single" w:sz="8" w:color="EEEEE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19"/>
                <w:szCs w:val="19"/>
                <w:color w:val="auto"/>
              </w:rPr>
            </w:pPr>
          </w:p>
        </w:tc>
      </w:tr>
      <w:tr>
        <w:trPr>
          <w:trHeight w:val="21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105,492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386,273</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11,024</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22,590</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11,596</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11,024</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107,289</w:t>
            </w:r>
          </w:p>
        </w:tc>
        <w:tc>
          <w:tcPr>
            <w:tcW w:w="3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397,869</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271,732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(558,437)</w:t>
            </w:r>
          </w:p>
        </w:tc>
        <w:tc>
          <w:tcPr>
            <w:tcW w:w="200" w:type="dxa"/>
            <w:vAlign w:val="bottom"/>
          </w:tcPr>
          <w:p>
            <w:pPr>
              <w:spacing w:after="0"/>
              <w:rPr>
                <w:sz w:val="18"/>
                <w:szCs w:val="18"/>
                <w:color w:val="auto"/>
              </w:rPr>
            </w:pPr>
          </w:p>
        </w:tc>
        <w:tc>
          <w:tcPr>
            <w:tcW w:w="13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(568,897)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(1,818,222)</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States</w:t>
            </w:r>
          </w:p>
        </w:tc>
        <w:tc>
          <w:tcPr>
            <w:tcW w:w="2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94,210</w:t>
            </w: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(114,675)</w:t>
            </w:r>
          </w:p>
        </w:tc>
        <w:tc>
          <w:tcPr>
            <w:tcW w:w="20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(106,357)</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(421,382)</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(23,758)</w:t>
            </w:r>
          </w:p>
        </w:tc>
        <w:tc>
          <w:tcPr>
            <w:tcW w:w="200" w:type="dxa"/>
            <w:vAlign w:val="bottom"/>
          </w:tcPr>
          <w:p>
            <w:pPr>
              <w:spacing w:after="0"/>
              <w:rPr>
                <w:sz w:val="19"/>
                <w:szCs w:val="19"/>
                <w:color w:val="auto"/>
              </w:rPr>
            </w:pP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64,990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(243,391)</w:t>
            </w:r>
          </w:p>
        </w:tc>
      </w:tr>
      <w:tr>
        <w:trPr>
          <w:trHeight w:val="209"/>
        </w:trPr>
        <w:tc>
          <w:tcPr>
            <w:tcW w:w="47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deferred taxes</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366,123</w:t>
            </w:r>
          </w:p>
        </w:tc>
        <w:tc>
          <w:tcPr>
            <w:tcW w:w="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(696,870</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(610,264</w:t>
            </w:r>
          </w:p>
        </w:tc>
        <w:tc>
          <w:tcPr>
            <w:tcW w:w="180" w:type="dxa"/>
            <w:vAlign w:val="bottom"/>
            <w:tcBorders>
              <w:top w:val="single" w:sz="8" w:color="EEEEEE"/>
            </w:tcBorders>
            <w:shd w:val="clear" w:color="auto" w:fill="EEEEEE"/>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(2,482,995</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377,147</w:t>
            </w:r>
          </w:p>
        </w:tc>
        <w:tc>
          <w:tcPr>
            <w:tcW w:w="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(589,581)</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(587,674)</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(2,085,126)</w:t>
            </w: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state income tax in certain jurisdictions. The tax years 2019 to 2023 remain open to examination by the major taxing jurisdictions to which the Company is subject. The following is a reconciliation of income tax expenses at the effective rate to income tax at the calculated statutory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1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c>
          <w:tcPr>
            <w:tcW w:w="0" w:type="dxa"/>
            <w:vAlign w:val="bottom"/>
          </w:tcPr>
          <w:p>
            <w:pPr>
              <w:spacing w:after="0"/>
              <w:rPr>
                <w:sz w:val="1"/>
                <w:szCs w:val="1"/>
                <w:color w:val="auto"/>
              </w:rPr>
            </w:pPr>
          </w:p>
        </w:tc>
      </w:tr>
      <w:tr>
        <w:trPr>
          <w:trHeight w:val="223"/>
        </w:trPr>
        <w:tc>
          <w:tcPr>
            <w:tcW w:w="4740" w:type="dxa"/>
            <w:vAlign w:val="bottom"/>
            <w:tcBorders>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bottom w:val="single" w:sz="8" w:color="EEEEEE"/>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Statutory tax rate</w:t>
            </w:r>
          </w:p>
        </w:tc>
        <w:tc>
          <w:tcPr>
            <w:tcW w:w="13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5.54%</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5.82%</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5.54%</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rate difference</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0.45%</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0.33%</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Impairment loss on goodwill -permanent difference</w:t>
            </w:r>
          </w:p>
        </w:tc>
        <w:tc>
          <w:tcPr>
            <w:tcW w:w="170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effect of state income tax deduction and other</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(3.08%)</w:t>
            </w: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3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permanent differences</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0.15%</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0.62%</w:t>
            </w:r>
          </w:p>
        </w:tc>
        <w:tc>
          <w:tcPr>
            <w:tcW w:w="166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27.14%</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27.77%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prepaid income taxes to US tax authorities and income tax payable to Chinese tax authorities was $31,496 and $277,921, respectively. As of June 30, 2023, prepaid income taxes to US tax authorities and income tax payable to Chinese tax authorities was $45,718 and $276,683,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significant portions of the deferred taxes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80" w:type="dxa"/>
            <w:vAlign w:val="bottom"/>
          </w:tcPr>
          <w:p>
            <w:pPr>
              <w:spacing w:after="0"/>
              <w:rPr>
                <w:sz w:val="20"/>
                <w:szCs w:val="20"/>
                <w:color w:val="auto"/>
              </w:rPr>
            </w:pPr>
          </w:p>
        </w:tc>
        <w:tc>
          <w:tcPr>
            <w:tcW w:w="15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5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263A calculation</w:t>
            </w:r>
          </w:p>
        </w:tc>
        <w:tc>
          <w:tcPr>
            <w:tcW w:w="2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327,987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239,142</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Inventory reserve</w:t>
            </w:r>
          </w:p>
        </w:tc>
        <w:tc>
          <w:tcPr>
            <w:tcW w:w="2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207,463</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149,907</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taxes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4,840</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2,435</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253,615</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273,589</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 / liabilities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112,582</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115,125</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Operation loss</w:t>
            </w:r>
          </w:p>
        </w:tc>
        <w:tc>
          <w:tcPr>
            <w:tcW w:w="2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2,389,948</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2,173,221</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Disallowed interest expense</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234,473</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163,381</w:t>
            </w: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308,956</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207,726</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(64,990)</w:t>
            </w:r>
          </w:p>
        </w:tc>
        <w:tc>
          <w:tcPr>
            <w:tcW w:w="18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Others</w:t>
            </w:r>
          </w:p>
        </w:tc>
        <w:tc>
          <w:tcPr>
            <w:tcW w:w="25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84,701</w:t>
            </w:r>
          </w:p>
        </w:tc>
        <w:tc>
          <w:tcPr>
            <w:tcW w:w="1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85,596</w:t>
            </w:r>
          </w:p>
        </w:tc>
      </w:tr>
      <w:tr>
        <w:trPr>
          <w:trHeight w:val="209"/>
        </w:trPr>
        <w:tc>
          <w:tcPr>
            <w:tcW w:w="508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2580" w:type="dxa"/>
            <w:vAlign w:val="bottom"/>
            <w:tcBorders>
              <w:bottom w:val="single" w:sz="8" w:color="EEEEE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3,859,575</w:t>
            </w: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3,410,122</w:t>
            </w:r>
          </w:p>
        </w:tc>
        <w:tc>
          <w:tcPr>
            <w:tcW w:w="100" w:type="dxa"/>
            <w:vAlign w:val="bottom"/>
            <w:tcBorders>
              <w:bottom w:val="single" w:sz="8" w:color="EEEEEE"/>
            </w:tcBorders>
          </w:tcPr>
          <w:p>
            <w:pPr>
              <w:spacing w:after="0"/>
              <w:rPr>
                <w:sz w:val="18"/>
                <w:szCs w:val="18"/>
                <w:color w:val="auto"/>
              </w:rPr>
            </w:pPr>
          </w:p>
        </w:tc>
      </w:tr>
      <w:tr>
        <w:trPr>
          <w:trHeight w:val="210"/>
        </w:trPr>
        <w:tc>
          <w:tcPr>
            <w:tcW w:w="5080" w:type="dxa"/>
            <w:vAlign w:val="bottom"/>
            <w:shd w:val="clear" w:color="auto" w:fill="EEEEEE"/>
          </w:tcPr>
          <w:p>
            <w:pPr>
              <w:spacing w:after="0"/>
              <w:rPr>
                <w:sz w:val="18"/>
                <w:szCs w:val="18"/>
                <w:color w:val="auto"/>
              </w:rPr>
            </w:pPr>
          </w:p>
        </w:tc>
        <w:tc>
          <w:tcPr>
            <w:tcW w:w="2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5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7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(82,870)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(105,323)</w:t>
            </w:r>
          </w:p>
        </w:tc>
      </w:tr>
      <w:tr>
        <w:trPr>
          <w:trHeight w:val="230"/>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(1,020,285)</w:t>
            </w:r>
          </w:p>
        </w:tc>
        <w:tc>
          <w:tcPr>
            <w:tcW w:w="18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(1,149,549)</w:t>
            </w:r>
          </w:p>
        </w:tc>
      </w:tr>
      <w:tr>
        <w:trPr>
          <w:trHeight w:val="209"/>
        </w:trPr>
        <w:tc>
          <w:tcPr>
            <w:tcW w:w="5080" w:type="dxa"/>
            <w:vAlign w:val="bottom"/>
            <w:tcBorders>
              <w:top w:val="single" w:sz="8" w:color="EEEEEE"/>
            </w:tcBorders>
            <w:shd w:val="clear" w:color="auto" w:fill="EEEEEE"/>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25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(1,103,155</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(1,254,872</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0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27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2,756,420</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2,155,250</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25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nine months ended March 31, 2024, the Company recorded $64,990 of valuation allowance to reduce deferred tax assets for the losses incurred by DHS.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200" w:type="dxa"/>
            <w:vAlign w:val="bottom"/>
          </w:tcPr>
          <w:p>
            <w:pPr>
              <w:spacing w:after="0"/>
              <w:rPr>
                <w:sz w:val="24"/>
                <w:szCs w:val="24"/>
                <w:color w:val="auto"/>
              </w:rPr>
            </w:pPr>
          </w:p>
        </w:tc>
        <w:tc>
          <w:tcPr>
            <w:tcW w:w="29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Nine Months Ended March 31,</w:t>
            </w: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1,016,082</w:t>
            </w:r>
          </w:p>
        </w:tc>
        <w:tc>
          <w:tcPr>
            <w:tcW w:w="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(1,530,534)</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(2,185,261)</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(9,003,349)</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Weighted-average shares used in computing basic and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29,821,811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29,730,914</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29,791,990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29,702,014</w:t>
            </w:r>
          </w:p>
        </w:tc>
        <w:tc>
          <w:tcPr>
            <w:tcW w:w="0" w:type="dxa"/>
            <w:vAlign w:val="bottom"/>
          </w:tcPr>
          <w:p>
            <w:pPr>
              <w:spacing w:after="0"/>
              <w:rPr>
                <w:sz w:val="1"/>
                <w:szCs w:val="1"/>
                <w:color w:val="auto"/>
              </w:rPr>
            </w:pPr>
          </w:p>
        </w:tc>
      </w:tr>
      <w:tr>
        <w:trPr>
          <w:trHeight w:val="151"/>
        </w:trPr>
        <w:tc>
          <w:tcPr>
            <w:tcW w:w="4740" w:type="dxa"/>
            <w:vAlign w:val="bottom"/>
            <w:tcBorders>
              <w:top w:val="single" w:sz="8" w:color="EEEEEE"/>
            </w:tcBorders>
            <w:shd w:val="clear" w:color="auto" w:fill="EEEEEE"/>
          </w:tcPr>
          <w:p>
            <w:pPr>
              <w:spacing w:after="0" w:line="151" w:lineRule="exact"/>
              <w:rPr>
                <w:sz w:val="20"/>
                <w:szCs w:val="20"/>
                <w:color w:val="auto"/>
              </w:rPr>
            </w:pPr>
            <w:r>
              <w:rPr>
                <w:rFonts w:ascii="Times New Roman" w:cs="Times New Roman" w:eastAsia="Times New Roman" w:hAnsi="Times New Roman"/>
                <w:sz w:val="17"/>
                <w:szCs w:val="17"/>
                <w:color w:val="auto"/>
              </w:rPr>
              <w:t>Earnings (losses) per share of ordinary shares - basic and</w:t>
            </w:r>
          </w:p>
        </w:tc>
        <w:tc>
          <w:tcPr>
            <w:tcW w:w="200" w:type="dxa"/>
            <w:vAlign w:val="bottom"/>
            <w:tcBorders>
              <w:top w:val="single" w:sz="8" w:color="auto"/>
            </w:tcBorders>
            <w:shd w:val="clear" w:color="auto" w:fill="EEEEEE"/>
          </w:tcPr>
          <w:p>
            <w:pPr>
              <w:spacing w:after="0"/>
              <w:rPr>
                <w:sz w:val="13"/>
                <w:szCs w:val="13"/>
                <w:color w:val="auto"/>
              </w:rPr>
            </w:pPr>
          </w:p>
        </w:tc>
        <w:tc>
          <w:tcPr>
            <w:tcW w:w="1160" w:type="dxa"/>
            <w:vAlign w:val="bottom"/>
            <w:tcBorders>
              <w:top w:val="single" w:sz="8" w:color="auto"/>
            </w:tcBorders>
            <w:shd w:val="clear" w:color="auto" w:fill="EEEEEE"/>
          </w:tcPr>
          <w:p>
            <w:pPr>
              <w:spacing w:after="0"/>
              <w:rPr>
                <w:sz w:val="13"/>
                <w:szCs w:val="13"/>
                <w:color w:val="auto"/>
              </w:rPr>
            </w:pPr>
          </w:p>
        </w:tc>
        <w:tc>
          <w:tcPr>
            <w:tcW w:w="180" w:type="dxa"/>
            <w:vAlign w:val="bottom"/>
            <w:tcBorders>
              <w:top w:val="single" w:sz="8" w:color="EEEEEE"/>
            </w:tcBorders>
            <w:shd w:val="clear" w:color="auto" w:fill="EEEEEE"/>
          </w:tcPr>
          <w:p>
            <w:pPr>
              <w:spacing w:after="0"/>
              <w:rPr>
                <w:sz w:val="13"/>
                <w:szCs w:val="13"/>
                <w:color w:val="auto"/>
              </w:rPr>
            </w:pPr>
          </w:p>
        </w:tc>
        <w:tc>
          <w:tcPr>
            <w:tcW w:w="160" w:type="dxa"/>
            <w:vAlign w:val="bottom"/>
            <w:tcBorders>
              <w:top w:val="single" w:sz="8" w:color="EEEEEE"/>
            </w:tcBorders>
            <w:shd w:val="clear" w:color="auto" w:fill="EEEEEE"/>
          </w:tcPr>
          <w:p>
            <w:pPr>
              <w:spacing w:after="0"/>
              <w:rPr>
                <w:sz w:val="13"/>
                <w:szCs w:val="13"/>
                <w:color w:val="auto"/>
              </w:rPr>
            </w:pPr>
          </w:p>
        </w:tc>
        <w:tc>
          <w:tcPr>
            <w:tcW w:w="300" w:type="dxa"/>
            <w:vAlign w:val="bottom"/>
            <w:tcBorders>
              <w:top w:val="single" w:sz="8" w:color="auto"/>
            </w:tcBorders>
            <w:shd w:val="clear" w:color="auto" w:fill="EEEEEE"/>
          </w:tcPr>
          <w:p>
            <w:pPr>
              <w:spacing w:after="0"/>
              <w:rPr>
                <w:sz w:val="13"/>
                <w:szCs w:val="13"/>
                <w:color w:val="auto"/>
              </w:rPr>
            </w:pPr>
          </w:p>
        </w:tc>
        <w:tc>
          <w:tcPr>
            <w:tcW w:w="1080" w:type="dxa"/>
            <w:vAlign w:val="bottom"/>
            <w:tcBorders>
              <w:top w:val="single" w:sz="8" w:color="auto"/>
            </w:tcBorders>
            <w:shd w:val="clear" w:color="auto" w:fill="EEEEEE"/>
          </w:tcPr>
          <w:p>
            <w:pPr>
              <w:spacing w:after="0"/>
              <w:rPr>
                <w:sz w:val="13"/>
                <w:szCs w:val="13"/>
                <w:color w:val="auto"/>
              </w:rPr>
            </w:pPr>
          </w:p>
        </w:tc>
        <w:tc>
          <w:tcPr>
            <w:tcW w:w="320" w:type="dxa"/>
            <w:vAlign w:val="bottom"/>
            <w:tcBorders>
              <w:top w:val="single" w:sz="8" w:color="EEEEEE"/>
            </w:tcBorders>
            <w:shd w:val="clear" w:color="auto" w:fill="EEEEEE"/>
          </w:tcPr>
          <w:p>
            <w:pPr>
              <w:spacing w:after="0"/>
              <w:rPr>
                <w:sz w:val="13"/>
                <w:szCs w:val="13"/>
                <w:color w:val="auto"/>
              </w:rPr>
            </w:pPr>
          </w:p>
        </w:tc>
        <w:tc>
          <w:tcPr>
            <w:tcW w:w="200" w:type="dxa"/>
            <w:vAlign w:val="bottom"/>
            <w:tcBorders>
              <w:top w:val="single" w:sz="8" w:color="auto"/>
            </w:tcBorders>
            <w:shd w:val="clear" w:color="auto" w:fill="EEEEEE"/>
          </w:tcPr>
          <w:p>
            <w:pPr>
              <w:spacing w:after="0"/>
              <w:rPr>
                <w:sz w:val="13"/>
                <w:szCs w:val="13"/>
                <w:color w:val="auto"/>
              </w:rPr>
            </w:pPr>
          </w:p>
        </w:tc>
        <w:tc>
          <w:tcPr>
            <w:tcW w:w="1140" w:type="dxa"/>
            <w:vAlign w:val="bottom"/>
            <w:tcBorders>
              <w:top w:val="single" w:sz="8" w:color="auto"/>
            </w:tcBorders>
            <w:shd w:val="clear" w:color="auto" w:fill="EEEEEE"/>
          </w:tcPr>
          <w:p>
            <w:pPr>
              <w:spacing w:after="0"/>
              <w:rPr>
                <w:sz w:val="13"/>
                <w:szCs w:val="13"/>
                <w:color w:val="auto"/>
              </w:rPr>
            </w:pPr>
          </w:p>
        </w:tc>
        <w:tc>
          <w:tcPr>
            <w:tcW w:w="180" w:type="dxa"/>
            <w:vAlign w:val="bottom"/>
            <w:tcBorders>
              <w:top w:val="single" w:sz="8" w:color="EEEEEE"/>
            </w:tcBorders>
            <w:shd w:val="clear" w:color="auto" w:fill="EEEEEE"/>
          </w:tcPr>
          <w:p>
            <w:pPr>
              <w:spacing w:after="0"/>
              <w:rPr>
                <w:sz w:val="13"/>
                <w:szCs w:val="13"/>
                <w:color w:val="auto"/>
              </w:rPr>
            </w:pPr>
          </w:p>
        </w:tc>
        <w:tc>
          <w:tcPr>
            <w:tcW w:w="140" w:type="dxa"/>
            <w:vAlign w:val="bottom"/>
            <w:tcBorders>
              <w:top w:val="single" w:sz="8" w:color="EEEEEE"/>
            </w:tcBorders>
            <w:shd w:val="clear" w:color="auto" w:fill="EEEEEE"/>
          </w:tcPr>
          <w:p>
            <w:pPr>
              <w:spacing w:after="0"/>
              <w:rPr>
                <w:sz w:val="13"/>
                <w:szCs w:val="13"/>
                <w:color w:val="auto"/>
              </w:rPr>
            </w:pPr>
          </w:p>
        </w:tc>
        <w:tc>
          <w:tcPr>
            <w:tcW w:w="280" w:type="dxa"/>
            <w:vAlign w:val="bottom"/>
            <w:tcBorders>
              <w:top w:val="single" w:sz="8" w:color="auto"/>
            </w:tcBorders>
            <w:shd w:val="clear" w:color="auto" w:fill="EEEEEE"/>
          </w:tcPr>
          <w:p>
            <w:pPr>
              <w:spacing w:after="0"/>
              <w:rPr>
                <w:sz w:val="13"/>
                <w:szCs w:val="13"/>
                <w:color w:val="auto"/>
              </w:rPr>
            </w:pPr>
          </w:p>
        </w:tc>
        <w:tc>
          <w:tcPr>
            <w:tcW w:w="1060" w:type="dxa"/>
            <w:vAlign w:val="bottom"/>
            <w:tcBorders>
              <w:top w:val="single" w:sz="8" w:color="auto"/>
            </w:tcBorders>
            <w:shd w:val="clear" w:color="auto" w:fill="EEEEEE"/>
          </w:tcPr>
          <w:p>
            <w:pPr>
              <w:spacing w:after="0"/>
              <w:rPr>
                <w:sz w:val="13"/>
                <w:szCs w:val="13"/>
                <w:color w:val="auto"/>
              </w:rPr>
            </w:pPr>
          </w:p>
        </w:tc>
        <w:tc>
          <w:tcPr>
            <w:tcW w:w="100" w:type="dxa"/>
            <w:vAlign w:val="bottom"/>
            <w:tcBorders>
              <w:top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4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20" w:hanging="112"/>
        <w:spacing w:after="0" w:line="266" w:lineRule="auto"/>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anti-dilutive effect, the computation of basic and diluted EPS did not include the shares underlying the exercise of warrants as the Company had a net loss and/or the warrants were out of the money (the exercise price is higher than the market price) for the three and nine months ended March 31, 2024 and 2023.</w:t>
      </w:r>
    </w:p>
    <w:p>
      <w:pPr>
        <w:spacing w:after="0" w:line="175" w:lineRule="exact"/>
        <w:rPr>
          <w:rFonts w:ascii="Times New Roman" w:cs="Times New Roman" w:eastAsia="Times New Roman" w:hAnsi="Times New Roman"/>
          <w:sz w:val="18"/>
          <w:szCs w:val="18"/>
          <w:color w:val="auto"/>
        </w:rPr>
      </w:pPr>
    </w:p>
    <w:p>
      <w:pPr>
        <w:ind w:left="120" w:hanging="112"/>
        <w:spacing w:after="0" w:line="282" w:lineRule="auto"/>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diluted EPS did not include the shares underlying the exercise of options granted as none of the options were vested and the exercise price of the options was higher than the market price as of March 31, 2024 and 2023.</w:t>
      </w:r>
    </w:p>
    <w:p>
      <w:pPr>
        <w:spacing w:after="0" w:line="161" w:lineRule="exact"/>
        <w:rPr>
          <w:rFonts w:ascii="Times New Roman" w:cs="Times New Roman" w:eastAsia="Times New Roman" w:hAnsi="Times New Roman"/>
          <w:sz w:val="18"/>
          <w:szCs w:val="18"/>
          <w:color w:val="auto"/>
        </w:rPr>
      </w:pPr>
    </w:p>
    <w:p>
      <w:pPr>
        <w:jc w:val="both"/>
        <w:ind w:left="120" w:hanging="112"/>
        <w:spacing w:after="0" w:line="266" w:lineRule="auto"/>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March 31, 2024, 25,331 and 28,635 vested but unissued shares of restricted stock units under the 2020 Equity Incentive Plan (as discussed in Note 16) are considered issued shares and therefore are included in the computation of basic earnings (losses) per share when the shares are fully vested.</w:t>
      </w:r>
    </w:p>
    <w:p>
      <w:pPr>
        <w:spacing w:after="0" w:line="175" w:lineRule="exact"/>
        <w:rPr>
          <w:rFonts w:ascii="Times New Roman" w:cs="Times New Roman" w:eastAsia="Times New Roman" w:hAnsi="Times New Roman"/>
          <w:sz w:val="18"/>
          <w:szCs w:val="18"/>
          <w:color w:val="auto"/>
        </w:rPr>
      </w:pPr>
    </w:p>
    <w:p>
      <w:pPr>
        <w:jc w:val="both"/>
        <w:ind w:left="120" w:hanging="112"/>
        <w:spacing w:after="0" w:line="266" w:lineRule="auto"/>
        <w:tabs>
          <w:tab w:leader="none" w:pos="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March 31, 2023, 12,400 and 166,661 vested but unissued shares of restricted stock units under the 2020 Equity Incentive Plan (as discussed in Note 16) are considered issued shares and therefore are included in the computation of basic losses per share when the shares are fully vested.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the total authorized shares of capital stock were 200,000,000 shares consisting of 180,000,000 shares of Common Stock (“Common Stock”) and 20,000,000 shares of preferred stock (the “Preferred Stock”), each with a par value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holders of Common Stock shall be entitled to one vote per share in voting to the election of directors and all other corporate purposes. Subject to the express terms of any outstanding series of Preferred Stock, dividends may be paid in cash or otherwise with respect to the holders of Common Stock out of the assets of the Company legally available therefor, upon the terms, and subject to the limitations, as the Board of Directors of the Company (the “Board of Directors”) may determine. In the event of a liquidation or dissolution of the Company, subject to the express terms of any outstanding series of Preferred Stock, the holders of Common Stock shall be entitled to share in the distribution of any remaining assets available for distribution to the holders of Common Stock ratably in proportion to the total number of shares of Common Stock then issued and outstanding.</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During the year ended June 30, 2023, the Company issued 138,557 shares of restricted Common Stock for RSUs vested.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and subsidiaries, as further described in Note 4, the Company issued 3,083,700 restricted shares of the Company’s common stock, valued at $2.27 per share, which was the closing price of the Company’s Common Stock as traded on Nasdaq on February 15, 2022. These shares had a lock-up period of 180 days and are subject to insider trading restrictions. The fair value of the shares was $5,528,373, calculated with a discount of lack of marketability of 21%, which was determined using the Black Scholes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ended March 31, 2024, the Company issued 107,293 shares of restricted Common Stock for RSUs vested.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June 30, 2023, there were 29,818,232 and 29,710,939 shares of Common Stock issued and outstanding,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March 31, 2024 and June 30, 2023, respectively, there were no shares of Preferred Stock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stock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 which Form S-8 was subsequently amended on December 6, 2022, September 15, 2023 and November 22,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completion of the Company’s IPO on May 11, 2021, pursuant to their letter agreements, the Company awarded 46,546 restricted stock units (“RSUs”) under the Plan to its independent directors, its Chief Financial Officer, and certain other employees and consultants, all of which vested over 12 months following the grant date and were subject to other restrictions until the filing of a Registration Statement on Form S-8 registering the shares. The fair value of the RSUs was determined based on $5.00 per share, the initial listing price of the Company’s Common Stock on the grant date. During the nine months ended March 31, 2024, the Company granted an additional 62,600 shares of RSUs. For the three and nine months ended March 31, 2024, the Company recorded $20,075 and $58,438 of stock-based compensation expense. There was no forfeiture of RSUs occurred during the nine months ended March 31, 2024 and 2023. As of March 31, 2024 and June 30, 2023, the unvested number of RSUs was 18,900 and 38,793 and the unamortized expense was $14,364 and $22,500, respectively.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Total Fair</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Market Value of</w:t>
            </w:r>
          </w:p>
        </w:tc>
      </w:tr>
      <w:tr>
        <w:trPr>
          <w:trHeight w:val="216"/>
        </w:trPr>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RSUs Issued as</w:t>
            </w:r>
          </w:p>
        </w:tc>
      </w:tr>
      <w:tr>
        <w:trPr>
          <w:trHeight w:val="238"/>
        </w:trPr>
        <w:tc>
          <w:tcPr>
            <w:tcW w:w="19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 RSUs Issued</w:t>
            </w:r>
          </w:p>
        </w:tc>
        <w:tc>
          <w:tcPr>
            <w:tcW w:w="100" w:type="dxa"/>
            <w:vAlign w:val="bottom"/>
          </w:tcPr>
          <w:p>
            <w:pPr>
              <w:spacing w:after="0"/>
              <w:rPr>
                <w:sz w:val="20"/>
                <w:szCs w:val="20"/>
                <w:color w:val="auto"/>
              </w:rPr>
            </w:pPr>
          </w:p>
        </w:tc>
        <w:tc>
          <w:tcPr>
            <w:tcW w:w="14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 (1)</w:t>
            </w:r>
          </w:p>
        </w:tc>
      </w:tr>
      <w:tr>
        <w:trPr>
          <w:trHeight w:val="191"/>
        </w:trPr>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38,793</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r>
      <w:tr>
        <w:trPr>
          <w:trHeight w:val="216"/>
        </w:trPr>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62,600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50,302</w:t>
            </w:r>
          </w:p>
        </w:tc>
      </w:tr>
      <w:tr>
        <w:trPr>
          <w:trHeight w:val="216"/>
        </w:trPr>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8"/>
        </w:trPr>
        <w:tc>
          <w:tcPr>
            <w:tcW w:w="1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(82,493)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3"/>
        </w:trPr>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6940" w:space="720"/>
            <w:col w:w="3580"/>
          </w:cols>
          <w:pgMar w:left="320" w:top="796" w:right="339" w:bottom="1440" w:gutter="0" w:footer="0" w:header="0"/>
        </w:sectPr>
      </w:pPr>
    </w:p>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of the 314,504 vested RSUs, 285,869 shares, including 107,293 shares issued during the current quarter, of Common Stock were issued, and 28,635 shares were to be issued in the near future.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exercisable to purchase (i) 3,000,000 shares of Common Stock to Chenlong Tan, CEO and (ii) 330,000 shares of Common Stock to Mr. Vassily. The Option Grants, which were issued on May 13, 2022, have an exercise price of $1.12 per share, a contractual term of 10 years, and consist of six vesting tranches with a vesting schedule based entirely on the attainment of both operational milestones (performance conditions) and market conditions, assuming continued employment of the recipients through each vesting date. Each of the six vesting tranches of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achievement status of the operational milestones as of March 31, 2024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Revenue in Fiscal Year</w:t>
            </w: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0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Operating Income in Fiscal Year</w:t>
            </w:r>
          </w:p>
        </w:tc>
      </w:tr>
      <w:tr>
        <w:trPr>
          <w:trHeight w:val="187"/>
        </w:trPr>
        <w:tc>
          <w:tcPr>
            <w:tcW w:w="19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Milestone</w:t>
            </w:r>
          </w:p>
        </w:tc>
        <w:tc>
          <w:tcPr>
            <w:tcW w:w="7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jc w:val="center"/>
              <w:ind w:right="6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2"/>
          </w:tcPr>
          <w:p>
            <w:pPr>
              <w:jc w:val="center"/>
              <w:ind w:right="660"/>
              <w:spacing w:after="0" w:line="188" w:lineRule="exact"/>
              <w:rPr>
                <w:sz w:val="20"/>
                <w:szCs w:val="20"/>
                <w:color w:val="auto"/>
              </w:rPr>
            </w:pPr>
            <w:r>
              <w:rPr>
                <w:rFonts w:ascii="Times New Roman" w:cs="Times New Roman" w:eastAsia="Times New Roman" w:hAnsi="Times New Roman"/>
                <w:sz w:val="18"/>
                <w:szCs w:val="18"/>
                <w:b w:val="1"/>
                <w:bCs w:val="1"/>
                <w:color w:val="auto"/>
              </w:rPr>
              <w:t>Milestone</w:t>
            </w:r>
          </w:p>
        </w:tc>
        <w:tc>
          <w:tcPr>
            <w:tcW w:w="2460" w:type="dxa"/>
            <w:vAlign w:val="bottom"/>
            <w:tcBorders>
              <w:top w:val="single" w:sz="8" w:color="auto"/>
            </w:tcBorders>
          </w:tcPr>
          <w:p>
            <w:pPr>
              <w:jc w:val="center"/>
              <w:ind w:lef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Achievement</w:t>
            </w:r>
          </w:p>
        </w:tc>
        <w:tc>
          <w:tcPr>
            <w:tcW w:w="100" w:type="dxa"/>
            <w:vAlign w:val="bottom"/>
          </w:tcPr>
          <w:p>
            <w:pPr>
              <w:spacing w:after="0"/>
              <w:rPr>
                <w:sz w:val="16"/>
                <w:szCs w:val="16"/>
                <w:color w:val="auto"/>
              </w:rPr>
            </w:pPr>
          </w:p>
        </w:tc>
      </w:tr>
      <w:tr>
        <w:trPr>
          <w:trHeight w:val="238"/>
        </w:trPr>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1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440" w:type="dxa"/>
            <w:vAlign w:val="bottom"/>
          </w:tcPr>
          <w:p>
            <w:pPr>
              <w:spacing w:after="0"/>
              <w:rPr>
                <w:sz w:val="20"/>
                <w:szCs w:val="20"/>
                <w:color w:val="auto"/>
              </w:rPr>
            </w:pPr>
          </w:p>
        </w:tc>
        <w:tc>
          <w:tcPr>
            <w:tcW w:w="234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Status</w:t>
            </w:r>
          </w:p>
        </w:tc>
      </w:tr>
      <w:tr>
        <w:trPr>
          <w:trHeight w:val="210"/>
        </w:trPr>
        <w:tc>
          <w:tcPr>
            <w:tcW w:w="1900" w:type="dxa"/>
            <w:vAlign w:val="bottom"/>
            <w:tcBorders>
              <w:top w:val="single" w:sz="8" w:color="auto"/>
            </w:tcBorders>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7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spacing w:after="0"/>
              <w:rPr>
                <w:sz w:val="18"/>
                <w:szCs w:val="18"/>
                <w:color w:val="auto"/>
              </w:rPr>
            </w:pPr>
          </w:p>
        </w:tc>
        <w:tc>
          <w:tcPr>
            <w:tcW w:w="20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4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9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820" w:type="dxa"/>
            <w:vAlign w:val="bottom"/>
          </w:tcPr>
          <w:p>
            <w:pPr>
              <w:spacing w:after="0"/>
              <w:rPr>
                <w:sz w:val="18"/>
                <w:szCs w:val="18"/>
                <w:color w:val="auto"/>
              </w:rPr>
            </w:pPr>
          </w:p>
        </w:tc>
        <w:tc>
          <w:tcPr>
            <w:tcW w:w="21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Probable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00" w:type="dxa"/>
            <w:vAlign w:val="bottom"/>
            <w:shd w:val="clear" w:color="auto" w:fill="EEEEEE"/>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820" w:type="dxa"/>
            <w:vAlign w:val="bottom"/>
            <w:shd w:val="clear" w:color="auto" w:fill="EEEEEE"/>
          </w:tcPr>
          <w:p>
            <w:pPr>
              <w:spacing w:after="0"/>
              <w:rPr>
                <w:sz w:val="18"/>
                <w:szCs w:val="18"/>
                <w:color w:val="auto"/>
              </w:rPr>
            </w:pPr>
          </w:p>
        </w:tc>
        <w:tc>
          <w:tcPr>
            <w:tcW w:w="2120" w:type="dxa"/>
            <w:vAlign w:val="bottom"/>
            <w:gridSpan w:val="2"/>
            <w:shd w:val="clear" w:color="auto" w:fill="EEEEEE"/>
          </w:tcPr>
          <w:p>
            <w:pPr>
              <w:jc w:val="center"/>
              <w:ind w:right="1040"/>
              <w:spacing w:after="0"/>
              <w:rPr>
                <w:sz w:val="20"/>
                <w:szCs w:val="20"/>
                <w:color w:val="auto"/>
              </w:rPr>
            </w:pPr>
            <w:r>
              <w:rPr>
                <w:rFonts w:ascii="Times New Roman" w:cs="Times New Roman" w:eastAsia="Times New Roman" w:hAnsi="Times New Roman"/>
                <w:sz w:val="18"/>
                <w:szCs w:val="18"/>
                <w:color w:val="auto"/>
                <w:w w:val="99"/>
              </w:rPr>
              <w:t>Probable</w:t>
            </w:r>
          </w:p>
        </w:tc>
        <w:tc>
          <w:tcPr>
            <w:tcW w:w="44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560" w:type="dxa"/>
            <w:vAlign w:val="bottom"/>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w:t>
            </w:r>
          </w:p>
        </w:tc>
        <w:tc>
          <w:tcPr>
            <w:tcW w:w="820" w:type="dxa"/>
            <w:vAlign w:val="bottom"/>
          </w:tcPr>
          <w:p>
            <w:pPr>
              <w:spacing w:after="0"/>
              <w:rPr>
                <w:sz w:val="18"/>
                <w:szCs w:val="18"/>
                <w:color w:val="auto"/>
              </w:rPr>
            </w:pPr>
          </w:p>
        </w:tc>
        <w:tc>
          <w:tcPr>
            <w:tcW w:w="21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Probable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00" w:type="dxa"/>
            <w:vAlign w:val="bottom"/>
            <w:shd w:val="clear" w:color="auto" w:fill="EEEEEE"/>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150</w:t>
            </w:r>
          </w:p>
        </w:tc>
        <w:tc>
          <w:tcPr>
            <w:tcW w:w="820" w:type="dxa"/>
            <w:vAlign w:val="bottom"/>
            <w:shd w:val="clear" w:color="auto" w:fill="EEEEEE"/>
          </w:tcPr>
          <w:p>
            <w:pPr>
              <w:spacing w:after="0"/>
              <w:rPr>
                <w:sz w:val="18"/>
                <w:szCs w:val="18"/>
                <w:color w:val="auto"/>
              </w:rPr>
            </w:pPr>
          </w:p>
        </w:tc>
        <w:tc>
          <w:tcPr>
            <w:tcW w:w="2120" w:type="dxa"/>
            <w:vAlign w:val="bottom"/>
            <w:gridSpan w:val="2"/>
            <w:shd w:val="clear" w:color="auto" w:fill="EEEEEE"/>
          </w:tcPr>
          <w:p>
            <w:pPr>
              <w:jc w:val="center"/>
              <w:ind w:right="1040"/>
              <w:spacing w:after="0"/>
              <w:rPr>
                <w:sz w:val="20"/>
                <w:szCs w:val="20"/>
                <w:color w:val="auto"/>
              </w:rPr>
            </w:pPr>
            <w:r>
              <w:rPr>
                <w:rFonts w:ascii="Times New Roman" w:cs="Times New Roman" w:eastAsia="Times New Roman" w:hAnsi="Times New Roman"/>
                <w:sz w:val="18"/>
                <w:szCs w:val="18"/>
                <w:color w:val="auto"/>
                <w:w w:val="99"/>
              </w:rPr>
              <w:t>Probable</w:t>
            </w:r>
          </w:p>
        </w:tc>
        <w:tc>
          <w:tcPr>
            <w:tcW w:w="44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2560" w:type="dxa"/>
            <w:vAlign w:val="bottom"/>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Probable</w:t>
            </w:r>
          </w:p>
        </w:tc>
      </w:tr>
      <w:tr>
        <w:trPr>
          <w:trHeight w:val="216"/>
        </w:trPr>
        <w:tc>
          <w:tcPr>
            <w:tcW w:w="190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tcPr>
          <w:p>
            <w:pPr>
              <w:spacing w:after="0"/>
              <w:rPr>
                <w:sz w:val="18"/>
                <w:szCs w:val="18"/>
                <w:color w:val="auto"/>
              </w:rPr>
            </w:pPr>
          </w:p>
        </w:tc>
        <w:tc>
          <w:tcPr>
            <w:tcW w:w="212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9"/>
              </w:rPr>
              <w:t>Probable</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2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16"/>
        </w:trPr>
        <w:tc>
          <w:tcPr>
            <w:tcW w:w="1900" w:type="dxa"/>
            <w:vAlign w:val="bottom"/>
            <w:shd w:val="clear" w:color="auto" w:fill="EEEEEE"/>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250</w:t>
            </w:r>
          </w:p>
        </w:tc>
        <w:tc>
          <w:tcPr>
            <w:tcW w:w="820" w:type="dxa"/>
            <w:vAlign w:val="bottom"/>
            <w:shd w:val="clear" w:color="auto" w:fill="EEEEEE"/>
          </w:tcPr>
          <w:p>
            <w:pPr>
              <w:spacing w:after="0"/>
              <w:rPr>
                <w:sz w:val="18"/>
                <w:szCs w:val="18"/>
                <w:color w:val="auto"/>
              </w:rPr>
            </w:pPr>
          </w:p>
        </w:tc>
        <w:tc>
          <w:tcPr>
            <w:tcW w:w="2120" w:type="dxa"/>
            <w:vAlign w:val="bottom"/>
            <w:gridSpan w:val="2"/>
            <w:shd w:val="clear" w:color="auto" w:fill="EEEEEE"/>
          </w:tcPr>
          <w:p>
            <w:pPr>
              <w:jc w:val="center"/>
              <w:ind w:right="10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EEEEE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560" w:type="dxa"/>
            <w:vAlign w:val="bottom"/>
            <w:gridSpan w:val="2"/>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the Company will achieve each operational milestone that has not previously been achieved or deemed probable of achievement and, if so, the future time when the Company expects to achieve that operational milestone. The Monte Carlo simulation utilized the following inputs:</w:t>
      </w:r>
    </w:p>
    <w:p>
      <w:pPr>
        <w:spacing w:after="0" w:line="18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 $1.12</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95.65%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–10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of Return – 2.93%</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0%</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total fair value of the Option Grants was $3.2 million of which, at March 31, 2024, $2.3 million is deemed probable of vesting. As of March 31, 2024, none of the options had vested. For the three and nine months ended March 31, 2024, the Company recorded $110,382 and $331,146 of stock-based compensation expense related to the Option Grants. For the three and nine months ended March 31, 2023, the Company recorded $110,382 and $331,146 of stock-based compensation expense related to the Option Grants. As of March 31, 2024, unrecognized compensation cost related to tranches probable of vesting is approximately $1.4 million and will be recognized over two years to nine years, depending on the tranche.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outstanding warrants held by the Convertible Note investors were reclassified to additional paid in capital as the terms became fixed upon closing of the IPO. Through March 31, 2024, none of the private placement investors exercised any of their warrants. As such, as of March 31, 2024 and June 30, 2023, the number of shares issuable under the outstanding warrants was 685,715, with an average exercise price of $5.00 per share.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Note 18 -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and June 30, 2023, $2,714,724 and $3,735,642, respectively, were deposited with various major financial institutions in the United States and PRC. Accounts at each institution in the United States are insured by the Federal Deposit Insurance Corporation (FDIC) for up to $250,000. The Company had approximately $1.1 million and $2.7 million, respectively, in excess of the FDIC insurance limit, as of March 31, 2024 and June 30, 2023.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2024 and 2023, Amazon Vendor and Amazon Seller customers accounted for 91% and 91% of the Company's total revenues, respectively. As of March 31, 2024 and June 30, 2023, accounts receivable from Amazon Vendor and Amazon Seller accounted for 91% and 95% of the Company’s total accounts receivable,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2024 and 2023, two suppliers accounted for 19% (10% and 9%) and 39% (28% and 11%) of the Company's total purchases, respectively. As of March 31, 2024 and June 30, 2023, accounts payable to two suppliers accounted for 45% (36% and 9%) and 55% (49% and 6%) of the Company’s total accounts payable,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a lease agreement for office and warehouse space with a lease period from December 1, 2018 until December 31, 2020. On August 24, 2020, the Company negotiated for new terms to extend the lease through December 21, 2023 at the rate of approximately $42,000 per month. On December 21, 2023, the lease expired without renewal.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was $27,921 to $29,910 per month through October 31, 2023. On October 31, 2023, the lease expired without renewal.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an operating lease for offices located in the PRC. In July 2023, the Company renewed the lease contract for its existing office plus additional office space. The lease term is for three years expiring on July 14, 2026. The total base rental fee for these offices is approximately $19,406 per month.</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is for 62 months, commencing on the date on which the Landlord completes certain prescribed improvements on the property (the “Rent Commencement Date”). The Lease Agreement does not provide for an option to renew. Under the Lease Agreement, the Company is responsible for its pro rata share of certain costs, including utility costs, insurance and common area costs, as further detailed in the Lease Agreement. In addition, following the Rent Commencement Date, the first two months of the Base Rent were abated.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lease was not started under the original agreement as the construction was not completed. On February 23, 2022, the Company entered into an amended agreement to extend the lease term to 74 months. Under the amended agreement, the lease commenced on February 10, 2022, with rent payments commencing May 11, 2022 and the lease expiring on May 31, 2028. The base rental fee is $114,249, increasing gradually over time to $140,079 per month through the expiration date of May 31, 2028.</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 2022, the Company leased another fulfillment center in Duarte, California. The base rental fee for the Duarte fulfillment center is $56,000 to $59,410 per month through April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commitment for the full term of these leases is $12,649,053. The financial statements reflected $6,632,349 and $7,837,345, respectively, of operating lease right-of-use assets, and $7,056,669 and $8,265,220, respectively, of operating lease liabilities as of March 31, 2024 and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2024 and 2023:</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3/31/2023</w:t>
            </w:r>
          </w:p>
        </w:tc>
        <w:tc>
          <w:tcPr>
            <w:tcW w:w="100" w:type="dxa"/>
            <w:vAlign w:val="bottom"/>
          </w:tcPr>
          <w:p>
            <w:pPr>
              <w:spacing w:after="0"/>
              <w:rPr>
                <w:sz w:val="19"/>
                <w:szCs w:val="19"/>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560" w:type="dxa"/>
            <w:vAlign w:val="bottom"/>
            <w:tcBorders>
              <w:bottom w:val="single" w:sz="8" w:color="EEEEEE"/>
            </w:tcBorders>
          </w:tcPr>
          <w:p>
            <w:pPr>
              <w:spacing w:after="0"/>
              <w:rPr>
                <w:sz w:val="2"/>
                <w:szCs w:val="2"/>
                <w:color w:val="auto"/>
              </w:rPr>
            </w:pPr>
          </w:p>
        </w:tc>
        <w:tc>
          <w:tcPr>
            <w:tcW w:w="6060" w:type="dxa"/>
            <w:vAlign w:val="bottom"/>
            <w:tcBorders>
              <w:bottom w:val="single" w:sz="8" w:color="EEEEEE"/>
            </w:tcBorders>
          </w:tcPr>
          <w:p>
            <w:pPr>
              <w:spacing w:after="0"/>
              <w:rPr>
                <w:sz w:val="2"/>
                <w:szCs w:val="2"/>
                <w:color w:val="auto"/>
              </w:rPr>
            </w:pPr>
          </w:p>
        </w:tc>
        <w:tc>
          <w:tcPr>
            <w:tcW w:w="28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10"/>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selling and fulfillment in the Company's statement of operations)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592,410</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776,878</w:t>
            </w:r>
          </w:p>
        </w:tc>
        <w:tc>
          <w:tcPr>
            <w:tcW w:w="100" w:type="dxa"/>
            <w:vAlign w:val="bottom"/>
            <w:shd w:val="clear" w:color="auto" w:fill="EEEEEE"/>
          </w:tcPr>
          <w:p>
            <w:pPr>
              <w:spacing w:after="0"/>
              <w:rPr>
                <w:sz w:val="18"/>
                <w:szCs w:val="18"/>
                <w:color w:val="auto"/>
              </w:rPr>
            </w:pPr>
          </w:p>
        </w:tc>
      </w:tr>
      <w:tr>
        <w:trPr>
          <w:trHeight w:val="39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gridSpan w:val="2"/>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594,976</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778,843</w:t>
            </w:r>
          </w:p>
        </w:tc>
      </w:tr>
      <w:tr>
        <w:trPr>
          <w:trHeight w:val="216"/>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 – 4.17</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 – 5.17</w:t>
            </w: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5 - 8%</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r>
        <w:trPr>
          <w:trHeight w:val="432"/>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Nine Months Ended March 31, 2024 and 2023: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cost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3/31/2023</w:t>
            </w:r>
          </w:p>
        </w:tc>
        <w:tc>
          <w:tcPr>
            <w:tcW w:w="100" w:type="dxa"/>
            <w:vAlign w:val="bottom"/>
          </w:tcPr>
          <w:p>
            <w:pPr>
              <w:spacing w:after="0"/>
              <w:rPr>
                <w:sz w:val="24"/>
                <w:szCs w:val="24"/>
                <w:color w:val="auto"/>
              </w:rPr>
            </w:pPr>
          </w:p>
        </w:tc>
      </w:tr>
      <w:tr>
        <w:trPr>
          <w:trHeight w:val="20"/>
        </w:trPr>
        <w:tc>
          <w:tcPr>
            <w:tcW w:w="760" w:type="dxa"/>
            <w:vAlign w:val="bottom"/>
            <w:tcBorders>
              <w:top w:val="single" w:sz="8" w:color="auto"/>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60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r>
      <w:tr>
        <w:trPr>
          <w:trHeight w:val="210"/>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selling and fulfillment in the Company's statement of operations)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2,124,939</w:t>
            </w: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2,331,542</w:t>
            </w:r>
          </w:p>
        </w:tc>
        <w:tc>
          <w:tcPr>
            <w:tcW w:w="100" w:type="dxa"/>
            <w:vAlign w:val="bottom"/>
            <w:shd w:val="clear" w:color="auto" w:fill="EEEEEE"/>
          </w:tcPr>
          <w:p>
            <w:pPr>
              <w:spacing w:after="0"/>
              <w:rPr>
                <w:sz w:val="18"/>
                <w:szCs w:val="18"/>
                <w:color w:val="auto"/>
              </w:rPr>
            </w:pPr>
          </w:p>
        </w:tc>
      </w:tr>
      <w:tr>
        <w:trPr>
          <w:trHeight w:val="391"/>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540" w:type="dxa"/>
            <w:vAlign w:val="bottom"/>
            <w:gridSpan w:val="2"/>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2,129,841</w:t>
            </w:r>
          </w:p>
        </w:tc>
        <w:tc>
          <w:tcPr>
            <w:tcW w:w="2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2,303,668</w:t>
            </w:r>
          </w:p>
        </w:tc>
      </w:tr>
      <w:tr>
        <w:trPr>
          <w:trHeight w:val="216"/>
        </w:trPr>
        <w:tc>
          <w:tcPr>
            <w:tcW w:w="7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 – 4.17</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0.33 – 5.17</w:t>
            </w:r>
          </w:p>
        </w:tc>
      </w:tr>
      <w:tr>
        <w:trPr>
          <w:trHeight w:val="216"/>
        </w:trPr>
        <w:tc>
          <w:tcPr>
            <w:tcW w:w="738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2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5 - 8%</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5 - 8%</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285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19"/>
                <w:szCs w:val="19"/>
                <w:color w:val="auto"/>
              </w:rPr>
            </w:pP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3/31/2024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6/30/2023</w:t>
            </w:r>
          </w:p>
        </w:tc>
        <w:tc>
          <w:tcPr>
            <w:tcW w:w="100" w:type="dxa"/>
            <w:vAlign w:val="bottom"/>
          </w:tcPr>
          <w:p>
            <w:pPr>
              <w:spacing w:after="0"/>
              <w:rPr>
                <w:sz w:val="19"/>
                <w:szCs w:val="19"/>
                <w:color w:val="auto"/>
              </w:rPr>
            </w:pPr>
          </w:p>
        </w:tc>
      </w:tr>
      <w:tr>
        <w:trPr>
          <w:trHeight w:val="34"/>
        </w:trPr>
        <w:tc>
          <w:tcPr>
            <w:tcW w:w="1200" w:type="dxa"/>
            <w:vAlign w:val="bottom"/>
            <w:tcBorders>
              <w:top w:val="single" w:sz="8" w:color="auto"/>
              <w:bottom w:val="single" w:sz="8" w:color="EEEEEE"/>
            </w:tcBorders>
          </w:tcPr>
          <w:p>
            <w:pPr>
              <w:spacing w:after="0"/>
              <w:rPr>
                <w:sz w:val="2"/>
                <w:szCs w:val="2"/>
                <w:color w:val="auto"/>
              </w:rPr>
            </w:pPr>
          </w:p>
        </w:tc>
        <w:tc>
          <w:tcPr>
            <w:tcW w:w="6460" w:type="dxa"/>
            <w:vAlign w:val="bottom"/>
            <w:tcBorders>
              <w:bottom w:val="single" w:sz="8" w:color="EEEEEE"/>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EEEEEE"/>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09"/>
        </w:trPr>
        <w:tc>
          <w:tcPr>
            <w:tcW w:w="76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asset - non-current</w:t>
            </w: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6,632,349</w:t>
            </w:r>
          </w:p>
        </w:tc>
        <w:tc>
          <w:tcPr>
            <w:tcW w:w="320" w:type="dxa"/>
            <w:vAlign w:val="bottom"/>
            <w:shd w:val="clear" w:color="auto" w:fill="EEEEEE"/>
          </w:tcPr>
          <w:p>
            <w:pPr>
              <w:spacing w:after="0"/>
              <w:rPr>
                <w:sz w:val="18"/>
                <w:szCs w:val="18"/>
                <w:color w:val="auto"/>
              </w:rPr>
            </w:pPr>
          </w:p>
        </w:tc>
        <w:tc>
          <w:tcPr>
            <w:tcW w:w="280" w:type="dxa"/>
            <w:vAlign w:val="bottom"/>
            <w:tcBorders>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7,837,345</w:t>
            </w:r>
          </w:p>
        </w:tc>
        <w:tc>
          <w:tcPr>
            <w:tcW w:w="100" w:type="dxa"/>
            <w:vAlign w:val="bottom"/>
            <w:shd w:val="clear" w:color="auto" w:fill="EEEEEE"/>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79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Lease Liability – 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2,106,867</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2,159,173</w:t>
            </w: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4,949,802</w:t>
            </w:r>
          </w:p>
        </w:tc>
        <w:tc>
          <w:tcPr>
            <w:tcW w:w="4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6,106,047</w:t>
            </w:r>
          </w:p>
        </w:tc>
      </w:tr>
      <w:tr>
        <w:trPr>
          <w:trHeight w:val="223"/>
        </w:trPr>
        <w:tc>
          <w:tcPr>
            <w:tcW w:w="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7,056,669</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8,265,220</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-179705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are as follows: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9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9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09"/>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For Year ending June 30:</w:t>
            </w: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591,236</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2,315,584</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1,769,171</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1,596,374</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1,459,408</w:t>
            </w:r>
          </w:p>
        </w:tc>
        <w:tc>
          <w:tcPr>
            <w:tcW w:w="80" w:type="dxa"/>
            <w:vAlign w:val="bottom"/>
          </w:tcPr>
          <w:p>
            <w:pPr>
              <w:spacing w:after="0"/>
              <w:rPr>
                <w:sz w:val="18"/>
                <w:szCs w:val="18"/>
                <w:color w:val="auto"/>
              </w:rPr>
            </w:pPr>
          </w:p>
        </w:tc>
      </w:tr>
      <w:tr>
        <w:trPr>
          <w:trHeight w:val="229"/>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Less: Imputed interest/present value discount</w:t>
            </w:r>
          </w:p>
        </w:tc>
        <w:tc>
          <w:tcPr>
            <w:tcW w:w="24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(675,104)</w:t>
            </w:r>
          </w:p>
        </w:tc>
      </w:t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7,056,669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seeking, among other things, monetary damages against the Company and D.A. Davidson &amp; Co. (who acted as underwriter in the Company’s IPO). This matter was scheduled to hold its evidentiary hearing before a FINRA arbitration panel during the first two weeks of March 2024.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 2024, the Company and the underwriter of its initial public offering, D.A. Davidson &amp; Co (“D.A. Davidson”), entered into a settlement agreement and mutual release (the “Settlement Agreement”) with Boustead Securities, LLC (“BSL”) and its current and former employees, officers, directors, partners, agents and affiliates, pursuant to which all parties agreed to release all claims in exchange for the Company’s payment of $1.3 million (the “Settlement Amount”) to BSL. The Settlement Agreement was entered into for purposes of settling in full the FINRA Arbitration (FINRA Case No. 22-01133) which had been brought by BSL against the Company and D.A. Davidson after the Company opted not to complete its initial public offering with BSL but instead engaged and completed its initial public offering with D.A. Davidson. In entering into the Settlement Agreement, the Company is required to pay the Settlement Amount in four equal installments of $325,000 on each of April 3, 2024, May 3, 2024, June 3, 2024 and July 3, 2024, with the April and May payments having been completed on or about April 3 and May 3, 2024. Within five days of its receipt of the final payment, or by July 8, 2024, BSL will be obligated to dismiss the FINRA Arbitration against the Company, with prejudice, after which time the Company will be required to dismiss, with prejudice, all counterclaims brought by the Company against BSL. As of March 31, 2024, the Company did not accrue any expenses in connection with the settlement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entry into the Settlement Agreement, the Company’s CEO and co-founder, Chenlong Tan, and Allan Huang, also a co-founder of the Company, entered into a pledge agreement (the “Pledge Agreement”) with the Company pursuant to which they each pledged 1,300,000 shares of their iPower common stock, for a total of 2,600,000 shares (the “Pledged Shares”), in order that the Company may, from time to time, sell such Pledged Shares into the market on behalf of Messrs. Tan and Huang in order to recoup the Settlement Amount.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an effort to contain or slow the COVID-19 outbreak, authorities across the world implemented various measures, including travel bans, stay-at-home orders and shutdowns of certain businesses. While most of these measures have since been rescinded or modified and much of the effects related to COVID-19 have dissipated as COVID-19 has become endemic, the Company nonetheless anticipates that these actions and the global health crisis caused by the COVID-19 outbreak, including any resurgences, may continue to negatively impact global economic activity.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in February 2022, the Russian Federation began conducting military operations against Ukraine, and in October 2023, an armed conflict between Hamas-led Palestinian militant groups and Israeli military forces began, both of which have since escalated into prolonged wars. While we do not do business in those regions, the military conflicts in Ukraine and in Israel have resulted in global economic uncertainty and increased the cost of various commodities. In response to these types of events, should they directly impact our supply chain or other operations, we may experience or be exposed to supply chain disruptions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we have experienced a delay in, as well as an increase in costs in shipping, and the resulting inventory level increase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On April 13, 2020, the Company entered into an agreement with Royal Business Bank (the “Lender”) for a total amount of $175,500, pursuant to which the Company issued a promissory note to the Lender (the “PPP Note”). The loan was made pursuant to the Payroll Protection Program established as part of the Coronavirus Aid, Relief and Economic Security Act (the “CARES Act”). On March 22, 2021, the $175,500 PPP Note due to Royal Business Bank was fully forgiven by the SBA.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retain PPP loan documentation through 2026 and permit authorized representatives of the SBA to access such files upon request. Should the SBA conduct such a review and reject all or some of the Company’s judgments pertaining to satisfying PPP loan eligibility or forgiveness conditions, the Company may be required to adjust previously reported amounts and disclosures in its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unaudited condensed consolidated financial statements were available to be issued. Other than as disclosed in Note 19 above, no material subsequent events that required recognition or additional disclosure in the consolidated financial statements are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(the “MD&amp;A”) should be read in conjunction with our unaudited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Driven by technology and data, iPower Inc. (“iPower,” “we,” “us,” or “the Company”) is an online retailer and supplier of consumer goods, including consumer home, pet and garden products, as well as a provider of value-added ecommerce services for third-party products and brands. Our capabilities include a full spectrum of online channels, robust fulfillment capacity, a network of warehouses serving the US, competitive last mile delivery partners and a differentiated business intelligence platform. With these capabilities, iPower efficiently moves a diverse catalog of SKUs from its supply chain partners to end consumers every day, providing the best value to customers in US and other countries.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iPower has developed a set of methodologies driven by proprietary data formulas to effectively bring products to market and increase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on iPower's SuperSuite platform consistently achieve Amazon Best Seller status and Amazon Choice designation.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actively developing supply chain partners with strong products and brands.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Joint Ventures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15, 2022, in exchange for total consideration of $10.6 million, we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PRC and which is a wholly foreign-owned enterprise (“WFOE”) of Fly Elephant Limited. The WFOE controls, through a series of contractual arrangements summarized below, the business, revenues, and profits of Daheshou (Shenzhen) Information Technology Co., Ltd., a company organized under the laws of the People’s Republic of China, or the PRC (the “Operating Company”) and located in Shenzhen, China. The Operating Company is principally engaged in selling a wide range of products and providing logistic services in the PRC.</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9" w:name="page40"/>
    <w:bookmarkEnd w:id="3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10, 2022, we entered into a joint venture agreement with Bro Angel, LLC ("Bro Angel”), Ji Shin and Bing Luo (the “GSM Joint Venture Agreement”). Pursuant to the terms of the GSM Joint Venture Agreement, the parties formed a Nevada limited liability company, Global Social Media, LLC (“GSM”), for the principal purpose of providing a social media platform, content and services to assist businesses, including the Company and other businesses, in the marketing of their products. 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GSM limited liability operating agreement (the “GSM LLC Agreement”), the Company will contribute $100,000 to the capital of GSM and Bro Angel granted GSM, pursuant to the terms of an intellectual property licensing agreement, dated February 10, 2022 (the “IP License Agreement”), an exclusive worldwide paid up right and license to use all intellectual property of Bro Angel and its members for the purpose of furthering the proposed business of GSM. The GSM LLC Agreement prohibits the issuance of additional GSM Equity Units and certain other actions unless approved in advance by the Company.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GSM Joint Venture Agreement, the Company and GSM also intended to enter into an occupancy management agreement pursuant to which the Company would grant to GSM the right to have access to and use of up to approximately 4,000 square feet of office space along with internet access at the Company’s facility located at 2399 Bateman Avenue, Duarte, CA 91010. It was contemplated that only approximately 300-400 square feet would initially be used by GSM. However, since the space was never utilized by GSM, iPower resumed using the contemplated space during the fiscal year ended June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our investments in product and brand development. We actively evaluate potential acquisition opportunities of companies and product brand names that can complement and enhance our product catalog and improve on existing products and supply chain efficiencies.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and the Israel-Hamas war may nonetheless increase the likelihood of supply chain disruptions and hinder our ability to find the materials we need to make our products. Thus far, as a result of the general global economic disruption, we have experienced a delay in, as well as an increase in costs related to shipping, resulting in increased inventory levels in our warehouse facilities, thus resulting in reduced profits. In addition, supply chain disruptions may put upward pressure on our costs and increase the risk that we may be unable to acquire the materials and services we need to continue to make certain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COVID-19 Pandemic and Related Disruptions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it appears the COVID-19 pandemic has largely passed and we believe that any aftereffects of the pandemic are unlikely to significantly impact our business going forward, we continue to closely monitor its impact on our business, results of operations and financial results. The situation surrounding the pandemic remains fluid and the full extent of the positive or negative impact of the COVID-19 pandemic on our business will depend on certain developments including the length of time of any regional outbreaks, the impact on consumer activity and behaviors, and the effect on our customers, employees, suppliers and stockholders, all of which are uncertain and cannot be predicted. While the COVID-19 pandemic has not had a material adverse impact on our operations to date and we believe the long-term opportunity that we see for shopping online remains unchanged, it is difficult to predict all of the positive or negative impacts that the pandemic, or any future pandemics, may have on our business over time.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to general consumer goods, we sell hydroponic gardening products to end users that may use such products in new and emerging industries or segments, including for purposes of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46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certain U.S. states prohibit growing cannabis. Demand for our products could be impacted by changes in the regulatory environment with respect to such industries and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2024 and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0" w:type="dxa"/>
            <w:vAlign w:val="bottom"/>
          </w:tcPr>
          <w:p>
            <w:pPr>
              <w:spacing w:after="0"/>
              <w:rPr>
                <w:sz w:val="18"/>
                <w:szCs w:val="18"/>
                <w:color w:val="auto"/>
              </w:rPr>
            </w:pPr>
          </w:p>
        </w:tc>
        <w:tc>
          <w:tcPr>
            <w:tcW w:w="17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74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0"/>
                <w:szCs w:val="20"/>
                <w:color w:val="auto"/>
              </w:rPr>
            </w:pPr>
          </w:p>
        </w:tc>
        <w:tc>
          <w:tcPr>
            <w:tcW w:w="17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8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23,308,508</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20,225,619</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12,360,170</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12,433,898</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r>
      <w:tr>
        <w:trPr>
          <w:trHeight w:val="209"/>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10,948,338</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7,791,721</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40.51%</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9,347,062</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9,602,919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1,601,276</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(1,811,198)</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188.41%</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(211,660)</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(312,155)</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(32.19%)</w:t>
            </w: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1,389,616</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(2,123,353)</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165.44%</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377,147</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(589,581)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163.97%</w:t>
            </w: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1,012,469</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(1,533,772)</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166.01%</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(3,613)</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(3,238)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w:t>
            </w:r>
          </w:p>
        </w:tc>
      </w:tr>
      <w:tr>
        <w:trPr>
          <w:trHeight w:val="210"/>
        </w:trPr>
        <w:tc>
          <w:tcPr>
            <w:tcW w:w="492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8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1,016,082</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(1,530,534)</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166.39%</w:t>
            </w: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69,122</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17,604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292.65%</w:t>
            </w:r>
          </w:p>
        </w:tc>
      </w:tr>
      <w:tr>
        <w:trPr>
          <w:trHeight w:val="223"/>
        </w:trPr>
        <w:tc>
          <w:tcPr>
            <w:tcW w:w="492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iPower Inc.</w:t>
            </w:r>
          </w:p>
        </w:tc>
        <w:tc>
          <w:tcPr>
            <w:tcW w:w="8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1,085,204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(1,512,930</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171.73%</w:t>
            </w:r>
          </w:p>
        </w:tc>
      </w:tr>
      <w:tr>
        <w:trPr>
          <w:trHeight w:val="20"/>
        </w:trPr>
        <w:tc>
          <w:tcPr>
            <w:tcW w:w="4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46.97%</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38.52%</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 % of revenues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(8.95%)</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 of revenues</w:t>
            </w:r>
          </w:p>
        </w:tc>
        <w:tc>
          <w:tcPr>
            <w:tcW w:w="8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4.36%</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(7.58%)</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Revenues for the three months ended March 31, 2024 increased 15.24% to $23,308,508 as compared to $20,225,619 for the three months ended March 31, 2023. With slightly increased selling price due to inflation and sales of new products, the increased revenue mainly resulted from an increase in sales volume during the three months ended March 31, 2024 as we got more orders from Amazon as compared to the three months ended March 31, 2023. This was further enhanced by growth in the Company’s SuperSuite supply chain offerings.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Costs of goods sold for the three months ended March 31, 2024 decreased 0.59% to $12,360,170 as compared to $12,433,898 for the three months ended March 31, 2023. The decrease was primarily due to a decrease in product and freight costs. See the discussion on gross profit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$10,948,338 for the three months ended March 31, 2024 as compared to $7,791,721 for the three months ended March 31, 2023. The gross profit ratio increased to 46.97% for the three months ended March 31, 2024 from 38.52% for the three months ended March 31, 2023. The increase in the gross profit ratio was mainly driven by the slightly increased selling price and the decrease in costs of goods sold as a result of decreased freight charges during the current period. However, we cannot be assured that this trend will continue.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for the three months ended March 31, 2024 decreased 6.28% to $9,347,062 as compared to $9,602,919 for the three months ended March 31, 2023. The decrease was mainly due to the combination of a decrease in selling and fulfillment expenses of $0.5 million as a result of vendor credits of $858,456 recorded during the quarter ended March 31, 2024, which was partially offset by increased costs related to advertising, merchant fees, rental expenses and delivery fees, and an increase in general and administrative expenses of $0.3 million, which included payroll expenses, stock-based compensation expense, insurance expenses, legal and other operating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(loss) from operations was $1,601,276 for the three months ended March 31, 2024 as compared to $(1,811,198) for the three months ended March 31, 2023. The increase in income resulted from an increase in the gross profit ratio, driven by the slightly increased selling price and the decrease in costs of goods sold as a result in an overall decrease in freight charges, and a decrease in operating expenses,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expenses for the three months ended March 31, 2024 was $211,660 as compared to $312,155 for the three months ended March 31, 2023. The decrease in other expenses was mainly due to a decrease in interest, including amortization of debt discount on the revolving loan of $57,424 and other non-operating expenses of $42,566.</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iPower Inc.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income (loss) attributable to iPower Inc. for the three months ended March 31, 2024 was $1,016,082 as compared to $(1,530,534) for the three months ended March 31, 2023, representing an increase in net income of $2,546,616. The increase was primarily due to the increase in gross profit, decrease in other non-operating expenses, and a decrease in operating expenses,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attributable to iPower Inc. for the three months ended March 31, 2024 was $1,085,204 as compared to $(1,512,930) for the three months ended March 31, 2023, representing an increase of comprehensive income of $2,598,134. The increase was due to the reasons discussed above, along with an increase in other comprehensive income of $51,518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March 31, 2024 and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4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Pr>
          <w:p>
            <w:pPr>
              <w:spacing w:after="0"/>
              <w:rPr>
                <w:sz w:val="20"/>
                <w:szCs w:val="20"/>
                <w:color w:val="auto"/>
              </w:rPr>
            </w:pPr>
          </w:p>
        </w:tc>
        <w:tc>
          <w:tcPr>
            <w:tcW w:w="17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6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66,617,004</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65,502,882</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36,591,581</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39,755,919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30,025,423</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25,746,963</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32,245,171</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36,234,033</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(11.01%)</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(2,219,748)</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(10,487,070)</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(78.83%)</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(562,791)</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(610,283)</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(2,782,539)</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(11,097,353)</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(74.93%)</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(587,674)</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(2,085,126)</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(71.82%)</w:t>
            </w:r>
          </w:p>
        </w:tc>
      </w:tr>
      <w:tr>
        <w:trPr>
          <w:trHeight w:val="210"/>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(2,194,865)</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(9,012,227)</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(75.65%)</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(9,604)</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(8,878)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8.18%</w:t>
            </w:r>
          </w:p>
        </w:tc>
      </w:tr>
      <w:tr>
        <w:trPr>
          <w:trHeight w:val="209"/>
        </w:trPr>
        <w:tc>
          <w:tcPr>
            <w:tcW w:w="4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attributable to iPower Inc.</w:t>
            </w:r>
          </w:p>
        </w:tc>
        <w:tc>
          <w:tcPr>
            <w:tcW w:w="118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(2,185,261)</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(9,003,349)</w:t>
            </w:r>
          </w:p>
        </w:tc>
        <w:tc>
          <w:tcPr>
            <w:tcW w:w="32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(75.73%)</w:t>
            </w: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(91,840)</w:t>
            </w:r>
          </w:p>
        </w:tc>
        <w:tc>
          <w:tcPr>
            <w:tcW w:w="140" w:type="dxa"/>
            <w:vAlign w:val="bottom"/>
          </w:tcPr>
          <w:p>
            <w:pPr>
              <w:spacing w:after="0"/>
              <w:rPr>
                <w:sz w:val="19"/>
                <w:szCs w:val="19"/>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(46,722)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96.57%</w:t>
            </w:r>
          </w:p>
        </w:tc>
      </w:tr>
      <w:tr>
        <w:trPr>
          <w:trHeight w:val="223"/>
        </w:trPr>
        <w:tc>
          <w:tcPr>
            <w:tcW w:w="45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118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(2,277,101</w:t>
            </w:r>
          </w:p>
        </w:tc>
        <w:tc>
          <w:tcPr>
            <w:tcW w:w="340" w:type="dxa"/>
            <w:vAlign w:val="bottom"/>
            <w:tcBorders>
              <w:top w:val="single" w:sz="8" w:color="EEEEEE"/>
              <w:bottom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(9,050,071</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EEEEEE"/>
              <w:bottom w:val="single" w:sz="8" w:color="EEEEEE"/>
            </w:tcBorders>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(74.84%)</w:t>
            </w:r>
          </w:p>
        </w:tc>
      </w:tr>
      <w:tr>
        <w:trPr>
          <w:trHeight w:val="20"/>
        </w:trPr>
        <w:tc>
          <w:tcPr>
            <w:tcW w:w="4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45.07%</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39.31%</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 % of revenues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18"/>
                <w:szCs w:val="18"/>
                <w:color w:val="auto"/>
              </w:rPr>
            </w:pPr>
          </w:p>
        </w:tc>
        <w:tc>
          <w:tcPr>
            <w:tcW w:w="17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(16.01%)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loss % of revenues</w:t>
            </w:r>
          </w:p>
        </w:tc>
        <w:tc>
          <w:tcPr>
            <w:tcW w:w="1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(13.76%)</w:t>
            </w: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for the nine months ended March 31, 2024 increased 1.70% to $66,617,004 as compared to $65,502,882 for the nine months ended March 31, 2023. The slightly increased revenue mainly resulted from an increase in selling price and sales volume from growth in the Company’s SuperSuite supply chain offerings during the nine months ended March 31, 2024 as compared to the nine months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Costs of goods sold for the nine months ended March 31, 2024 decreased 7.96% to $36,591,581 as compared to $39,755,919 for the nine months ended March 31, 2023. The decrease was primarily due to a decrease in product and freight costs. See the discussion on gross profit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$30,025,423 for the nine months ended March 31, 2024 as compared to $25,746,963 for the nine months ended March 31, 2023. The gross profit ratio increased to 45.07% for the nine months ended March 31, 2024 from 39.31% for the nine months ended March 31, 2023. The increase in the gross profit ratio was mainly driven by the slightly increased selling price and the decrease in costs of goods sold as a result of decreased freight charges during the current period. However, we cannot be assured that this trend will continue.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for the nine months ended March 31, 2024 decreased 11.01% to $32,245,171 as compared to $36,234,033 for the nine months ended March 31, 2023. The decrease was mainly due to the combination of a decrease in selling and fulfillment expenses of $1.27 million, including vendor credits of $858,456 recorded during the quarter ended March 31, 2024 and decreased costs related to advertising, merchant fees, rental expenses and delivery fees, an increase in general and administrative expense of $0.3 million, and a decrease of $3.1 million of impairment loss on goodwill triggered by a decrease in the Company’s share price of its common stock and the net loss incurred during the nine months ended March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Loss from operations was $2,219,748 for the nine months ended March 31, 2024 as compared to $10,487,070 for the nine months ended March 31, 2023. The decrease in loss from operations resulted from the decrease in operating expenses and the increase in gross profit,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expenses for the nine months ended March 31, 2024 was $562,791 as compared to $610,283 for the nine months ended March 31, 2023. The slightly decreased other expenses was mainly due to a decrease in interest expenses of $208,607, which was partially offset by a decrease in other non-operating income of $167,122.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iPower Inc.</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attributable to iPower Inc. for the nine months ended March 31, 2024 was $2,185,261 as compared to $9,003,349 for the nine months ended March 31, 2023, representing a decrease of net loss of $6,818,088. The decrease was primarily due to the increase in gross profit and decrease in operating expenses, as discussed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loss attributable to iPower Inc. for the nine months ended March 31, 2024 was $2,277,101 as compared to $9,050,071 for the nine months ended March 31, 2023, representing a decrease of comprehensive loss of $6,772,970. The decrease was due to the reasons discussed above, partially offset by an increase in other comprehensive loss of $45,118 as a result of foreign currency translation adjustments resulting from the translation of RMB, the functional currency of our VIE in the PRC, to USD, the reporting currency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primarily funded our operations with cash and cash equivalents generated from operations, including delaying payments to vendors, as well as through borrowing under our credit facility from JPMorgan Chase Bank ("JPM”). We had cash and cash equivalents of $2,714,724 as of March 31, 2024, representing a $1.0 million decrease from $3,735,642 as of June 30, 2023. The cash decrease was due to an increase in net cash used in financing activities, partially offset by net cash provided by operating activities.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 and despite the current uncertainty resulting from the ongoing Ukraine-Russia and Israel-Hamas military conflicts, and any latent effects of COVID-19, we believe that our existing cash and cash equivalents and cash flows from operations will be sufficient to finance our operations during the next 12 months.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on our profit margin profile and ability to generate cash. While we have approximately $18 million in unused credit available under the revolving line with JPM, the JPM revolving loan has a maturity date of November 12, 2024.</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we are working on renewal of the revolving line with JPM. Nonetheless, given our current working capital position and available funding from our revolving credit line, which we will seek to refinance between now and the JPM maturity date, we believe we will be able to manage through the current challenges by managing payment terms with customers and vendors.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2024 and June 30, 2023, our working capital was $6.6 million and $17.9 million, respectively. The historical seasonality in our business during the year can cause cash and cash equivalents, inventory and accounts payable to fluctuate, resulting in changes in our working capital during the year.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March 31, 2024 and 2023 was $5,151,956 and $7,785,832, respectively. The decrease in cash provided by operating activities was mainly resulted from the decrease of changes in accounts receivable, inventories, prepayments and other current assets, and accounts payable, partially offset by an increase of changes in deferred tax assets/liabilities, other payables and accrued liabilities and a decrease in net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2024 and 2023, net cash used in investing activities was $0 and $144,885, respectively. The decrease in cash used in investing activities was because the Company did not purchase any additional equipment during the nine months ended March 31, 2024, whereas such equipment had been purchased in the same period during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$6,100,000 and $8,002,476, respectively, for the nine months ended March 31, 2024 and 2023. The main reason the Company experienced a decrease in net cash used in financing activities was primarily due to a combination of increase in proceeds from loans and our payment of $11.1 million for: (1) $3.8 million to pay off the notes payable to White Cherry; and (2) $7.3 million to pay down the outstanding balance of the asset-based revolving loan facility with JPM.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unaudited condensed consolidated financial statements, we believe that the following accounting policies are critical to the process of making significant judgments and estimates in the preparation of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auto"/>
        </w:rPr>
        <w:t>Revenue reco</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nition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fulfillment, general and administrative expenses. The Company regularly reviews inventory and considers forecasts of future demand, market conditions and product obsolescence.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regarding the acquisition.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shall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for the period ended June 30, 2022. Due to the decrease in the Company’s share price subsequent to the filing of the June 30, 2022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quarter ended September 30, 2022. The Company also considered the Market Capital Method, which is an alternative market approach, suggested the Company’s goodwill is partially impaired.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period ended March 31, 2024, the Company performed a qualitative goodwill impairment analysis following the steps laid out in ASC 350-20-35-3C and noted no goodwill impairment. As of March 31, 2024 and June 30, 2023, the goodwill balance amounted to $3,034,110 and $3,034,110,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March 31, 2024 include a covenant not to compete, supplier relationship and software recognized as part of the acquisition of Anivia. Intangible assets are recorded at the estimated fair value of these items at the date of acquisition, February 15, 2022. Intangible assets are amortized on a straight-line basis over their estimated useful life as followings: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Borders>
              <w:bottom w:val="single" w:sz="8" w:color="EEEEEE"/>
            </w:tcBorders>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10"/>
        </w:trPr>
        <w:tc>
          <w:tcPr>
            <w:tcW w:w="7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33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7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33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March 31, 2024 and 2023, there were no indicators of impairment.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 As of March 31, 2024, the Company expected that the deferred tax assets are fully realizable so did not record any valuation allowance.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its inception on April 11, 2018, and has subsequently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as set forth under Note 2 to the unaudited condensed consolidated financial statements under “Recently issued accounting pronouncements,” the Company does not believe other recently issued but not yet effective accounting standards, if currently adopted, would have a material effect on the consolidated financial position, statements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31, 2024,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lack effective communication and reconciliation procedures in our controlled subsidiaries, and (ii)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controls over financial reporting that occurred during the quarter ended March 31, 2024 that have materially affected, or are reasonably likely to materially affect, our internal controls over financial reporting.</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UHY LLP, our independent registered public accounting firm, is not required to and has not provided an assessment concerning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Note 19 to our financial statements above, on April 3, 2024, the Company and the underwriter of our initial public offering, D.A. Davidson &amp; Co (“D.A. Davidson”), entered into a settlement agreement and mutual release (the “Settlement Agreement”) with Boustead Securities, LLC (“BSL”) and its current and former employees, officers, directors, partners, agents and affiliates, pursuant to which all parties agreed to release all claims in exchange for the Company’s payment of $1.3 million (the “Settlement Amount”) to BSL. The Settlement Agreement was entered into for purposes of settling in full the FINRA Arbitration (FINRA Case No. 22-01133) which had been brought by BSL against the Company and D.A. Davidson after the Company opted not to complete its initial public offering with BSL but instead engaged and completed its initial public offering with D.A. Davidson. In entering into the Settlement Agreement, the Company is required to pay the Settlement Amount in four equal installments of $325,000 on each of April 3, 2024, May 3, 2024, June 3, 2024 and July 3, 2024, with the April and May payments having been completed on or about April 3 and May 3, 2024. Within five days of its receipt of the final payment, or by July 8, 2024, BSL will be obligated to dismiss the FINRA Arbitration against the Company, with prejudice, after which time the Company will be required to dismiss, with prejudice, all counterclaims brought by the Company against BSL.</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than the above settlement, we are not presently a party to any pending or other threatened legal proceedings or claims against us that we believe will have a material adverse effect on our business, financial condition, or operating results. Nonetheless, we may from time to time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the Nasdaq Stock Market, it could result in our common stock being delisted, which could adversely affect the market price and liquidity of our securities and could have other adverse effects.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24, 2023, we received a letter from the Nasdaq Listing Qualifications Staff of The Nasdaq Stock Market LLC (“Nasdaq”) stating that for the 30 consecutive business day period between July 13, 2023 to August 23, 2023 the Company’s common stock had failed to maintain a minimum closing bid price of $1.00 per share, as required for continued listing on The Nasdaq Capital Market pursuant to Nasdaq Listing Rule 5550(a)(2) (the “Minimum Bid Price Requirement”). Pursuant to Nasdaq Listing Rule 5810(c)(3)(A), the Company has an initial period of 180 calendar days, or until February 20, 2024 (the “Initial Compliance Period”), to regain compliance with the Minimum Bid Price Requirement. Since the Company had not achieved compliance during the Initial Compliance Period, the Company submitted a plan of compliance (the “Plan of Compliance”) to Nasdaq seeking an additional 180-day extension (the “Additional Grace Period”) to regain compliance with the Minimum Bid Price Requirement. The Plan of Compliance sets forth the steps the Company will take to regain compliance with the Minimum Bid Price Requirement within the Additional Grace Period, including effectuating a reverse split of our common stock, if deemed necessary.</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February 21, 2024, the Company received formal approval from Nasdaq granting us an additional 180 days, or until August 19, 2024 (the “Compliance Date”), to regain compliance with the Minimum Bid Price Requirement.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at any time before the Compliance Date the closing bid price for the Company’s common stock is at least $1.00 for a minimum of 10 consecutive business days, Nasdaq’s Staff will provide the Company written confirmation that it has regained compliance with the Minimum Bid Price Requirement. If the Company does not regain compliance with the Minimum Bid Price Requirement by the Compliance Date, the Staff will provide written notification to the Company that its common stock will be subject to delisting. At that time, the Company may appeal the Staff’s delisting determination to a Nasdaq Hearings Panel. There can be no assurance that the Company will regain compliance or otherwise maintain compliance with any of the other listing requirements. Nonetheless, the Company intends to monitor the closing bid price of its common stock and will, if necessary, consider available options to regain compliance with the Minimum Bid Price Requirement prior to the Compliance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12529"/>
        </w:rPr>
        <w:t>quarter ended</w:t>
      </w:r>
      <w:r>
        <w:rPr>
          <w:rFonts w:ascii="Times New Roman" w:cs="Times New Roman" w:eastAsia="Times New Roman" w:hAnsi="Times New Roman"/>
          <w:sz w:val="18"/>
          <w:szCs w:val="18"/>
          <w:color w:val="auto"/>
        </w:rPr>
        <w:t xml:space="preserve"> March 31, 2024,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360" w:type="dxa"/>
            <w:vAlign w:val="bottom"/>
          </w:tcPr>
          <w:p>
            <w:pPr>
              <w:spacing w:after="0"/>
              <w:rPr>
                <w:sz w:val="17"/>
                <w:szCs w:val="17"/>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0"/>
        </w:trPr>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120" w:type="dxa"/>
            <w:vAlign w:val="bottom"/>
            <w:tcBorders>
              <w:top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auto"/>
              </w:rPr>
              <w:t>the Registration Statement on Form S-1 filed May 5, 2021).</w:t>
            </w:r>
          </w:p>
        </w:tc>
        <w:tc>
          <w:tcPr>
            <w:tcW w:w="4880" w:type="dxa"/>
            <w:vAlign w:val="bottom"/>
            <w:gridSpan w:val="3"/>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tcPr>
          <w:p>
            <w:pPr>
              <w:spacing w:after="0"/>
              <w:rPr>
                <w:sz w:val="16"/>
                <w:szCs w:val="16"/>
                <w:color w:val="auto"/>
              </w:rPr>
            </w:pPr>
          </w:p>
        </w:tc>
        <w:tc>
          <w:tcPr>
            <w:tcW w:w="10000" w:type="dxa"/>
            <w:vAlign w:val="bottom"/>
            <w:gridSpan w:val="7"/>
          </w:tcPr>
          <w:p>
            <w:pPr>
              <w:ind w:left="20"/>
              <w:spacing w:after="0" w:line="194"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 xml:space="preserve">Second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2 the Registration</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20" w:type="dxa"/>
            <w:vAlign w:val="bottom"/>
            <w:tcBorders>
              <w:top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auto"/>
              </w:rPr>
              <w:t>Statement on Form S-1 filed April 27, 2021).</w:t>
            </w:r>
          </w:p>
        </w:tc>
        <w:tc>
          <w:tcPr>
            <w:tcW w:w="5980" w:type="dxa"/>
            <w:vAlign w:val="bottom"/>
            <w:gridSpan w:val="4"/>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16"/>
                <w:szCs w:val="16"/>
                <w:color w:val="auto"/>
              </w:rPr>
            </w:pPr>
          </w:p>
        </w:tc>
        <w:tc>
          <w:tcPr>
            <w:tcW w:w="10000" w:type="dxa"/>
            <w:vAlign w:val="bottom"/>
            <w:gridSpan w:val="7"/>
          </w:tcPr>
          <w:p>
            <w:pPr>
              <w:ind w:left="20"/>
              <w:spacing w:after="0" w:line="194"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 xml:space="preserve">Form of Pledge Agreement between iPower Inc., Chenlong Tan and Allan Huang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to Exhibit 10.1 to the Current</w:t>
            </w:r>
          </w:p>
        </w:tc>
      </w:tr>
      <w:tr>
        <w:trPr>
          <w:trHeight w:val="218"/>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60" w:type="dxa"/>
            <w:vAlign w:val="bottom"/>
            <w:tcBorders>
              <w:top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auto"/>
              </w:rPr>
              <w:t>Report on Form 8-K filed April 9, 2024).</w:t>
            </w:r>
          </w:p>
        </w:tc>
        <w:tc>
          <w:tcPr>
            <w:tcW w:w="4140" w:type="dxa"/>
            <w:vAlign w:val="bottom"/>
            <w:gridSpan w:val="2"/>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16"/>
                <w:szCs w:val="16"/>
                <w:color w:val="auto"/>
              </w:rPr>
            </w:pPr>
          </w:p>
        </w:tc>
        <w:tc>
          <w:tcPr>
            <w:tcW w:w="10000" w:type="dxa"/>
            <w:vAlign w:val="bottom"/>
            <w:gridSpan w:val="7"/>
          </w:tcPr>
          <w:p>
            <w:pPr>
              <w:ind w:left="20"/>
              <w:spacing w:after="0" w:line="194" w:lineRule="exact"/>
              <w:rPr>
                <w:sz w:val="20"/>
                <w:szCs w:val="20"/>
                <w:color w:val="auto"/>
              </w:rPr>
            </w:pPr>
            <w:r>
              <w:rPr>
                <w:rFonts w:ascii="Times New Roman" w:cs="Times New Roman" w:eastAsia="Times New Roman" w:hAnsi="Times New Roman"/>
                <w:sz w:val="18"/>
                <w:szCs w:val="18"/>
                <w:color w:val="0000EE"/>
              </w:rPr>
              <w:t xml:space="preserve">Certification of Chief Executive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2860" w:type="dxa"/>
            <w:vAlign w:val="bottom"/>
            <w:tcBorders>
              <w:left w:val="single" w:sz="8" w:color="0000EE"/>
            </w:tcBorders>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Certification of Chief Financial Officer pursuant to Section 302 of the Sarbanes-Oxley 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280" w:type="dxa"/>
            <w:vAlign w:val="bottom"/>
            <w:gridSpan w:val="5"/>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17"/>
                <w:szCs w:val="17"/>
                <w:color w:val="auto"/>
              </w:rPr>
            </w:pPr>
          </w:p>
        </w:tc>
        <w:tc>
          <w:tcPr>
            <w:tcW w:w="1000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6"/>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17"/>
                <w:szCs w:val="17"/>
                <w:color w:val="auto"/>
              </w:rPr>
            </w:pPr>
          </w:p>
        </w:tc>
        <w:tc>
          <w:tcPr>
            <w:tcW w:w="1000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 xml:space="preserve">Act of 2002 </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140" w:type="dxa"/>
            <w:vAlign w:val="bottom"/>
            <w:gridSpan w:val="6"/>
          </w:tcPr>
          <w:p>
            <w:pPr>
              <w:spacing w:after="0" w:line="20" w:lineRule="exact"/>
              <w:rPr>
                <w:sz w:val="1"/>
                <w:szCs w:val="1"/>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Definition Linkbase Data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spacing w:after="0"/>
              <w:rPr>
                <w:sz w:val="18"/>
                <w:szCs w:val="18"/>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0"/>
                <w:szCs w:val="20"/>
                <w:color w:val="auto"/>
              </w:rPr>
            </w:pPr>
          </w:p>
        </w:tc>
        <w:tc>
          <w:tcPr>
            <w:tcW w:w="100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380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iPower Inc.</w:t>
            </w:r>
          </w:p>
        </w:tc>
        <w:tc>
          <w:tcPr>
            <w:tcW w:w="4120" w:type="dxa"/>
            <w:vAlign w:val="bottom"/>
          </w:tcPr>
          <w:p>
            <w:pPr>
              <w:spacing w:after="0"/>
              <w:rPr>
                <w:sz w:val="20"/>
                <w:szCs w:val="20"/>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14, 2024</w:t>
            </w:r>
          </w:p>
        </w:tc>
        <w:tc>
          <w:tcPr>
            <w:tcW w:w="38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/s/ Chenlong Tan</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tcPr>
          <w:p>
            <w:pPr>
              <w:jc w:val="center"/>
              <w:ind w:right="1070"/>
              <w:spacing w:after="0" w:line="191" w:lineRule="exact"/>
              <w:rPr>
                <w:sz w:val="20"/>
                <w:szCs w:val="20"/>
                <w:color w:val="auto"/>
              </w:rPr>
            </w:pPr>
            <w:r>
              <w:rPr>
                <w:rFonts w:ascii="Times New Roman" w:cs="Times New Roman" w:eastAsia="Times New Roman" w:hAnsi="Times New Roman"/>
                <w:sz w:val="18"/>
                <w:szCs w:val="18"/>
                <w:color w:val="auto"/>
                <w:w w:val="97"/>
              </w:rPr>
              <w:t>Chenlong Tan</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May 14, 2024</w:t>
            </w:r>
          </w:p>
        </w:tc>
        <w:tc>
          <w:tcPr>
            <w:tcW w:w="38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By:</w:t>
            </w:r>
          </w:p>
        </w:tc>
        <w:tc>
          <w:tcPr>
            <w:tcW w:w="41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8"/>
              </w:rPr>
              <w:t>/s/ Kevin Vassily</w:t>
            </w:r>
          </w:p>
        </w:tc>
      </w:tr>
      <w:tr>
        <w:trPr>
          <w:trHeight w:val="191"/>
        </w:trPr>
        <w:tc>
          <w:tcPr>
            <w:tcW w:w="33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120" w:type="dxa"/>
            <w:vAlign w:val="bottom"/>
            <w:tcBorders>
              <w:top w:val="single" w:sz="8" w:color="auto"/>
            </w:tcBorders>
          </w:tcPr>
          <w:p>
            <w:pPr>
              <w:jc w:val="center"/>
              <w:ind w:right="1070"/>
              <w:spacing w:after="0" w:line="191" w:lineRule="exact"/>
              <w:rPr>
                <w:sz w:val="20"/>
                <w:szCs w:val="20"/>
                <w:color w:val="auto"/>
              </w:rPr>
            </w:pPr>
            <w:r>
              <w:rPr>
                <w:rFonts w:ascii="Times New Roman" w:cs="Times New Roman" w:eastAsia="Times New Roman" w:hAnsi="Times New Roman"/>
                <w:sz w:val="18"/>
                <w:szCs w:val="18"/>
                <w:color w:val="auto"/>
                <w:w w:val="97"/>
              </w:rPr>
              <w:t>Kevin Vassily</w:t>
            </w:r>
          </w:p>
        </w:tc>
      </w:tr>
      <w:tr>
        <w:trPr>
          <w:trHeight w:val="234"/>
        </w:trPr>
        <w:tc>
          <w:tcPr>
            <w:tcW w:w="33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1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firstLine="526"/>
        <w:spacing w:after="0" w:line="282" w:lineRule="auto"/>
        <w:tabs>
          <w:tab w:leader="none" w:pos="7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March 31, 2024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Chenlong Tan</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Kevin Vassily, certify that:</w:t>
      </w:r>
    </w:p>
    <w:p>
      <w:pPr>
        <w:spacing w:after="0" w:line="225" w:lineRule="exact"/>
        <w:rPr>
          <w:sz w:val="20"/>
          <w:szCs w:val="20"/>
          <w:color w:val="auto"/>
        </w:rPr>
      </w:pPr>
    </w:p>
    <w:p>
      <w:pPr>
        <w:ind w:firstLine="526"/>
        <w:spacing w:after="0" w:line="282" w:lineRule="auto"/>
        <w:tabs>
          <w:tab w:leader="none" w:pos="7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March 31, 2024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2024</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Vassily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iPower Inc. (the “Company”) on Form 10-Q pursuant to Rule 15d-2 Under the Securities Exchange Act of 1934 for the period ended March 31, 2024,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58" w:lineRule="exact"/>
        <w:rPr>
          <w:sz w:val="20"/>
          <w:szCs w:val="20"/>
          <w:color w:val="auto"/>
        </w:rPr>
      </w:pPr>
    </w:p>
    <w:p>
      <w:pPr>
        <w:ind w:left="740" w:hanging="246"/>
        <w:spacing w:after="0"/>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14, 2024</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pursuant to Rule 15d-2 Under the Securities Exchange Act of 1934 for the period ended March 31, 2024,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500" w:lineRule="auto"/>
        <w:tabs>
          <w:tab w:leader="none" w:pos="7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14, 2024</w:t>
      </w:r>
    </w:p>
    <w:p>
      <w:pPr>
        <w:spacing w:after="0" w:line="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0" Type="http://schemas.openxmlformats.org/officeDocument/2006/relationships/hyperlink" Target="https://www.sec.gov/Archives/edgar/data/1830072/000168316821001774/ipower_ex0303.htm" TargetMode="External"/><Relationship Id="rId71" Type="http://schemas.openxmlformats.org/officeDocument/2006/relationships/hyperlink" Target="https://www.sec.gov/Archives/edgar/data/1830072/000168316821001556/ipower_ex0303.htm" TargetMode="External"/><Relationship Id="rId72" Type="http://schemas.openxmlformats.org/officeDocument/2006/relationships/hyperlink" Target="https://www.sec.gov/Archives/edgar/data/1830072/000168316823008598/ipower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2024-05-14T16:04:13Z</dcterms:created>
  <dcterms:modified xsi:type="dcterms:W3CDTF">2024-05-14T16:04:13Z</dcterms:modified>
</cp:coreProperties>
</file>