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120" w:right="2520" w:hanging="3788"/>
        <w:spacing w:after="0" w:line="500" w:lineRule="auto"/>
        <w:tabs>
          <w:tab w:leader="none" w:pos="65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 ended December 31, 2021</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2500" w:hanging="2828"/>
        <w:spacing w:after="0" w:line="530" w:lineRule="auto"/>
        <w:tabs>
          <w:tab w:leader="none" w:pos="6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UNDER SECTION 13 OR 15(d) OF THE SECURITIES EXCHANGE ACT OF 1934 For the transition period from ______________ to ______________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iPower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5200</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82-5144171</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2399 Bateman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Duarte, CA 91010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IPW</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February 14, 2022 was 26,488,682.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0" w:type="dxa"/>
            <w:vAlign w:val="bottom"/>
            <w:gridSpan w:val="11"/>
          </w:tcPr>
          <w:p>
            <w:pPr>
              <w:jc w:val="center"/>
              <w:ind w:right="4280"/>
              <w:spacing w:after="0"/>
              <w:rPr>
                <w:sz w:val="20"/>
                <w:szCs w:val="20"/>
                <w:color w:val="auto"/>
              </w:rPr>
            </w:pPr>
            <w:r>
              <w:rPr>
                <w:rFonts w:ascii="Arial" w:cs="Arial" w:eastAsia="Arial" w:hAnsi="Arial"/>
                <w:sz w:val="18"/>
                <w:szCs w:val="18"/>
                <w:b w:val="1"/>
                <w:bCs w:val="1"/>
                <w:color w:val="auto"/>
                <w:w w:val="92"/>
              </w:rPr>
              <w:t>iPower Inc.</w:t>
            </w:r>
          </w:p>
        </w:tc>
        <w:tc>
          <w:tcPr>
            <w:tcW w:w="7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12"/>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Page No.</w:t>
            </w:r>
          </w:p>
        </w:tc>
      </w:tr>
      <w:tr>
        <w:trPr>
          <w:trHeight w:val="391"/>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358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1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Financial Statements</w:t>
              </w:r>
            </w:hyperlink>
          </w:p>
        </w:tc>
        <w:tc>
          <w:tcPr>
            <w:tcW w:w="54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December 31, 2021 and June 30, 2021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three and six months ended December 31,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Changes in Stockholders’ Equity for the three and six months ended December</w:t>
              </w:r>
            </w:hyperlink>
          </w:p>
        </w:tc>
        <w:tc>
          <w:tcPr>
            <w:tcW w:w="78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31, 2021 and 2020</w:t>
              </w:r>
            </w:hyperlink>
          </w:p>
        </w:tc>
        <w:tc>
          <w:tcPr>
            <w:tcW w:w="8000" w:type="dxa"/>
            <w:vAlign w:val="bottom"/>
            <w:tcBorders>
              <w:top w:val="single" w:sz="8" w:color="0000EE"/>
            </w:tcBorders>
            <w:gridSpan w:val="16"/>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920" w:type="dxa"/>
            <w:vAlign w:val="bottom"/>
          </w:tcPr>
          <w:p>
            <w:pPr>
              <w:spacing w:after="0"/>
              <w:rPr>
                <w:sz w:val="24"/>
                <w:szCs w:val="24"/>
                <w:color w:val="auto"/>
              </w:rPr>
            </w:pPr>
          </w:p>
        </w:tc>
        <w:tc>
          <w:tcPr>
            <w:tcW w:w="85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six months ended December 31, 2021 and 2020</w:t>
              </w:r>
            </w:hyperlink>
          </w:p>
        </w:tc>
        <w:tc>
          <w:tcPr>
            <w:tcW w:w="104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920" w:type="dxa"/>
            <w:vAlign w:val="bottom"/>
          </w:tcPr>
          <w:p>
            <w:pPr>
              <w:spacing w:after="0"/>
              <w:rPr>
                <w:sz w:val="24"/>
                <w:szCs w:val="24"/>
                <w:color w:val="auto"/>
              </w:rPr>
            </w:pPr>
          </w:p>
        </w:tc>
        <w:tc>
          <w:tcPr>
            <w:tcW w:w="47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7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440" w:type="dxa"/>
            <w:vAlign w:val="bottom"/>
            <w:tcBorders>
              <w:top w:val="single" w:sz="8" w:color="0000EE"/>
            </w:tcBorders>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10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&amp; Procedures</w:t>
              </w:r>
            </w:hyperlink>
          </w:p>
        </w:tc>
        <w:tc>
          <w:tcPr>
            <w:tcW w:w="520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PART II. Other Information</w:t>
              </w:r>
            </w:hyperlink>
          </w:p>
        </w:tc>
        <w:tc>
          <w:tcPr>
            <w:tcW w:w="368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4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22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1940" w:type="dxa"/>
            <w:vAlign w:val="bottom"/>
            <w:tcBorders>
              <w:top w:val="single" w:sz="8" w:color="0000EE"/>
            </w:tcBorders>
            <w:gridSpan w:val="4"/>
          </w:tcPr>
          <w:p>
            <w:pPr>
              <w:spacing w:after="0"/>
              <w:rPr>
                <w:sz w:val="24"/>
                <w:szCs w:val="24"/>
                <w:color w:val="auto"/>
              </w:rPr>
            </w:pPr>
          </w:p>
        </w:tc>
        <w:tc>
          <w:tcPr>
            <w:tcW w:w="528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4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78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24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8780" w:type="dxa"/>
            <w:vAlign w:val="bottom"/>
            <w:gridSpan w:val="2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777"/>
        </w:trPr>
        <w:tc>
          <w:tcPr>
            <w:tcW w:w="9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5"/>
          </w:tcPr>
          <w:p>
            <w:pPr>
              <w:jc w:val="center"/>
              <w:ind w:left="4550"/>
              <w:spacing w:after="0"/>
              <w:rPr>
                <w:sz w:val="20"/>
                <w:szCs w:val="20"/>
                <w:color w:val="auto"/>
              </w:rPr>
            </w:pPr>
            <w:r>
              <w:rPr>
                <w:rFonts w:ascii="Arial" w:cs="Arial" w:eastAsia="Arial" w:hAnsi="Arial"/>
                <w:sz w:val="18"/>
                <w:szCs w:val="18"/>
                <w:color w:val="auto"/>
                <w:w w:val="99"/>
              </w:rPr>
              <w:t>2</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2021 and June 30, 2021</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90"/>
              </w:rPr>
              <w:t>ASSETS</w:t>
            </w:r>
          </w:p>
        </w:tc>
        <w:tc>
          <w:tcPr>
            <w:tcW w:w="6880" w:type="dxa"/>
            <w:vAlign w:val="bottom"/>
            <w:tcBorders>
              <w:bottom w:val="single" w:sz="8" w:color="EEEEEE"/>
            </w:tcBorders>
            <w:gridSpan w:val="2"/>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38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Cash and cash equivalent</w:t>
            </w:r>
          </w:p>
        </w:tc>
        <w:tc>
          <w:tcPr>
            <w:tcW w:w="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1,091,758</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6,651,705</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15,553,516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7,896,347</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19,908,500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13,065,741</w:t>
            </w:r>
          </w:p>
        </w:tc>
      </w:tr>
      <w:tr>
        <w:trPr>
          <w:trHeight w:val="230"/>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Prepayments and other 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6,804,371</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4,693,000</w:t>
            </w: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43,358,145</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32,306,793</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Right of use assets – non-current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1,473,397</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1,819,421</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103,189</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55,659</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Non-current prepayments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1,141,458</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1,357,292</w:t>
            </w:r>
          </w:p>
        </w:tc>
      </w:tr>
      <w:tr>
        <w:trPr>
          <w:trHeight w:val="229"/>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329,244</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99,645</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3,047,288</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3,332,017</w:t>
            </w:r>
          </w:p>
        </w:tc>
        <w:tc>
          <w:tcPr>
            <w:tcW w:w="10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46,405,433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35,638,810</w:t>
            </w:r>
          </w:p>
        </w:tc>
      </w:tr>
      <w:tr>
        <w:trPr>
          <w:trHeight w:val="196"/>
        </w:trPr>
        <w:tc>
          <w:tcPr>
            <w:tcW w:w="660" w:type="dxa"/>
            <w:vAlign w:val="bottom"/>
            <w:tcBorders>
              <w:top w:val="single" w:sz="8" w:color="EEEEEE"/>
            </w:tcBorders>
            <w:shd w:val="clear" w:color="auto" w:fill="EEEEEE"/>
          </w:tcPr>
          <w:p>
            <w:pPr>
              <w:spacing w:after="0"/>
              <w:rPr>
                <w:sz w:val="17"/>
                <w:szCs w:val="17"/>
                <w:color w:val="auto"/>
              </w:rPr>
            </w:pPr>
          </w:p>
        </w:tc>
        <w:tc>
          <w:tcPr>
            <w:tcW w:w="1520" w:type="dxa"/>
            <w:vAlign w:val="bottom"/>
            <w:tcBorders>
              <w:top w:val="single" w:sz="8" w:color="EEEEEE"/>
            </w:tcBorders>
            <w:shd w:val="clear" w:color="auto" w:fill="EEEEEE"/>
          </w:tcPr>
          <w:p>
            <w:pPr>
              <w:spacing w:after="0"/>
              <w:rPr>
                <w:sz w:val="17"/>
                <w:szCs w:val="17"/>
                <w:color w:val="auto"/>
              </w:rPr>
            </w:pPr>
          </w:p>
        </w:tc>
        <w:tc>
          <w:tcPr>
            <w:tcW w:w="53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3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175"/>
        </w:trPr>
        <w:tc>
          <w:tcPr>
            <w:tcW w:w="754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EQUITY</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4,545,928</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3,940,963</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Credit cards payable</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550,310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584,311</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Customer deposit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228,161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297,407</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4,899,502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2,487,441</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Short-term loans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162,769</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Lease liability - current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766,759</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731,944</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Long-term loan payable - 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29,244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29,244</w:t>
            </w:r>
          </w:p>
        </w:tc>
      </w:tr>
      <w:tr>
        <w:trPr>
          <w:trHeight w:val="230"/>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374,513</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790,823</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11,394,417</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9,024,902</w:t>
            </w:r>
          </w:p>
        </w:tc>
        <w:tc>
          <w:tcPr>
            <w:tcW w:w="10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Long-term loan payable</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441,512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458,571</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Long-term revolving loan payable,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6,963,551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Lease liability – non-current</w:t>
            </w: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777,290</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1,169,552</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8,182,353</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1,628,123</w:t>
            </w:r>
          </w:p>
        </w:tc>
        <w:tc>
          <w:tcPr>
            <w:tcW w:w="10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19,576,770</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10,653,025</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Commitments and contingency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gridSpan w:val="3"/>
            <w:shd w:val="clear" w:color="auto" w:fill="EEEEEE"/>
          </w:tcPr>
          <w:p>
            <w:pPr>
              <w:ind w:left="180"/>
              <w:spacing w:after="0" w:line="201" w:lineRule="exact"/>
              <w:rPr>
                <w:sz w:val="20"/>
                <w:szCs w:val="20"/>
                <w:color w:val="auto"/>
              </w:rPr>
            </w:pPr>
            <w:r>
              <w:rPr>
                <w:rFonts w:ascii="Arial" w:cs="Arial" w:eastAsia="Arial" w:hAnsi="Arial"/>
                <w:sz w:val="18"/>
                <w:szCs w:val="18"/>
                <w:color w:val="auto"/>
                <w:w w:val="91"/>
              </w:rPr>
              <w:t>Preferred stock, $0.001 par value; 20,000,000 shares authorized; 0 shares issued and outstanding at</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December 31, and June 30, 2021</w:t>
            </w: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4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0"/>
              </w:rPr>
              <w:t>Common stock, $0.001 par value; 180,000,000 shares authorized; 26,488,682 and 26,448,663 shares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issued and outstanding at December 31, and June 30, 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26,489</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26,449</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23,371,712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23,214,263</w:t>
            </w:r>
          </w:p>
        </w:tc>
      </w:tr>
      <w:tr>
        <w:trPr>
          <w:trHeight w:val="229"/>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3,430,462</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1,745,073</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26,828,663</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24,985,785</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43"/>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Total liabilities and equity</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46,405,433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35,638,810</w:t>
            </w:r>
          </w:p>
        </w:tc>
      </w:tr>
      <w:tr>
        <w:trPr>
          <w:trHeight w:val="20"/>
        </w:trPr>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8900" w:type="dxa"/>
            <w:vAlign w:val="bottom"/>
            <w:gridSpan w:val="6"/>
          </w:tcPr>
          <w:p>
            <w:pPr>
              <w:jc w:val="right"/>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7540" w:type="dxa"/>
            <w:vAlign w:val="bottom"/>
            <w:tcBorders>
              <w:bottom w:val="single" w:sz="8" w:color="auto"/>
            </w:tcBorders>
            <w:gridSpan w:val="3"/>
          </w:tcPr>
          <w:p>
            <w:pPr>
              <w:ind w:left="55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622"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Six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5"/>
          </w:tcPr>
          <w:p>
            <w:pPr>
              <w:jc w:val="right"/>
              <w:ind w:right="441"/>
              <w:spacing w:after="0"/>
              <w:rPr>
                <w:sz w:val="20"/>
                <w:szCs w:val="20"/>
                <w:color w:val="auto"/>
              </w:rPr>
            </w:pPr>
            <w:r>
              <w:rPr>
                <w:rFonts w:ascii="Arial" w:cs="Arial" w:eastAsia="Arial" w:hAnsi="Arial"/>
                <w:sz w:val="18"/>
                <w:szCs w:val="18"/>
                <w:color w:val="auto"/>
                <w:w w:val="90"/>
              </w:rPr>
              <w:t>For the Three Months Ended December 31,</w:t>
            </w:r>
          </w:p>
        </w:tc>
        <w:tc>
          <w:tcPr>
            <w:tcW w:w="160" w:type="dxa"/>
            <w:vAlign w:val="bottom"/>
          </w:tcPr>
          <w:p>
            <w:pPr>
              <w:spacing w:after="0"/>
              <w:rPr>
                <w:sz w:val="20"/>
                <w:szCs w:val="20"/>
                <w:color w:val="auto"/>
              </w:rPr>
            </w:pPr>
          </w:p>
        </w:tc>
        <w:tc>
          <w:tcPr>
            <w:tcW w:w="3400" w:type="dxa"/>
            <w:vAlign w:val="bottom"/>
            <w:gridSpan w:val="5"/>
          </w:tcPr>
          <w:p>
            <w:pPr>
              <w:jc w:val="right"/>
              <w:ind w:right="281"/>
              <w:spacing w:after="0"/>
              <w:rPr>
                <w:sz w:val="20"/>
                <w:szCs w:val="20"/>
                <w:color w:val="auto"/>
              </w:rPr>
            </w:pPr>
            <w:r>
              <w:rPr>
                <w:rFonts w:ascii="Arial" w:cs="Arial" w:eastAsia="Arial" w:hAnsi="Arial"/>
                <w:sz w:val="18"/>
                <w:szCs w:val="18"/>
                <w:color w:val="auto"/>
                <w:w w:val="92"/>
              </w:rPr>
              <w:t>For the Six Months Ended December 31,</w:t>
            </w:r>
          </w:p>
        </w:tc>
      </w:tr>
      <w:tr>
        <w:trPr>
          <w:trHeight w:val="223"/>
        </w:trPr>
        <w:tc>
          <w:tcPr>
            <w:tcW w:w="3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24"/>
        </w:trPr>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r>
      <w:tr>
        <w:trPr>
          <w:trHeight w:val="202"/>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17,125,663</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11,254,317</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34,492,428</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26,214,252</w:t>
            </w:r>
          </w:p>
        </w:tc>
      </w:tr>
      <w:tr>
        <w:trPr>
          <w:trHeight w:val="230"/>
        </w:trPr>
        <w:tc>
          <w:tcPr>
            <w:tcW w:w="384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09"/>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17,125,663</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11,254,317</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34,492,428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26,214,252</w:t>
            </w:r>
          </w:p>
        </w:tc>
        <w:tc>
          <w:tcPr>
            <w:tcW w:w="10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9,568,051</w:t>
            </w: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6,306,726</w:t>
            </w:r>
          </w:p>
        </w:tc>
        <w:tc>
          <w:tcPr>
            <w:tcW w:w="16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19,621,114</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15,703,873</w:t>
            </w:r>
          </w:p>
        </w:tc>
      </w:tr>
      <w:tr>
        <w:trPr>
          <w:trHeight w:val="209"/>
        </w:trPr>
        <w:tc>
          <w:tcPr>
            <w:tcW w:w="3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7,557,612</w:t>
            </w: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4,947,591</w:t>
            </w:r>
          </w:p>
        </w:tc>
        <w:tc>
          <w:tcPr>
            <w:tcW w:w="16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14,871,314</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10,510,379</w:t>
            </w:r>
          </w:p>
        </w:tc>
      </w:tr>
      <w:tr>
        <w:trPr>
          <w:trHeight w:val="209"/>
        </w:trPr>
        <w:tc>
          <w:tcPr>
            <w:tcW w:w="3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Selling and fulfillment</w:t>
            </w:r>
          </w:p>
        </w:tc>
        <w:tc>
          <w:tcPr>
            <w:tcW w:w="140" w:type="dxa"/>
            <w:vAlign w:val="bottom"/>
          </w:tcPr>
          <w:p>
            <w:pPr>
              <w:spacing w:after="0"/>
              <w:rPr>
                <w:sz w:val="18"/>
                <w:szCs w:val="18"/>
                <w:color w:val="auto"/>
              </w:rPr>
            </w:pPr>
          </w:p>
        </w:tc>
        <w:tc>
          <w:tcPr>
            <w:tcW w:w="1800" w:type="dxa"/>
            <w:vAlign w:val="bottom"/>
            <w:gridSpan w:val="2"/>
          </w:tcPr>
          <w:p>
            <w:pPr>
              <w:jc w:val="right"/>
              <w:ind w:right="261"/>
              <w:spacing w:after="0"/>
              <w:rPr>
                <w:sz w:val="20"/>
                <w:szCs w:val="20"/>
                <w:color w:val="auto"/>
              </w:rPr>
            </w:pPr>
            <w:r>
              <w:rPr>
                <w:rFonts w:ascii="Arial" w:cs="Arial" w:eastAsia="Arial" w:hAnsi="Arial"/>
                <w:sz w:val="18"/>
                <w:szCs w:val="18"/>
                <w:color w:val="auto"/>
              </w:rPr>
              <w:t>3,641,839</w:t>
            </w:r>
          </w:p>
        </w:tc>
        <w:tc>
          <w:tcPr>
            <w:tcW w:w="220" w:type="dxa"/>
            <w:vAlign w:val="bottom"/>
          </w:tcPr>
          <w:p>
            <w:pPr>
              <w:spacing w:after="0"/>
              <w:rPr>
                <w:sz w:val="18"/>
                <w:szCs w:val="18"/>
                <w:color w:val="auto"/>
              </w:rPr>
            </w:pPr>
          </w:p>
        </w:tc>
        <w:tc>
          <w:tcPr>
            <w:tcW w:w="1680" w:type="dxa"/>
            <w:vAlign w:val="bottom"/>
            <w:gridSpan w:val="2"/>
          </w:tcPr>
          <w:p>
            <w:pPr>
              <w:jc w:val="right"/>
              <w:ind w:right="241"/>
              <w:spacing w:after="0"/>
              <w:rPr>
                <w:sz w:val="20"/>
                <w:szCs w:val="20"/>
                <w:color w:val="auto"/>
              </w:rPr>
            </w:pPr>
            <w:r>
              <w:rPr>
                <w:rFonts w:ascii="Arial" w:cs="Arial" w:eastAsia="Arial" w:hAnsi="Arial"/>
                <w:sz w:val="18"/>
                <w:szCs w:val="18"/>
                <w:color w:val="auto"/>
              </w:rPr>
              <w:t>2,784,749</w:t>
            </w:r>
          </w:p>
        </w:tc>
        <w:tc>
          <w:tcPr>
            <w:tcW w:w="16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7,307,760</w:t>
            </w:r>
          </w:p>
        </w:tc>
        <w:tc>
          <w:tcPr>
            <w:tcW w:w="22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5,998,423</w:t>
            </w:r>
          </w:p>
        </w:tc>
      </w:tr>
      <w:tr>
        <w:trPr>
          <w:trHeight w:val="230"/>
        </w:trPr>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2,780,488</w:t>
            </w: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1,309,736</w:t>
            </w:r>
          </w:p>
        </w:tc>
        <w:tc>
          <w:tcPr>
            <w:tcW w:w="16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5,137,954</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2,582,477</w:t>
            </w:r>
          </w:p>
        </w:tc>
      </w:tr>
      <w:tr>
        <w:trPr>
          <w:trHeight w:val="209"/>
        </w:trPr>
        <w:tc>
          <w:tcPr>
            <w:tcW w:w="384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6,422,327</w:t>
            </w:r>
          </w:p>
        </w:tc>
        <w:tc>
          <w:tcPr>
            <w:tcW w:w="3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4,094,485</w:t>
            </w:r>
          </w:p>
        </w:tc>
        <w:tc>
          <w:tcPr>
            <w:tcW w:w="32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12,445,714</w:t>
            </w:r>
          </w:p>
        </w:tc>
        <w:tc>
          <w:tcPr>
            <w:tcW w:w="32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8,580,900</w:t>
            </w:r>
          </w:p>
        </w:tc>
        <w:tc>
          <w:tcPr>
            <w:tcW w:w="100" w:type="dxa"/>
            <w:vAlign w:val="bottom"/>
            <w:tcBorders>
              <w:bottom w:val="single" w:sz="8" w:color="EEEEEE"/>
            </w:tcBorders>
          </w:tcPr>
          <w:p>
            <w:pPr>
              <w:spacing w:after="0"/>
              <w:rPr>
                <w:sz w:val="18"/>
                <w:szCs w:val="18"/>
                <w:color w:val="auto"/>
              </w:rPr>
            </w:pPr>
          </w:p>
        </w:tc>
      </w:tr>
      <w:tr>
        <w:trPr>
          <w:trHeight w:val="209"/>
        </w:trPr>
        <w:tc>
          <w:tcPr>
            <w:tcW w:w="38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9"/>
                <w:szCs w:val="19"/>
                <w:color w:val="auto"/>
              </w:rPr>
            </w:pPr>
          </w:p>
        </w:tc>
        <w:tc>
          <w:tcPr>
            <w:tcW w:w="1800" w:type="dxa"/>
            <w:vAlign w:val="bottom"/>
            <w:gridSpan w:val="2"/>
          </w:tcPr>
          <w:p>
            <w:pPr>
              <w:jc w:val="right"/>
              <w:ind w:right="261"/>
              <w:spacing w:after="0"/>
              <w:rPr>
                <w:sz w:val="20"/>
                <w:szCs w:val="20"/>
                <w:color w:val="auto"/>
              </w:rPr>
            </w:pPr>
            <w:r>
              <w:rPr>
                <w:rFonts w:ascii="Arial" w:cs="Arial" w:eastAsia="Arial" w:hAnsi="Arial"/>
                <w:sz w:val="18"/>
                <w:szCs w:val="18"/>
                <w:color w:val="auto"/>
              </w:rPr>
              <w:t>1,135,285</w:t>
            </w:r>
          </w:p>
        </w:tc>
        <w:tc>
          <w:tcPr>
            <w:tcW w:w="220" w:type="dxa"/>
            <w:vAlign w:val="bottom"/>
          </w:tcPr>
          <w:p>
            <w:pPr>
              <w:spacing w:after="0"/>
              <w:rPr>
                <w:sz w:val="19"/>
                <w:szCs w:val="19"/>
                <w:color w:val="auto"/>
              </w:rPr>
            </w:pPr>
          </w:p>
        </w:tc>
        <w:tc>
          <w:tcPr>
            <w:tcW w:w="1680" w:type="dxa"/>
            <w:vAlign w:val="bottom"/>
            <w:gridSpan w:val="2"/>
          </w:tcPr>
          <w:p>
            <w:pPr>
              <w:jc w:val="right"/>
              <w:ind w:right="241"/>
              <w:spacing w:after="0"/>
              <w:rPr>
                <w:sz w:val="20"/>
                <w:szCs w:val="20"/>
                <w:color w:val="auto"/>
              </w:rPr>
            </w:pPr>
            <w:r>
              <w:rPr>
                <w:rFonts w:ascii="Arial" w:cs="Arial" w:eastAsia="Arial" w:hAnsi="Arial"/>
                <w:sz w:val="18"/>
                <w:szCs w:val="18"/>
                <w:color w:val="auto"/>
              </w:rPr>
              <w:t>853,106</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2,425,600</w:t>
            </w:r>
          </w:p>
        </w:tc>
        <w:tc>
          <w:tcPr>
            <w:tcW w:w="22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1,929,479</w:t>
            </w:r>
          </w:p>
        </w:tc>
      </w:tr>
      <w:tr>
        <w:trPr>
          <w:trHeight w:val="209"/>
        </w:trPr>
        <w:tc>
          <w:tcPr>
            <w:tcW w:w="38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 (expenses)</w:t>
            </w: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01"/>
              <w:spacing w:after="0"/>
              <w:rPr>
                <w:sz w:val="20"/>
                <w:szCs w:val="20"/>
                <w:color w:val="auto"/>
              </w:rPr>
            </w:pPr>
            <w:r>
              <w:rPr>
                <w:rFonts w:ascii="Arial" w:cs="Arial" w:eastAsia="Arial" w:hAnsi="Arial"/>
                <w:sz w:val="18"/>
                <w:szCs w:val="18"/>
                <w:color w:val="auto"/>
              </w:rPr>
              <w:t>(75,112)</w:t>
            </w: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(23,708)</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(75,112)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(49,538)</w:t>
            </w: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Other financing expenses</w:t>
            </w:r>
          </w:p>
        </w:tc>
        <w:tc>
          <w:tcPr>
            <w:tcW w:w="140" w:type="dxa"/>
            <w:vAlign w:val="bottom"/>
          </w:tcPr>
          <w:p>
            <w:pPr>
              <w:spacing w:after="0"/>
              <w:rPr>
                <w:sz w:val="18"/>
                <w:szCs w:val="18"/>
                <w:color w:val="auto"/>
              </w:rPr>
            </w:pPr>
          </w:p>
        </w:tc>
        <w:tc>
          <w:tcPr>
            <w:tcW w:w="18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80" w:type="dxa"/>
            <w:vAlign w:val="bottom"/>
            <w:gridSpan w:val="2"/>
          </w:tcPr>
          <w:p>
            <w:pPr>
              <w:jc w:val="right"/>
              <w:ind w:right="181"/>
              <w:spacing w:after="0"/>
              <w:rPr>
                <w:sz w:val="20"/>
                <w:szCs w:val="20"/>
                <w:color w:val="auto"/>
              </w:rPr>
            </w:pPr>
            <w:r>
              <w:rPr>
                <w:rFonts w:ascii="Arial" w:cs="Arial" w:eastAsia="Arial" w:hAnsi="Arial"/>
                <w:sz w:val="18"/>
                <w:szCs w:val="18"/>
                <w:color w:val="auto"/>
              </w:rPr>
              <w:t>(37,447)</w:t>
            </w:r>
          </w:p>
        </w:tc>
        <w:tc>
          <w:tcPr>
            <w:tcW w:w="160" w:type="dxa"/>
            <w:vAlign w:val="bottom"/>
          </w:tcPr>
          <w:p>
            <w:pPr>
              <w:spacing w:after="0"/>
              <w:rPr>
                <w:sz w:val="18"/>
                <w:szCs w:val="18"/>
                <w:color w:val="auto"/>
              </w:rPr>
            </w:pPr>
          </w:p>
        </w:tc>
        <w:tc>
          <w:tcPr>
            <w:tcW w:w="1720" w:type="dxa"/>
            <w:vAlign w:val="bottom"/>
            <w:gridSpan w:val="2"/>
          </w:tcPr>
          <w:p>
            <w:pPr>
              <w:jc w:val="right"/>
              <w:ind w:right="181"/>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(37,447)</w:t>
            </w:r>
          </w:p>
        </w:tc>
      </w:tr>
      <w:tr>
        <w:trPr>
          <w:trHeight w:val="230"/>
        </w:trPr>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non-operating income (expense)</w:t>
            </w:r>
          </w:p>
        </w:tc>
        <w:tc>
          <w:tcPr>
            <w:tcW w:w="14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60,403</w:t>
            </w: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10,455</w:t>
            </w:r>
          </w:p>
        </w:tc>
        <w:tc>
          <w:tcPr>
            <w:tcW w:w="16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9,591</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17,852</w:t>
            </w:r>
          </w:p>
        </w:tc>
      </w:tr>
      <w:tr>
        <w:trPr>
          <w:trHeight w:val="210"/>
        </w:trPr>
        <w:tc>
          <w:tcPr>
            <w:tcW w:w="384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other (expenses), net</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(14,709</w:t>
            </w:r>
          </w:p>
        </w:tc>
        <w:tc>
          <w:tcPr>
            <w:tcW w:w="340" w:type="dxa"/>
            <w:vAlign w:val="bottom"/>
            <w:tcBorders>
              <w:bottom w:val="single" w:sz="8" w:color="EEEEEE"/>
            </w:tcBorders>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(50,700</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(74,521</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(69,133</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8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800" w:type="dxa"/>
            <w:vAlign w:val="bottom"/>
            <w:gridSpan w:val="2"/>
          </w:tcPr>
          <w:p>
            <w:pPr>
              <w:jc w:val="right"/>
              <w:ind w:right="261"/>
              <w:spacing w:after="0"/>
              <w:rPr>
                <w:sz w:val="20"/>
                <w:szCs w:val="20"/>
                <w:color w:val="auto"/>
              </w:rPr>
            </w:pPr>
            <w:r>
              <w:rPr>
                <w:rFonts w:ascii="Arial" w:cs="Arial" w:eastAsia="Arial" w:hAnsi="Arial"/>
                <w:sz w:val="18"/>
                <w:szCs w:val="18"/>
                <w:color w:val="auto"/>
              </w:rPr>
              <w:t>1,120,576</w:t>
            </w:r>
          </w:p>
        </w:tc>
        <w:tc>
          <w:tcPr>
            <w:tcW w:w="220" w:type="dxa"/>
            <w:vAlign w:val="bottom"/>
          </w:tcPr>
          <w:p>
            <w:pPr>
              <w:spacing w:after="0"/>
              <w:rPr>
                <w:sz w:val="18"/>
                <w:szCs w:val="18"/>
                <w:color w:val="auto"/>
              </w:rPr>
            </w:pPr>
          </w:p>
        </w:tc>
        <w:tc>
          <w:tcPr>
            <w:tcW w:w="1680" w:type="dxa"/>
            <w:vAlign w:val="bottom"/>
            <w:gridSpan w:val="2"/>
          </w:tcPr>
          <w:p>
            <w:pPr>
              <w:jc w:val="right"/>
              <w:ind w:right="241"/>
              <w:spacing w:after="0"/>
              <w:rPr>
                <w:sz w:val="20"/>
                <w:szCs w:val="20"/>
                <w:color w:val="auto"/>
              </w:rPr>
            </w:pPr>
            <w:r>
              <w:rPr>
                <w:rFonts w:ascii="Arial" w:cs="Arial" w:eastAsia="Arial" w:hAnsi="Arial"/>
                <w:sz w:val="18"/>
                <w:szCs w:val="18"/>
                <w:color w:val="auto"/>
              </w:rPr>
              <w:t>802,406</w:t>
            </w:r>
          </w:p>
        </w:tc>
        <w:tc>
          <w:tcPr>
            <w:tcW w:w="16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2,351,079</w:t>
            </w:r>
          </w:p>
        </w:tc>
        <w:tc>
          <w:tcPr>
            <w:tcW w:w="22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1,860,346</w:t>
            </w:r>
          </w:p>
        </w:tc>
      </w:tr>
      <w:tr>
        <w:trPr>
          <w:trHeight w:val="216"/>
        </w:trPr>
        <w:tc>
          <w:tcPr>
            <w:tcW w:w="38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800" w:type="dxa"/>
            <w:vAlign w:val="bottom"/>
            <w:gridSpan w:val="2"/>
          </w:tcPr>
          <w:p>
            <w:pPr>
              <w:jc w:val="right"/>
              <w:ind w:right="261"/>
              <w:spacing w:after="0"/>
              <w:rPr>
                <w:sz w:val="20"/>
                <w:szCs w:val="20"/>
                <w:color w:val="auto"/>
              </w:rPr>
            </w:pPr>
            <w:r>
              <w:rPr>
                <w:rFonts w:ascii="Arial" w:cs="Arial" w:eastAsia="Arial" w:hAnsi="Arial"/>
                <w:sz w:val="18"/>
                <w:szCs w:val="18"/>
                <w:color w:val="auto"/>
              </w:rPr>
              <w:t>322,715</w:t>
            </w:r>
          </w:p>
        </w:tc>
        <w:tc>
          <w:tcPr>
            <w:tcW w:w="220" w:type="dxa"/>
            <w:vAlign w:val="bottom"/>
          </w:tcPr>
          <w:p>
            <w:pPr>
              <w:spacing w:after="0"/>
              <w:rPr>
                <w:sz w:val="19"/>
                <w:szCs w:val="19"/>
                <w:color w:val="auto"/>
              </w:rPr>
            </w:pPr>
          </w:p>
        </w:tc>
        <w:tc>
          <w:tcPr>
            <w:tcW w:w="1680" w:type="dxa"/>
            <w:vAlign w:val="bottom"/>
            <w:gridSpan w:val="2"/>
          </w:tcPr>
          <w:p>
            <w:pPr>
              <w:jc w:val="right"/>
              <w:ind w:right="241"/>
              <w:spacing w:after="0"/>
              <w:rPr>
                <w:sz w:val="20"/>
                <w:szCs w:val="20"/>
                <w:color w:val="auto"/>
              </w:rPr>
            </w:pPr>
            <w:r>
              <w:rPr>
                <w:rFonts w:ascii="Arial" w:cs="Arial" w:eastAsia="Arial" w:hAnsi="Arial"/>
                <w:sz w:val="18"/>
                <w:szCs w:val="18"/>
                <w:color w:val="auto"/>
              </w:rPr>
              <w:t>226,930</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665,690</w:t>
            </w:r>
          </w:p>
        </w:tc>
        <w:tc>
          <w:tcPr>
            <w:tcW w:w="22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522,874</w:t>
            </w:r>
          </w:p>
        </w:tc>
      </w:tr>
      <w:tr>
        <w:trPr>
          <w:trHeight w:val="210"/>
        </w:trPr>
        <w:tc>
          <w:tcPr>
            <w:tcW w:w="38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83"/>
        </w:trPr>
        <w:tc>
          <w:tcPr>
            <w:tcW w:w="38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61"/>
              <w:spacing w:after="0"/>
              <w:rPr>
                <w:sz w:val="20"/>
                <w:szCs w:val="20"/>
                <w:color w:val="auto"/>
              </w:rPr>
            </w:pPr>
            <w:r>
              <w:rPr>
                <w:rFonts w:ascii="Arial" w:cs="Arial" w:eastAsia="Arial" w:hAnsi="Arial"/>
                <w:sz w:val="18"/>
                <w:szCs w:val="18"/>
                <w:color w:val="auto"/>
              </w:rPr>
              <w:t>797,861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41"/>
              <w:spacing w:after="0"/>
              <w:rPr>
                <w:sz w:val="20"/>
                <w:szCs w:val="20"/>
                <w:color w:val="auto"/>
              </w:rPr>
            </w:pPr>
            <w:r>
              <w:rPr>
                <w:rFonts w:ascii="Arial" w:cs="Arial" w:eastAsia="Arial" w:hAnsi="Arial"/>
                <w:sz w:val="18"/>
                <w:szCs w:val="18"/>
                <w:color w:val="auto"/>
              </w:rPr>
              <w:t>575,476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1,685,389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1,337,472</w:t>
            </w:r>
          </w:p>
        </w:tc>
      </w:tr>
      <w:tr>
        <w:trPr>
          <w:trHeight w:val="197"/>
        </w:trPr>
        <w:tc>
          <w:tcPr>
            <w:tcW w:w="38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46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4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WEIGHTED AVERAGE NUMBER OF</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EEEEE"/>
          </w:tcPr>
          <w:p>
            <w:pPr>
              <w:spacing w:after="0"/>
              <w:rPr>
                <w:sz w:val="21"/>
                <w:szCs w:val="21"/>
                <w:color w:val="auto"/>
              </w:rPr>
            </w:pPr>
          </w:p>
        </w:tc>
        <w:tc>
          <w:tcPr>
            <w:tcW w:w="180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26,491,103</w:t>
            </w:r>
          </w:p>
        </w:tc>
        <w:tc>
          <w:tcPr>
            <w:tcW w:w="220" w:type="dxa"/>
            <w:vAlign w:val="bottom"/>
            <w:shd w:val="clear" w:color="auto" w:fill="EEEEEE"/>
          </w:tcPr>
          <w:p>
            <w:pPr>
              <w:spacing w:after="0"/>
              <w:rPr>
                <w:sz w:val="21"/>
                <w:szCs w:val="21"/>
                <w:color w:val="auto"/>
              </w:rPr>
            </w:pPr>
          </w:p>
        </w:tc>
        <w:tc>
          <w:tcPr>
            <w:tcW w:w="16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20,204,496</w:t>
            </w:r>
          </w:p>
        </w:tc>
        <w:tc>
          <w:tcPr>
            <w:tcW w:w="160" w:type="dxa"/>
            <w:vAlign w:val="bottom"/>
            <w:shd w:val="clear" w:color="auto" w:fill="EEEEEE"/>
          </w:tcPr>
          <w:p>
            <w:pPr>
              <w:spacing w:after="0"/>
              <w:rPr>
                <w:sz w:val="21"/>
                <w:szCs w:val="21"/>
                <w:color w:val="auto"/>
              </w:rPr>
            </w:pPr>
          </w:p>
        </w:tc>
        <w:tc>
          <w:tcPr>
            <w:tcW w:w="17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26,487,816</w:t>
            </w:r>
          </w:p>
        </w:tc>
        <w:tc>
          <w:tcPr>
            <w:tcW w:w="220" w:type="dxa"/>
            <w:vAlign w:val="bottom"/>
            <w:shd w:val="clear" w:color="auto" w:fill="EEEEEE"/>
          </w:tcPr>
          <w:p>
            <w:pPr>
              <w:spacing w:after="0"/>
              <w:rPr>
                <w:sz w:val="21"/>
                <w:szCs w:val="21"/>
                <w:color w:val="auto"/>
              </w:rPr>
            </w:pPr>
          </w:p>
        </w:tc>
        <w:tc>
          <w:tcPr>
            <w:tcW w:w="14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20,204,496</w:t>
            </w:r>
          </w:p>
        </w:tc>
      </w:tr>
      <w:tr>
        <w:trPr>
          <w:trHeight w:val="20"/>
        </w:trPr>
        <w:tc>
          <w:tcPr>
            <w:tcW w:w="38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EEEEE"/>
          </w:tcPr>
          <w:p>
            <w:pPr>
              <w:spacing w:after="0"/>
              <w:rPr>
                <w:sz w:val="21"/>
                <w:szCs w:val="21"/>
                <w:color w:val="auto"/>
              </w:rPr>
            </w:pPr>
          </w:p>
        </w:tc>
        <w:tc>
          <w:tcPr>
            <w:tcW w:w="180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26,491,103</w:t>
            </w:r>
          </w:p>
        </w:tc>
        <w:tc>
          <w:tcPr>
            <w:tcW w:w="220" w:type="dxa"/>
            <w:vAlign w:val="bottom"/>
            <w:shd w:val="clear" w:color="auto" w:fill="EEEEEE"/>
          </w:tcPr>
          <w:p>
            <w:pPr>
              <w:spacing w:after="0"/>
              <w:rPr>
                <w:sz w:val="21"/>
                <w:szCs w:val="21"/>
                <w:color w:val="auto"/>
              </w:rPr>
            </w:pPr>
          </w:p>
        </w:tc>
        <w:tc>
          <w:tcPr>
            <w:tcW w:w="16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20,204,496</w:t>
            </w:r>
          </w:p>
        </w:tc>
        <w:tc>
          <w:tcPr>
            <w:tcW w:w="160" w:type="dxa"/>
            <w:vAlign w:val="bottom"/>
            <w:shd w:val="clear" w:color="auto" w:fill="EEEEEE"/>
          </w:tcPr>
          <w:p>
            <w:pPr>
              <w:spacing w:after="0"/>
              <w:rPr>
                <w:sz w:val="21"/>
                <w:szCs w:val="21"/>
                <w:color w:val="auto"/>
              </w:rPr>
            </w:pPr>
          </w:p>
        </w:tc>
        <w:tc>
          <w:tcPr>
            <w:tcW w:w="17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26,487,816</w:t>
            </w:r>
          </w:p>
        </w:tc>
        <w:tc>
          <w:tcPr>
            <w:tcW w:w="220" w:type="dxa"/>
            <w:vAlign w:val="bottom"/>
            <w:shd w:val="clear" w:color="auto" w:fill="EEEEEE"/>
          </w:tcPr>
          <w:p>
            <w:pPr>
              <w:spacing w:after="0"/>
              <w:rPr>
                <w:sz w:val="21"/>
                <w:szCs w:val="21"/>
                <w:color w:val="auto"/>
              </w:rPr>
            </w:pPr>
          </w:p>
        </w:tc>
        <w:tc>
          <w:tcPr>
            <w:tcW w:w="14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20,204,496</w:t>
            </w:r>
          </w:p>
        </w:tc>
      </w:tr>
      <w:tr>
        <w:trPr>
          <w:trHeight w:val="20"/>
        </w:trPr>
        <w:tc>
          <w:tcPr>
            <w:tcW w:w="38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384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61"/>
              <w:spacing w:after="0"/>
              <w:rPr>
                <w:sz w:val="20"/>
                <w:szCs w:val="20"/>
                <w:color w:val="auto"/>
              </w:rPr>
            </w:pPr>
            <w:r>
              <w:rPr>
                <w:rFonts w:ascii="Arial" w:cs="Arial" w:eastAsia="Arial" w:hAnsi="Arial"/>
                <w:sz w:val="18"/>
                <w:szCs w:val="18"/>
                <w:color w:val="auto"/>
              </w:rPr>
              <w:t>0.030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41"/>
              <w:spacing w:after="0"/>
              <w:rPr>
                <w:sz w:val="20"/>
                <w:szCs w:val="20"/>
                <w:color w:val="auto"/>
              </w:rPr>
            </w:pPr>
            <w:r>
              <w:rPr>
                <w:rFonts w:ascii="Arial" w:cs="Arial" w:eastAsia="Arial" w:hAnsi="Arial"/>
                <w:sz w:val="18"/>
                <w:szCs w:val="18"/>
                <w:color w:val="auto"/>
              </w:rPr>
              <w:t>0.028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0.064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0.066</w:t>
            </w:r>
          </w:p>
        </w:tc>
      </w:tr>
      <w:tr>
        <w:trPr>
          <w:trHeight w:val="197"/>
        </w:trPr>
        <w:tc>
          <w:tcPr>
            <w:tcW w:w="38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46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4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0.030</w:t>
            </w:r>
          </w:p>
        </w:tc>
        <w:tc>
          <w:tcPr>
            <w:tcW w:w="3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0.028</w:t>
            </w:r>
          </w:p>
        </w:tc>
        <w:tc>
          <w:tcPr>
            <w:tcW w:w="32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1"/>
              <w:spacing w:after="0"/>
              <w:rPr>
                <w:sz w:val="20"/>
                <w:szCs w:val="20"/>
                <w:color w:val="auto"/>
              </w:rPr>
            </w:pPr>
            <w:r>
              <w:rPr>
                <w:rFonts w:ascii="Arial" w:cs="Arial" w:eastAsia="Arial" w:hAnsi="Arial"/>
                <w:sz w:val="18"/>
                <w:szCs w:val="18"/>
                <w:color w:val="auto"/>
              </w:rPr>
              <w:t>0.064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0.066</w:t>
            </w:r>
          </w:p>
        </w:tc>
      </w:tr>
      <w:tr>
        <w:trPr>
          <w:trHeight w:val="20"/>
        </w:trPr>
        <w:tc>
          <w:tcPr>
            <w:tcW w:w="38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560" w:type="dxa"/>
            <w:vAlign w:val="bottom"/>
            <w:gridSpan w:val="10"/>
          </w:tcPr>
          <w:p>
            <w:pPr>
              <w:ind w:left="1700"/>
              <w:spacing w:after="0"/>
              <w:rPr>
                <w:sz w:val="20"/>
                <w:szCs w:val="20"/>
                <w:color w:val="auto"/>
              </w:rPr>
            </w:pPr>
            <w:r>
              <w:rPr>
                <w:rFonts w:ascii="Arial" w:cs="Arial" w:eastAsia="Arial" w:hAnsi="Arial"/>
                <w:sz w:val="18"/>
                <w:szCs w:val="18"/>
                <w:color w:val="auto"/>
                <w:w w:val="89"/>
              </w:rPr>
              <w:t>The accompanying notes are an integral part of these unaudited condensed consolidated financial statements.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Six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80" w:type="dxa"/>
            <w:vAlign w:val="bottom"/>
          </w:tcPr>
          <w:p>
            <w:pPr>
              <w:spacing w:after="0"/>
              <w:rPr>
                <w:sz w:val="15"/>
                <w:szCs w:val="15"/>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color w:val="auto"/>
              </w:rPr>
              <w:t>Common Stock *</w:t>
            </w:r>
          </w:p>
        </w:tc>
        <w:tc>
          <w:tcPr>
            <w:tcW w:w="2220" w:type="dxa"/>
            <w:vAlign w:val="bottom"/>
            <w:gridSpan w:val="5"/>
          </w:tcPr>
          <w:p>
            <w:pPr>
              <w:ind w:left="260"/>
              <w:spacing w:after="0"/>
              <w:rPr>
                <w:sz w:val="20"/>
                <w:szCs w:val="20"/>
                <w:color w:val="auto"/>
              </w:rPr>
            </w:pPr>
            <w:r>
              <w:rPr>
                <w:rFonts w:ascii="Arial" w:cs="Arial" w:eastAsia="Arial" w:hAnsi="Arial"/>
                <w:sz w:val="14"/>
                <w:szCs w:val="14"/>
                <w:color w:val="auto"/>
              </w:rPr>
              <w:t>Class B Common Stock *</w:t>
            </w:r>
          </w:p>
        </w:tc>
        <w:tc>
          <w:tcPr>
            <w:tcW w:w="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Subscription</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Retained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color w:val="auto"/>
              </w:rPr>
              <w:t>Shares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46"/>
              <w:spacing w:after="0" w:line="155"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26"/>
              <w:spacing w:after="0" w:line="155"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5"/>
              </w:rPr>
              <w:t>Receivable</w:t>
            </w:r>
          </w:p>
        </w:tc>
        <w:tc>
          <w:tcPr>
            <w:tcW w:w="120" w:type="dxa"/>
            <w:vAlign w:val="bottom"/>
          </w:tcPr>
          <w:p>
            <w:pPr>
              <w:spacing w:after="0"/>
              <w:rPr>
                <w:sz w:val="13"/>
                <w:szCs w:val="13"/>
                <w:color w:val="auto"/>
              </w:rPr>
            </w:pPr>
          </w:p>
        </w:tc>
        <w:tc>
          <w:tcPr>
            <w:tcW w:w="10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3"/>
                <w:szCs w:val="13"/>
                <w:color w:val="auto"/>
              </w:rPr>
            </w:pPr>
          </w:p>
        </w:tc>
        <w:tc>
          <w:tcPr>
            <w:tcW w:w="8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Balance, June 30, 2021</w:t>
            </w: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26,448,663</w:t>
            </w:r>
          </w:p>
        </w:tc>
        <w:tc>
          <w:tcPr>
            <w:tcW w:w="24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26,449</w:t>
            </w:r>
          </w:p>
        </w:tc>
        <w:tc>
          <w:tcPr>
            <w:tcW w:w="24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23,214,263</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1,745,073</w:t>
            </w:r>
          </w:p>
        </w:tc>
        <w:tc>
          <w:tcPr>
            <w:tcW w:w="2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24,985,785</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887,528</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887,528</w:t>
            </w:r>
          </w:p>
        </w:tc>
        <w:tc>
          <w:tcPr>
            <w:tcW w:w="0" w:type="dxa"/>
            <w:vAlign w:val="bottom"/>
          </w:tcPr>
          <w:p>
            <w:pPr>
              <w:spacing w:after="0"/>
              <w:rPr>
                <w:sz w:val="1"/>
                <w:szCs w:val="1"/>
                <w:color w:val="auto"/>
              </w:rPr>
            </w:pPr>
          </w:p>
        </w:tc>
      </w:tr>
      <w:tr>
        <w:trPr>
          <w:trHeight w:val="216"/>
        </w:trPr>
        <w:tc>
          <w:tcPr>
            <w:tcW w:w="2380" w:type="dxa"/>
            <w:vAlign w:val="bottom"/>
            <w:shd w:val="clear" w:color="auto" w:fill="EEEEEE"/>
          </w:tcPr>
          <w:p>
            <w:pPr>
              <w:ind w:left="100"/>
              <w:spacing w:after="0"/>
              <w:rPr>
                <w:sz w:val="20"/>
                <w:szCs w:val="20"/>
                <w:color w:val="auto"/>
              </w:rPr>
            </w:pPr>
            <w:r>
              <w:rPr>
                <w:rFonts w:ascii="Arial" w:cs="Arial" w:eastAsia="Arial" w:hAnsi="Arial"/>
                <w:sz w:val="14"/>
                <w:szCs w:val="14"/>
                <w:color w:val="auto"/>
              </w:rPr>
              <w:t>Restricted stock units vested</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103,054</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103,054</w:t>
            </w:r>
          </w:p>
        </w:tc>
        <w:tc>
          <w:tcPr>
            <w:tcW w:w="0" w:type="dxa"/>
            <w:vAlign w:val="bottom"/>
          </w:tcPr>
          <w:p>
            <w:pPr>
              <w:spacing w:after="0"/>
              <w:rPr>
                <w:sz w:val="1"/>
                <w:szCs w:val="1"/>
                <w:color w:val="auto"/>
              </w:rPr>
            </w:pPr>
          </w:p>
        </w:tc>
      </w:tr>
      <w:tr>
        <w:trPr>
          <w:trHeight w:val="110"/>
        </w:trPr>
        <w:tc>
          <w:tcPr>
            <w:tcW w:w="2380" w:type="dxa"/>
            <w:vAlign w:val="bottom"/>
          </w:tcPr>
          <w:p>
            <w:pPr>
              <w:spacing w:after="0" w:line="110" w:lineRule="exact"/>
              <w:rPr>
                <w:sz w:val="20"/>
                <w:szCs w:val="20"/>
                <w:color w:val="auto"/>
              </w:rPr>
            </w:pPr>
            <w:r>
              <w:rPr>
                <w:rFonts w:ascii="Arial" w:cs="Arial" w:eastAsia="Arial" w:hAnsi="Arial"/>
                <w:sz w:val="12"/>
                <w:szCs w:val="12"/>
                <w:color w:val="auto"/>
              </w:rPr>
              <w:t>Balance, September 30, 2021,</w:t>
            </w: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100"/>
              <w:spacing w:after="0"/>
              <w:rPr>
                <w:sz w:val="20"/>
                <w:szCs w:val="20"/>
                <w:color w:val="auto"/>
              </w:rPr>
            </w:pPr>
            <w:r>
              <w:rPr>
                <w:rFonts w:ascii="Arial" w:cs="Arial" w:eastAsia="Arial" w:hAnsi="Arial"/>
                <w:sz w:val="14"/>
                <w:szCs w:val="14"/>
                <w:color w:val="auto"/>
              </w:rPr>
              <w:t>unaudited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26,448,663</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26,449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23,317,317</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2,632,601</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25,976,367</w:t>
            </w:r>
          </w:p>
        </w:tc>
        <w:tc>
          <w:tcPr>
            <w:tcW w:w="0" w:type="dxa"/>
            <w:vAlign w:val="bottom"/>
          </w:tcPr>
          <w:p>
            <w:pPr>
              <w:spacing w:after="0"/>
              <w:rPr>
                <w:sz w:val="1"/>
                <w:szCs w:val="1"/>
                <w:color w:val="auto"/>
              </w:rPr>
            </w:pPr>
          </w:p>
        </w:tc>
      </w:tr>
      <w:tr>
        <w:trPr>
          <w:trHeight w:val="148"/>
        </w:trPr>
        <w:tc>
          <w:tcPr>
            <w:tcW w:w="23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797,861</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797,861</w:t>
            </w:r>
          </w:p>
        </w:tc>
        <w:tc>
          <w:tcPr>
            <w:tcW w:w="0" w:type="dxa"/>
            <w:vAlign w:val="bottom"/>
          </w:tcPr>
          <w:p>
            <w:pPr>
              <w:spacing w:after="0"/>
              <w:rPr>
                <w:sz w:val="1"/>
                <w:szCs w:val="1"/>
                <w:color w:val="auto"/>
              </w:rPr>
            </w:pPr>
          </w:p>
        </w:tc>
      </w:tr>
      <w:tr>
        <w:trPr>
          <w:trHeight w:val="130"/>
        </w:trPr>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Restricted shares issued for vested</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180"/>
              <w:spacing w:after="0"/>
              <w:rPr>
                <w:sz w:val="20"/>
                <w:szCs w:val="20"/>
                <w:color w:val="auto"/>
              </w:rPr>
            </w:pPr>
            <w:r>
              <w:rPr>
                <w:rFonts w:ascii="Arial" w:cs="Arial" w:eastAsia="Arial" w:hAnsi="Arial"/>
                <w:sz w:val="14"/>
                <w:szCs w:val="14"/>
                <w:color w:val="auto"/>
              </w:rPr>
              <w:t>RSUs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40,019</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40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shd w:val="clear" w:color="auto" w:fill="EEEEEE"/>
          </w:tcPr>
          <w:p>
            <w:pPr>
              <w:spacing w:after="0"/>
              <w:rPr>
                <w:sz w:val="20"/>
                <w:szCs w:val="20"/>
                <w:color w:val="auto"/>
              </w:rPr>
            </w:pPr>
            <w:r>
              <w:rPr>
                <w:rFonts w:ascii="Arial" w:cs="Arial" w:eastAsia="Arial" w:hAnsi="Arial"/>
                <w:sz w:val="14"/>
                <w:szCs w:val="14"/>
                <w:color w:val="auto"/>
              </w:rPr>
              <w:t>Restricted stock units vested</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54,435</w:t>
            </w:r>
          </w:p>
        </w:tc>
        <w:tc>
          <w:tcPr>
            <w:tcW w:w="1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54,435</w:t>
            </w:r>
          </w:p>
        </w:tc>
        <w:tc>
          <w:tcPr>
            <w:tcW w:w="0" w:type="dxa"/>
            <w:vAlign w:val="bottom"/>
          </w:tcPr>
          <w:p>
            <w:pPr>
              <w:spacing w:after="0"/>
              <w:rPr>
                <w:sz w:val="1"/>
                <w:szCs w:val="1"/>
                <w:color w:val="auto"/>
              </w:rPr>
            </w:pPr>
          </w:p>
        </w:tc>
      </w:tr>
      <w:tr>
        <w:trPr>
          <w:trHeight w:val="110"/>
        </w:trPr>
        <w:tc>
          <w:tcPr>
            <w:tcW w:w="2380" w:type="dxa"/>
            <w:vAlign w:val="bottom"/>
          </w:tcPr>
          <w:p>
            <w:pPr>
              <w:spacing w:after="0" w:line="110" w:lineRule="exact"/>
              <w:rPr>
                <w:sz w:val="20"/>
                <w:szCs w:val="20"/>
                <w:color w:val="auto"/>
              </w:rPr>
            </w:pPr>
            <w:r>
              <w:rPr>
                <w:rFonts w:ascii="Arial" w:cs="Arial" w:eastAsia="Arial" w:hAnsi="Arial"/>
                <w:sz w:val="12"/>
                <w:szCs w:val="12"/>
                <w:color w:val="auto"/>
              </w:rPr>
              <w:t>Balance, December 31, 2021,</w:t>
            </w: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00"/>
              <w:spacing w:after="0"/>
              <w:rPr>
                <w:sz w:val="20"/>
                <w:szCs w:val="20"/>
                <w:color w:val="auto"/>
              </w:rPr>
            </w:pPr>
            <w:r>
              <w:rPr>
                <w:rFonts w:ascii="Arial" w:cs="Arial" w:eastAsia="Arial" w:hAnsi="Arial"/>
                <w:sz w:val="14"/>
                <w:szCs w:val="14"/>
                <w:color w:val="auto"/>
              </w:rPr>
              <w:t>unaudited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26,488,682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26,489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23,371,712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3,430,462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26,828,663</w:t>
            </w:r>
          </w:p>
        </w:tc>
        <w:tc>
          <w:tcPr>
            <w:tcW w:w="0" w:type="dxa"/>
            <w:vAlign w:val="bottom"/>
          </w:tcPr>
          <w:p>
            <w:pPr>
              <w:spacing w:after="0"/>
              <w:rPr>
                <w:sz w:val="1"/>
                <w:szCs w:val="1"/>
                <w:color w:val="auto"/>
              </w:rPr>
            </w:pPr>
          </w:p>
        </w:tc>
      </w:tr>
      <w:tr>
        <w:trPr>
          <w:trHeight w:val="129"/>
        </w:trPr>
        <w:tc>
          <w:tcPr>
            <w:tcW w:w="2380" w:type="dxa"/>
            <w:vAlign w:val="bottom"/>
            <w:tcBorders>
              <w:top w:val="single" w:sz="8" w:color="EEEEEE"/>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24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auto"/>
            </w:tcBorders>
            <w:shd w:val="clear" w:color="auto" w:fill="EEEEEE"/>
          </w:tcPr>
          <w:p>
            <w:pPr>
              <w:spacing w:after="0"/>
              <w:rPr>
                <w:sz w:val="11"/>
                <w:szCs w:val="11"/>
                <w:color w:val="auto"/>
              </w:rPr>
            </w:pPr>
          </w:p>
        </w:tc>
        <w:tc>
          <w:tcPr>
            <w:tcW w:w="760" w:type="dxa"/>
            <w:vAlign w:val="bottom"/>
            <w:tcBorders>
              <w:top w:val="single" w:sz="8" w:color="auto"/>
            </w:tcBorders>
            <w:shd w:val="clear" w:color="auto" w:fill="EEEEEE"/>
          </w:tcPr>
          <w:p>
            <w:pPr>
              <w:spacing w:after="0"/>
              <w:rPr>
                <w:sz w:val="11"/>
                <w:szCs w:val="11"/>
                <w:color w:val="auto"/>
              </w:rPr>
            </w:pPr>
          </w:p>
        </w:tc>
        <w:tc>
          <w:tcPr>
            <w:tcW w:w="240" w:type="dxa"/>
            <w:vAlign w:val="bottom"/>
            <w:tcBorders>
              <w:top w:val="single" w:sz="8" w:color="EEEEEE"/>
            </w:tcBorders>
            <w:shd w:val="clear" w:color="auto" w:fill="EEEEEE"/>
          </w:tcPr>
          <w:p>
            <w:pPr>
              <w:spacing w:after="0"/>
              <w:rPr>
                <w:sz w:val="11"/>
                <w:szCs w:val="11"/>
                <w:color w:val="auto"/>
              </w:rPr>
            </w:pPr>
          </w:p>
        </w:tc>
        <w:tc>
          <w:tcPr>
            <w:tcW w:w="90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4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80" w:type="dxa"/>
            <w:vAlign w:val="bottom"/>
            <w:tcBorders>
              <w:top w:val="single" w:sz="8" w:color="auto"/>
            </w:tcBorders>
            <w:shd w:val="clear" w:color="auto" w:fill="EEEEEE"/>
          </w:tcPr>
          <w:p>
            <w:pPr>
              <w:spacing w:after="0"/>
              <w:rPr>
                <w:sz w:val="11"/>
                <w:szCs w:val="11"/>
                <w:color w:val="auto"/>
              </w:rPr>
            </w:pPr>
          </w:p>
        </w:tc>
        <w:tc>
          <w:tcPr>
            <w:tcW w:w="820" w:type="dxa"/>
            <w:vAlign w:val="bottom"/>
            <w:tcBorders>
              <w:top w:val="single" w:sz="8" w:color="auto"/>
            </w:tcBorders>
            <w:shd w:val="clear" w:color="auto" w:fill="EEEEEE"/>
          </w:tcPr>
          <w:p>
            <w:pPr>
              <w:spacing w:after="0"/>
              <w:rPr>
                <w:sz w:val="11"/>
                <w:szCs w:val="11"/>
                <w:color w:val="auto"/>
              </w:rPr>
            </w:pPr>
          </w:p>
        </w:tc>
        <w:tc>
          <w:tcPr>
            <w:tcW w:w="20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auto"/>
            </w:tcBorders>
            <w:shd w:val="clear" w:color="auto" w:fill="EEEEEE"/>
          </w:tcPr>
          <w:p>
            <w:pPr>
              <w:spacing w:after="0"/>
              <w:rPr>
                <w:sz w:val="11"/>
                <w:szCs w:val="11"/>
                <w:color w:val="auto"/>
              </w:rPr>
            </w:pPr>
          </w:p>
        </w:tc>
        <w:tc>
          <w:tcPr>
            <w:tcW w:w="76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auto"/>
            </w:tcBorders>
            <w:shd w:val="clear" w:color="auto" w:fill="EEEEEE"/>
          </w:tcPr>
          <w:p>
            <w:pPr>
              <w:spacing w:after="0"/>
              <w:rPr>
                <w:sz w:val="11"/>
                <w:szCs w:val="11"/>
                <w:color w:val="auto"/>
              </w:rPr>
            </w:pPr>
          </w:p>
        </w:tc>
        <w:tc>
          <w:tcPr>
            <w:tcW w:w="740" w:type="dxa"/>
            <w:vAlign w:val="bottom"/>
            <w:tcBorders>
              <w:top w:val="single" w:sz="8" w:color="auto"/>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June 30, 2020</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20,204,496</w:t>
            </w:r>
          </w:p>
        </w:tc>
        <w:tc>
          <w:tcPr>
            <w:tcW w:w="160" w:type="dxa"/>
            <w:vAlign w:val="bottom"/>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20,204</w:t>
            </w: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14,000,000</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14,000</w:t>
            </w:r>
          </w:p>
        </w:tc>
        <w:tc>
          <w:tcPr>
            <w:tcW w:w="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1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389,490</w:t>
            </w:r>
          </w:p>
        </w:tc>
        <w:tc>
          <w:tcPr>
            <w:tcW w:w="120" w:type="dxa"/>
            <w:vAlign w:val="bottom"/>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2,520,822</w:t>
            </w:r>
          </w:p>
        </w:tc>
        <w:tc>
          <w:tcPr>
            <w:tcW w:w="160" w:type="dxa"/>
            <w:vAlign w:val="bottom"/>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2,930,516</w:t>
            </w:r>
          </w:p>
        </w:tc>
        <w:tc>
          <w:tcPr>
            <w:tcW w:w="0" w:type="dxa"/>
            <w:vAlign w:val="bottom"/>
          </w:tcPr>
          <w:p>
            <w:pPr>
              <w:spacing w:after="0"/>
              <w:rPr>
                <w:sz w:val="1"/>
                <w:szCs w:val="1"/>
                <w:color w:val="auto"/>
              </w:rPr>
            </w:pPr>
          </w:p>
        </w:tc>
      </w:tr>
      <w:tr>
        <w:trPr>
          <w:trHeight w:val="162"/>
        </w:trPr>
        <w:tc>
          <w:tcPr>
            <w:tcW w:w="238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761,996</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761,996</w:t>
            </w:r>
          </w:p>
        </w:tc>
        <w:tc>
          <w:tcPr>
            <w:tcW w:w="0" w:type="dxa"/>
            <w:vAlign w:val="bottom"/>
          </w:tcPr>
          <w:p>
            <w:pPr>
              <w:spacing w:after="0"/>
              <w:rPr>
                <w:sz w:val="1"/>
                <w:szCs w:val="1"/>
                <w:color w:val="auto"/>
              </w:rPr>
            </w:pPr>
          </w:p>
        </w:tc>
      </w:tr>
      <w:tr>
        <w:trPr>
          <w:trHeight w:val="142"/>
        </w:trPr>
        <w:tc>
          <w:tcPr>
            <w:tcW w:w="238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760" w:type="dxa"/>
            <w:vAlign w:val="bottom"/>
            <w:tcBorders>
              <w:top w:val="single" w:sz="8" w:color="auto"/>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74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spacing w:after="0"/>
              <w:rPr>
                <w:sz w:val="12"/>
                <w:szCs w:val="12"/>
                <w:color w:val="auto"/>
              </w:rPr>
            </w:pPr>
          </w:p>
        </w:tc>
        <w:tc>
          <w:tcPr>
            <w:tcW w:w="820" w:type="dxa"/>
            <w:vAlign w:val="bottom"/>
            <w:tcBorders>
              <w:top w:val="single" w:sz="8" w:color="auto"/>
            </w:tcBorders>
            <w:shd w:val="clear" w:color="auto" w:fill="EEEEEE"/>
          </w:tcPr>
          <w:p>
            <w:pPr>
              <w:spacing w:after="0"/>
              <w:rPr>
                <w:sz w:val="12"/>
                <w:szCs w:val="12"/>
                <w:color w:val="auto"/>
              </w:rPr>
            </w:pPr>
          </w:p>
        </w:tc>
        <w:tc>
          <w:tcPr>
            <w:tcW w:w="2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78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76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740" w:type="dxa"/>
            <w:vAlign w:val="bottom"/>
            <w:tcBorders>
              <w:top w:val="single" w:sz="8" w:color="auto"/>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Balance, September 30, 2020,</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100"/>
              <w:spacing w:after="0"/>
              <w:rPr>
                <w:sz w:val="20"/>
                <w:szCs w:val="20"/>
                <w:color w:val="auto"/>
              </w:rPr>
            </w:pPr>
            <w:r>
              <w:rPr>
                <w:rFonts w:ascii="Arial" w:cs="Arial" w:eastAsia="Arial" w:hAnsi="Arial"/>
                <w:sz w:val="14"/>
                <w:szCs w:val="14"/>
                <w:color w:val="auto"/>
              </w:rPr>
              <w:t>unaudited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20,204,496</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20,204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14,000,000</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14,000</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(14,000)</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389,490</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3,282,818</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3,692,512</w:t>
            </w:r>
          </w:p>
        </w:tc>
        <w:tc>
          <w:tcPr>
            <w:tcW w:w="0" w:type="dxa"/>
            <w:vAlign w:val="bottom"/>
          </w:tcPr>
          <w:p>
            <w:pPr>
              <w:spacing w:after="0"/>
              <w:rPr>
                <w:sz w:val="1"/>
                <w:szCs w:val="1"/>
                <w:color w:val="auto"/>
              </w:rPr>
            </w:pPr>
          </w:p>
        </w:tc>
      </w:tr>
      <w:tr>
        <w:trPr>
          <w:trHeight w:val="148"/>
        </w:trPr>
        <w:tc>
          <w:tcPr>
            <w:tcW w:w="23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575,476</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575,476</w:t>
            </w:r>
          </w:p>
        </w:tc>
        <w:tc>
          <w:tcPr>
            <w:tcW w:w="0" w:type="dxa"/>
            <w:vAlign w:val="bottom"/>
          </w:tcPr>
          <w:p>
            <w:pPr>
              <w:spacing w:after="0"/>
              <w:rPr>
                <w:sz w:val="1"/>
                <w:szCs w:val="1"/>
                <w:color w:val="auto"/>
              </w:rPr>
            </w:pPr>
          </w:p>
        </w:tc>
      </w:tr>
      <w:tr>
        <w:trPr>
          <w:trHeight w:val="162"/>
        </w:trPr>
        <w:tc>
          <w:tcPr>
            <w:tcW w:w="2380" w:type="dxa"/>
            <w:vAlign w:val="bottom"/>
          </w:tcPr>
          <w:p>
            <w:pPr>
              <w:ind w:left="100"/>
              <w:spacing w:after="0"/>
              <w:rPr>
                <w:sz w:val="20"/>
                <w:szCs w:val="20"/>
                <w:color w:val="auto"/>
              </w:rPr>
            </w:pPr>
            <w:r>
              <w:rPr>
                <w:rFonts w:ascii="Arial" w:cs="Arial" w:eastAsia="Arial" w:hAnsi="Arial"/>
                <w:sz w:val="14"/>
                <w:szCs w:val="14"/>
                <w:color w:val="auto"/>
              </w:rPr>
              <w:t>Cash for Class B common stock</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14,000</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EEEEEE"/>
          </w:tcPr>
          <w:p>
            <w:pPr>
              <w:spacing w:after="0" w:line="130" w:lineRule="exact"/>
              <w:rPr>
                <w:sz w:val="20"/>
                <w:szCs w:val="20"/>
                <w:color w:val="auto"/>
              </w:rPr>
            </w:pPr>
            <w:r>
              <w:rPr>
                <w:rFonts w:ascii="Arial" w:cs="Arial" w:eastAsia="Arial" w:hAnsi="Arial"/>
                <w:sz w:val="14"/>
                <w:szCs w:val="14"/>
                <w:color w:val="auto"/>
              </w:rPr>
              <w:t>Balance, December 31, 2020,</w:t>
            </w: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380" w:type="dxa"/>
            <w:vAlign w:val="bottom"/>
            <w:vMerge w:val="continue"/>
            <w:shd w:val="clear" w:color="auto" w:fill="EEEEEE"/>
          </w:tcPr>
          <w:p>
            <w:pPr>
              <w:spacing w:after="0"/>
              <w:rPr>
                <w:sz w:val="9"/>
                <w:szCs w:val="9"/>
                <w:color w:val="auto"/>
              </w:rPr>
            </w:pPr>
          </w:p>
        </w:tc>
        <w:tc>
          <w:tcPr>
            <w:tcW w:w="1160" w:type="dxa"/>
            <w:vAlign w:val="bottom"/>
            <w:gridSpan w:val="2"/>
            <w:vMerge w:val="restart"/>
            <w:shd w:val="clear" w:color="auto" w:fill="EEEEEE"/>
          </w:tcPr>
          <w:p>
            <w:pPr>
              <w:jc w:val="right"/>
              <w:ind w:right="240"/>
              <w:spacing w:after="0"/>
              <w:rPr>
                <w:sz w:val="20"/>
                <w:szCs w:val="20"/>
                <w:color w:val="auto"/>
              </w:rPr>
            </w:pPr>
            <w:r>
              <w:rPr>
                <w:rFonts w:ascii="Arial" w:cs="Arial" w:eastAsia="Arial" w:hAnsi="Arial"/>
                <w:sz w:val="14"/>
                <w:szCs w:val="14"/>
                <w:color w:val="auto"/>
              </w:rPr>
              <w:t>20,204,496</w:t>
            </w:r>
          </w:p>
        </w:tc>
        <w:tc>
          <w:tcPr>
            <w:tcW w:w="16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EEEEEE"/>
          </w:tcPr>
          <w:p>
            <w:pPr>
              <w:jc w:val="right"/>
              <w:ind w:right="240"/>
              <w:spacing w:after="0"/>
              <w:rPr>
                <w:sz w:val="20"/>
                <w:szCs w:val="20"/>
                <w:color w:val="auto"/>
              </w:rPr>
            </w:pPr>
            <w:r>
              <w:rPr>
                <w:rFonts w:ascii="Arial" w:cs="Arial" w:eastAsia="Arial" w:hAnsi="Arial"/>
                <w:sz w:val="14"/>
                <w:szCs w:val="14"/>
                <w:color w:val="auto"/>
              </w:rPr>
              <w:t>20,204</w:t>
            </w:r>
          </w:p>
        </w:tc>
        <w:tc>
          <w:tcPr>
            <w:tcW w:w="112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14,000,000</w:t>
            </w:r>
          </w:p>
        </w:tc>
        <w:tc>
          <w:tcPr>
            <w:tcW w:w="140" w:type="dxa"/>
            <w:vAlign w:val="bottom"/>
            <w:vMerge w:val="restart"/>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14,000</w:t>
            </w:r>
          </w:p>
        </w:tc>
        <w:tc>
          <w:tcPr>
            <w:tcW w:w="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389,490</w:t>
            </w:r>
          </w:p>
        </w:tc>
        <w:tc>
          <w:tcPr>
            <w:tcW w:w="120" w:type="dxa"/>
            <w:vAlign w:val="bottom"/>
            <w:vMerge w:val="restart"/>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3,858,294</w:t>
            </w:r>
          </w:p>
        </w:tc>
        <w:tc>
          <w:tcPr>
            <w:tcW w:w="16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4,281,988</w:t>
            </w:r>
          </w:p>
        </w:tc>
        <w:tc>
          <w:tcPr>
            <w:tcW w:w="0" w:type="dxa"/>
            <w:vAlign w:val="bottom"/>
          </w:tcPr>
          <w:p>
            <w:pPr>
              <w:spacing w:after="0"/>
              <w:rPr>
                <w:sz w:val="1"/>
                <w:szCs w:val="1"/>
                <w:color w:val="auto"/>
              </w:rPr>
            </w:pPr>
          </w:p>
        </w:tc>
      </w:tr>
      <w:tr>
        <w:trPr>
          <w:trHeight w:val="154"/>
        </w:trPr>
        <w:tc>
          <w:tcPr>
            <w:tcW w:w="2380" w:type="dxa"/>
            <w:vAlign w:val="bottom"/>
            <w:shd w:val="clear" w:color="auto" w:fill="EEEEEE"/>
          </w:tcPr>
          <w:p>
            <w:pPr>
              <w:ind w:left="100"/>
              <w:spacing w:after="0" w:line="154" w:lineRule="exact"/>
              <w:rPr>
                <w:sz w:val="20"/>
                <w:szCs w:val="20"/>
                <w:color w:val="auto"/>
              </w:rPr>
            </w:pPr>
            <w:r>
              <w:rPr>
                <w:rFonts w:ascii="Arial" w:cs="Arial" w:eastAsia="Arial" w:hAnsi="Arial"/>
                <w:sz w:val="14"/>
                <w:szCs w:val="14"/>
                <w:color w:val="auto"/>
              </w:rPr>
              <w:t>unaudited</w:t>
            </w:r>
          </w:p>
        </w:tc>
        <w:tc>
          <w:tcPr>
            <w:tcW w:w="1160" w:type="dxa"/>
            <w:vAlign w:val="bottom"/>
            <w:gridSpan w:val="2"/>
            <w:vMerge w:val="continue"/>
            <w:shd w:val="clear" w:color="auto" w:fill="EEEEEE"/>
          </w:tcPr>
          <w:p>
            <w:pPr>
              <w:spacing w:after="0"/>
              <w:rPr>
                <w:sz w:val="13"/>
                <w:szCs w:val="13"/>
                <w:color w:val="auto"/>
              </w:rPr>
            </w:pPr>
          </w:p>
        </w:tc>
        <w:tc>
          <w:tcPr>
            <w:tcW w:w="160" w:type="dxa"/>
            <w:vAlign w:val="bottom"/>
            <w:vMerge w:val="continue"/>
            <w:shd w:val="clear" w:color="auto" w:fill="EEEEEE"/>
          </w:tcPr>
          <w:p>
            <w:pPr>
              <w:spacing w:after="0"/>
              <w:rPr>
                <w:sz w:val="13"/>
                <w:szCs w:val="13"/>
                <w:color w:val="auto"/>
              </w:rPr>
            </w:pPr>
          </w:p>
        </w:tc>
        <w:tc>
          <w:tcPr>
            <w:tcW w:w="1000" w:type="dxa"/>
            <w:vAlign w:val="bottom"/>
            <w:gridSpan w:val="2"/>
            <w:vMerge w:val="continue"/>
            <w:shd w:val="clear" w:color="auto" w:fill="EEEEEE"/>
          </w:tcPr>
          <w:p>
            <w:pPr>
              <w:spacing w:after="0"/>
              <w:rPr>
                <w:sz w:val="13"/>
                <w:szCs w:val="13"/>
                <w:color w:val="auto"/>
              </w:rPr>
            </w:pPr>
          </w:p>
        </w:tc>
        <w:tc>
          <w:tcPr>
            <w:tcW w:w="1120" w:type="dxa"/>
            <w:vAlign w:val="bottom"/>
            <w:gridSpan w:val="2"/>
            <w:vMerge w:val="continue"/>
            <w:shd w:val="clear" w:color="auto" w:fill="EEEEEE"/>
          </w:tcPr>
          <w:p>
            <w:pPr>
              <w:spacing w:after="0"/>
              <w:rPr>
                <w:sz w:val="13"/>
                <w:szCs w:val="13"/>
                <w:color w:val="auto"/>
              </w:rPr>
            </w:pPr>
          </w:p>
        </w:tc>
        <w:tc>
          <w:tcPr>
            <w:tcW w:w="140" w:type="dxa"/>
            <w:vAlign w:val="bottom"/>
            <w:vMerge w:val="continue"/>
            <w:shd w:val="clear" w:color="auto" w:fill="EEEEEE"/>
          </w:tcPr>
          <w:p>
            <w:pPr>
              <w:spacing w:after="0"/>
              <w:rPr>
                <w:sz w:val="13"/>
                <w:szCs w:val="13"/>
                <w:color w:val="auto"/>
              </w:rPr>
            </w:pPr>
          </w:p>
        </w:tc>
        <w:tc>
          <w:tcPr>
            <w:tcW w:w="960" w:type="dxa"/>
            <w:vAlign w:val="bottom"/>
            <w:gridSpan w:val="2"/>
            <w:vMerge w:val="continue"/>
            <w:shd w:val="clear" w:color="auto" w:fill="EEEEEE"/>
          </w:tcPr>
          <w:p>
            <w:pPr>
              <w:spacing w:after="0"/>
              <w:rPr>
                <w:sz w:val="13"/>
                <w:szCs w:val="13"/>
                <w:color w:val="auto"/>
              </w:rPr>
            </w:pPr>
          </w:p>
        </w:tc>
        <w:tc>
          <w:tcPr>
            <w:tcW w:w="80" w:type="dxa"/>
            <w:vAlign w:val="bottom"/>
            <w:vMerge w:val="continue"/>
            <w:shd w:val="clear" w:color="auto" w:fill="EEEEEE"/>
          </w:tcPr>
          <w:p>
            <w:pPr>
              <w:spacing w:after="0"/>
              <w:rPr>
                <w:sz w:val="13"/>
                <w:szCs w:val="13"/>
                <w:color w:val="auto"/>
              </w:rPr>
            </w:pPr>
          </w:p>
        </w:tc>
        <w:tc>
          <w:tcPr>
            <w:tcW w:w="1020" w:type="dxa"/>
            <w:vAlign w:val="bottom"/>
            <w:gridSpan w:val="2"/>
            <w:vMerge w:val="continue"/>
            <w:shd w:val="clear" w:color="auto" w:fill="EEEEEE"/>
          </w:tcPr>
          <w:p>
            <w:pPr>
              <w:spacing w:after="0"/>
              <w:rPr>
                <w:sz w:val="13"/>
                <w:szCs w:val="13"/>
                <w:color w:val="auto"/>
              </w:rPr>
            </w:pPr>
          </w:p>
        </w:tc>
        <w:tc>
          <w:tcPr>
            <w:tcW w:w="120" w:type="dxa"/>
            <w:vAlign w:val="bottom"/>
            <w:vMerge w:val="continue"/>
            <w:shd w:val="clear" w:color="auto" w:fill="EEEEEE"/>
          </w:tcPr>
          <w:p>
            <w:pPr>
              <w:spacing w:after="0"/>
              <w:rPr>
                <w:sz w:val="13"/>
                <w:szCs w:val="13"/>
                <w:color w:val="auto"/>
              </w:rPr>
            </w:pPr>
          </w:p>
        </w:tc>
        <w:tc>
          <w:tcPr>
            <w:tcW w:w="1000" w:type="dxa"/>
            <w:vAlign w:val="bottom"/>
            <w:gridSpan w:val="2"/>
            <w:vMerge w:val="continue"/>
            <w:shd w:val="clear" w:color="auto" w:fill="EEEEEE"/>
          </w:tcPr>
          <w:p>
            <w:pPr>
              <w:spacing w:after="0"/>
              <w:rPr>
                <w:sz w:val="13"/>
                <w:szCs w:val="13"/>
                <w:color w:val="auto"/>
              </w:rPr>
            </w:pPr>
          </w:p>
        </w:tc>
        <w:tc>
          <w:tcPr>
            <w:tcW w:w="120" w:type="dxa"/>
            <w:vAlign w:val="bottom"/>
            <w:vMerge w:val="continue"/>
            <w:shd w:val="clear" w:color="auto" w:fill="EEEEEE"/>
          </w:tcPr>
          <w:p>
            <w:pPr>
              <w:spacing w:after="0"/>
              <w:rPr>
                <w:sz w:val="13"/>
                <w:szCs w:val="13"/>
                <w:color w:val="auto"/>
              </w:rPr>
            </w:pPr>
          </w:p>
        </w:tc>
        <w:tc>
          <w:tcPr>
            <w:tcW w:w="980" w:type="dxa"/>
            <w:vAlign w:val="bottom"/>
            <w:gridSpan w:val="2"/>
            <w:vMerge w:val="continue"/>
            <w:shd w:val="clear" w:color="auto" w:fill="EEEEEE"/>
          </w:tcPr>
          <w:p>
            <w:pPr>
              <w:spacing w:after="0"/>
              <w:rPr>
                <w:sz w:val="13"/>
                <w:szCs w:val="13"/>
                <w:color w:val="auto"/>
              </w:rPr>
            </w:pPr>
          </w:p>
        </w:tc>
        <w:tc>
          <w:tcPr>
            <w:tcW w:w="160" w:type="dxa"/>
            <w:vAlign w:val="bottom"/>
            <w:vMerge w:val="continue"/>
            <w:shd w:val="clear" w:color="auto" w:fill="EEEEEE"/>
          </w:tcPr>
          <w:p>
            <w:pPr>
              <w:spacing w:after="0"/>
              <w:rPr>
                <w:sz w:val="13"/>
                <w:szCs w:val="13"/>
                <w:color w:val="auto"/>
              </w:rPr>
            </w:pPr>
          </w:p>
        </w:tc>
        <w:tc>
          <w:tcPr>
            <w:tcW w:w="840" w:type="dxa"/>
            <w:vAlign w:val="bottom"/>
            <w:gridSpan w:val="2"/>
            <w:vMerge w:val="continue"/>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and combined financial statements have been retroactively adjusted.</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For the Six Months Ended December 31,</w:t>
            </w:r>
          </w:p>
        </w:tc>
      </w:tr>
      <w:tr>
        <w:trPr>
          <w:trHeight w:val="223"/>
        </w:trPr>
        <w:tc>
          <w:tcPr>
            <w:tcW w:w="6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6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gridSpan w:val="2"/>
          </w:tcPr>
          <w:p>
            <w:pPr>
              <w:spacing w:after="0"/>
              <w:rPr>
                <w:sz w:val="19"/>
                <w:szCs w:val="19"/>
                <w:color w:val="auto"/>
              </w:rPr>
            </w:pPr>
          </w:p>
        </w:tc>
      </w:tr>
      <w:tr>
        <w:trPr>
          <w:trHeight w:val="202"/>
        </w:trPr>
        <w:tc>
          <w:tcPr>
            <w:tcW w:w="6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1,685,389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1,337,472</w:t>
            </w:r>
          </w:p>
        </w:tc>
        <w:tc>
          <w:tcPr>
            <w:tcW w:w="80" w:type="dxa"/>
            <w:vAlign w:val="bottom"/>
          </w:tcPr>
          <w:p>
            <w:pPr>
              <w:spacing w:after="0"/>
              <w:rPr>
                <w:sz w:val="18"/>
                <w:szCs w:val="18"/>
                <w:color w:val="auto"/>
              </w:rPr>
            </w:pPr>
          </w:p>
        </w:tc>
      </w:tr>
      <w:tr>
        <w:trPr>
          <w:trHeight w:val="216"/>
        </w:trPr>
        <w:tc>
          <w:tcPr>
            <w:tcW w:w="6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cash used in operating activities: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Depreciation expense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8,894</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4,869</w:t>
            </w:r>
          </w:p>
        </w:tc>
        <w:tc>
          <w:tcPr>
            <w:tcW w:w="80" w:type="dxa"/>
            <w:vAlign w:val="bottom"/>
          </w:tcPr>
          <w:p>
            <w:pPr>
              <w:spacing w:after="0"/>
              <w:rPr>
                <w:sz w:val="18"/>
                <w:szCs w:val="18"/>
                <w:color w:val="auto"/>
              </w:rPr>
            </w:pPr>
          </w:p>
        </w:tc>
      </w:tr>
      <w:tr>
        <w:trPr>
          <w:trHeight w:val="216"/>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Inventory reserve</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55,958</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Credit loss reserve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157,489</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Amortization of debt issuance costs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44,203</w:t>
            </w:r>
          </w:p>
        </w:tc>
        <w:tc>
          <w:tcPr>
            <w:tcW w:w="2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Non-cash operating lease expense</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(11,425)</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27,567</w:t>
            </w: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Preferred stock warrant expense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8,047</w:t>
            </w:r>
          </w:p>
        </w:tc>
        <w:tc>
          <w:tcPr>
            <w:tcW w:w="80" w:type="dxa"/>
            <w:vAlign w:val="bottom"/>
          </w:tcPr>
          <w:p>
            <w:pPr>
              <w:spacing w:after="0"/>
              <w:rPr>
                <w:sz w:val="18"/>
                <w:szCs w:val="18"/>
                <w:color w:val="auto"/>
              </w:rPr>
            </w:pPr>
          </w:p>
        </w:tc>
      </w:tr>
      <w:tr>
        <w:trPr>
          <w:trHeight w:val="216"/>
        </w:trPr>
        <w:tc>
          <w:tcPr>
            <w:tcW w:w="65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(7,727,169)</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(416,040)</w:t>
            </w:r>
          </w:p>
        </w:tc>
      </w:tr>
      <w:tr>
        <w:trPr>
          <w:trHeight w:val="216"/>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(6,898,717)</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(3,003,928)</w:t>
            </w: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Prepayments and other current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(2,111,371)</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(1,522,806)</w:t>
            </w:r>
          </w:p>
        </w:tc>
      </w:tr>
      <w:tr>
        <w:trPr>
          <w:trHeight w:val="216"/>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Non-current prepayments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215,834</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(229,599)</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(96,930)</w:t>
            </w:r>
          </w:p>
        </w:tc>
      </w:tr>
      <w:tr>
        <w:trPr>
          <w:trHeight w:val="216"/>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604,965</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1,463,175</w:t>
            </w: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Credit cards payable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(34,001)</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(48,702)</w:t>
            </w:r>
          </w:p>
        </w:tc>
      </w:tr>
      <w:tr>
        <w:trPr>
          <w:trHeight w:val="216"/>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Customer deposit</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(69,246)</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(66,658)</w:t>
            </w:r>
          </w:p>
        </w:tc>
      </w:tr>
      <w:tr>
        <w:trPr>
          <w:trHeight w:val="216"/>
        </w:trPr>
        <w:tc>
          <w:tcPr>
            <w:tcW w:w="6540" w:type="dxa"/>
            <w:vAlign w:val="bottom"/>
          </w:tcPr>
          <w:p>
            <w:pPr>
              <w:ind w:left="540"/>
              <w:spacing w:after="0"/>
              <w:rPr>
                <w:sz w:val="20"/>
                <w:szCs w:val="20"/>
                <w:color w:val="auto"/>
              </w:rPr>
            </w:pPr>
            <w:r>
              <w:rPr>
                <w:rFonts w:ascii="Arial" w:cs="Arial" w:eastAsia="Arial" w:hAnsi="Arial"/>
                <w:sz w:val="18"/>
                <w:szCs w:val="18"/>
                <w:color w:val="auto"/>
              </w:rPr>
              <w:t>Other payables and accrued liabilities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2,412,063</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325,024</w:t>
            </w:r>
          </w:p>
        </w:tc>
        <w:tc>
          <w:tcPr>
            <w:tcW w:w="80" w:type="dxa"/>
            <w:vAlign w:val="bottom"/>
          </w:tcPr>
          <w:p>
            <w:pPr>
              <w:spacing w:after="0"/>
              <w:rPr>
                <w:sz w:val="18"/>
                <w:szCs w:val="18"/>
                <w:color w:val="auto"/>
              </w:rPr>
            </w:pPr>
          </w:p>
        </w:tc>
      </w:tr>
      <w:tr>
        <w:trPr>
          <w:trHeight w:val="230"/>
        </w:trPr>
        <w:tc>
          <w:tcPr>
            <w:tcW w:w="65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Income taxes payable</w:t>
            </w:r>
          </w:p>
        </w:tc>
        <w:tc>
          <w:tcPr>
            <w:tcW w:w="1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(416,310)</w:t>
            </w:r>
          </w:p>
        </w:tc>
        <w:tc>
          <w:tcPr>
            <w:tcW w:w="2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521,843</w:t>
            </w:r>
          </w:p>
        </w:tc>
        <w:tc>
          <w:tcPr>
            <w:tcW w:w="80" w:type="dxa"/>
            <w:vAlign w:val="bottom"/>
            <w:shd w:val="clear" w:color="auto" w:fill="EEEEEE"/>
          </w:tcPr>
          <w:p>
            <w:pPr>
              <w:spacing w:after="0"/>
              <w:rPr>
                <w:sz w:val="19"/>
                <w:szCs w:val="19"/>
                <w:color w:val="auto"/>
              </w:rPr>
            </w:pPr>
          </w:p>
        </w:tc>
      </w:tr>
      <w:tr>
        <w:trPr>
          <w:trHeight w:val="209"/>
        </w:trPr>
        <w:tc>
          <w:tcPr>
            <w:tcW w:w="6540" w:type="dxa"/>
            <w:vAlign w:val="bottom"/>
          </w:tcPr>
          <w:p>
            <w:pPr>
              <w:ind w:left="54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(12,243,043)</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(1,467,067)</w:t>
            </w:r>
          </w:p>
        </w:tc>
        <w:tc>
          <w:tcPr>
            <w:tcW w:w="100" w:type="dxa"/>
            <w:vAlign w:val="bottom"/>
            <w:gridSpan w:val="2"/>
          </w:tcPr>
          <w:p>
            <w:pPr>
              <w:spacing w:after="0"/>
              <w:rPr>
                <w:sz w:val="18"/>
                <w:szCs w:val="18"/>
                <w:color w:val="auto"/>
              </w:rPr>
            </w:pPr>
          </w:p>
        </w:tc>
      </w:tr>
      <w:tr>
        <w:trPr>
          <w:trHeight w:val="216"/>
        </w:trPr>
        <w:tc>
          <w:tcPr>
            <w:tcW w:w="65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equipment</w:t>
            </w:r>
          </w:p>
        </w:tc>
        <w:tc>
          <w:tcPr>
            <w:tcW w:w="1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(56,424)</w:t>
            </w:r>
          </w:p>
        </w:tc>
        <w:tc>
          <w:tcPr>
            <w:tcW w:w="220" w:type="dxa"/>
            <w:vAlign w:val="bottom"/>
            <w:shd w:val="clear" w:color="auto" w:fill="EEEEEE"/>
          </w:tcPr>
          <w:p>
            <w:pPr>
              <w:spacing w:after="0"/>
              <w:rPr>
                <w:sz w:val="19"/>
                <w:szCs w:val="19"/>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(55,751)</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(56,424)</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(55,751)</w:t>
            </w:r>
          </w:p>
        </w:tc>
        <w:tc>
          <w:tcPr>
            <w:tcW w:w="100" w:type="dxa"/>
            <w:vAlign w:val="bottom"/>
            <w:gridSpan w:val="2"/>
          </w:tcPr>
          <w:p>
            <w:pPr>
              <w:spacing w:after="0"/>
              <w:rPr>
                <w:sz w:val="18"/>
                <w:szCs w:val="18"/>
                <w:color w:val="auto"/>
              </w:rPr>
            </w:pPr>
          </w:p>
        </w:tc>
      </w:tr>
      <w:tr>
        <w:trPr>
          <w:trHeight w:val="216"/>
        </w:trPr>
        <w:tc>
          <w:tcPr>
            <w:tcW w:w="65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related parties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157,624</w:t>
            </w:r>
          </w:p>
        </w:tc>
        <w:tc>
          <w:tcPr>
            <w:tcW w:w="80" w:type="dxa"/>
            <w:vAlign w:val="bottom"/>
            <w:shd w:val="clear" w:color="auto" w:fill="EEEEEE"/>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Payments to related parties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(120,498)</w:t>
            </w:r>
          </w:p>
        </w:tc>
      </w:tr>
      <w:tr>
        <w:trPr>
          <w:trHeight w:val="216"/>
        </w:trPr>
        <w:tc>
          <w:tcPr>
            <w:tcW w:w="6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short-term loans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1,604,292</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15,100,625</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Payments of financing fees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(796,035)</w:t>
            </w:r>
          </w:p>
        </w:tc>
        <w:tc>
          <w:tcPr>
            <w:tcW w:w="2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short-term loans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(1,767,061)</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(14,407,495)</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Payments on long-term loans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(17,059)</w:t>
            </w:r>
          </w:p>
        </w:tc>
        <w:tc>
          <w:tcPr>
            <w:tcW w:w="2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long-term loan</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7,715,383</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Shares issued</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359,000</w:t>
            </w:r>
          </w:p>
        </w:tc>
        <w:tc>
          <w:tcPr>
            <w:tcW w:w="80" w:type="dxa"/>
            <w:vAlign w:val="bottom"/>
          </w:tcPr>
          <w:p>
            <w:pPr>
              <w:spacing w:after="0"/>
              <w:rPr>
                <w:sz w:val="19"/>
                <w:szCs w:val="19"/>
                <w:color w:val="auto"/>
              </w:rPr>
            </w:pPr>
          </w:p>
        </w:tc>
      </w:tr>
      <w:tr>
        <w:trPr>
          <w:trHeight w:val="209"/>
        </w:trPr>
        <w:tc>
          <w:tcPr>
            <w:tcW w:w="654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6,739,520</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1,089,256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CHANGES IN CASH</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(5,559,947)</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(433,562)</w:t>
            </w:r>
          </w:p>
        </w:tc>
      </w:tr>
      <w:tr>
        <w:trPr>
          <w:trHeight w:val="216"/>
        </w:trPr>
        <w:tc>
          <w:tcPr>
            <w:tcW w:w="6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beginning of year</w:t>
            </w:r>
          </w:p>
        </w:tc>
        <w:tc>
          <w:tcPr>
            <w:tcW w:w="1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6,651,705</w:t>
            </w:r>
          </w:p>
        </w:tc>
        <w:tc>
          <w:tcPr>
            <w:tcW w:w="2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977,635</w:t>
            </w:r>
          </w:p>
        </w:tc>
        <w:tc>
          <w:tcPr>
            <w:tcW w:w="80" w:type="dxa"/>
            <w:vAlign w:val="bottom"/>
            <w:shd w:val="clear" w:color="auto" w:fill="EEEEEE"/>
          </w:tcPr>
          <w:p>
            <w:pPr>
              <w:spacing w:after="0"/>
              <w:rPr>
                <w:sz w:val="19"/>
                <w:szCs w:val="19"/>
                <w:color w:val="auto"/>
              </w:rPr>
            </w:pPr>
          </w:p>
        </w:tc>
      </w:tr>
      <w:tr>
        <w:trPr>
          <w:trHeight w:val="209"/>
        </w:trPr>
        <w:tc>
          <w:tcPr>
            <w:tcW w:w="6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end of year</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1,091,758</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544,073</w:t>
            </w:r>
          </w:p>
        </w:tc>
        <w:tc>
          <w:tcPr>
            <w:tcW w:w="80" w:type="dxa"/>
            <w:vAlign w:val="bottom"/>
            <w:shd w:val="clear" w:color="auto" w:fill="EEEEEE"/>
          </w:tcPr>
          <w:p>
            <w:pPr>
              <w:spacing w:after="0"/>
              <w:rPr>
                <w:sz w:val="21"/>
                <w:szCs w:val="21"/>
                <w:color w:val="auto"/>
              </w:rPr>
            </w:pPr>
          </w:p>
        </w:tc>
      </w:tr>
      <w:tr>
        <w:trPr>
          <w:trHeight w:val="20"/>
        </w:trPr>
        <w:tc>
          <w:tcPr>
            <w:tcW w:w="65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83"/>
        </w:trPr>
        <w:tc>
          <w:tcPr>
            <w:tcW w:w="6540" w:type="dxa"/>
            <w:vAlign w:val="bottom"/>
          </w:tcPr>
          <w:p>
            <w:pPr>
              <w:ind w:left="180"/>
              <w:spacing w:after="0"/>
              <w:rPr>
                <w:sz w:val="20"/>
                <w:szCs w:val="20"/>
                <w:color w:val="auto"/>
              </w:rPr>
            </w:pPr>
            <w:r>
              <w:rPr>
                <w:rFonts w:ascii="Arial" w:cs="Arial" w:eastAsia="Arial" w:hAnsi="Arial"/>
                <w:sz w:val="18"/>
                <w:szCs w:val="18"/>
                <w:color w:val="auto"/>
              </w:rPr>
              <w:t>Cash paid for income tax</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1,082,000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654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1120" w:type="dxa"/>
            <w:vAlign w:val="bottom"/>
            <w:tcBorders>
              <w:top w:val="single" w:sz="8" w:color="EEEEEE"/>
              <w:bottom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49,538</w:t>
            </w:r>
          </w:p>
        </w:tc>
        <w:tc>
          <w:tcPr>
            <w:tcW w:w="100" w:type="dxa"/>
            <w:vAlign w:val="bottom"/>
            <w:tcBorders>
              <w:top w:val="single" w:sz="8" w:color="EEEEEE"/>
              <w:bottom w:val="single" w:sz="8" w:color="EEEEEE"/>
            </w:tcBorders>
            <w:gridSpan w:val="2"/>
            <w:shd w:val="clear" w:color="auto" w:fill="EEEEEE"/>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NON-CASH TRANSACTIONS:</w:t>
            </w: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Right of use assets acquired under new operating leases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2,346,200</w:t>
            </w:r>
          </w:p>
        </w:tc>
        <w:tc>
          <w:tcPr>
            <w:tcW w:w="8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June 30, 2021 and for the Three and Six Months Ended December 31, 2021 and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iPower Inc., formerly known as BZRTH Inc., a Nevada corporation (the “Company”), was incorporated on April 11, 2018. The Company is principally engaged in the marketing and sale of advanced indoor and greenhouse lighting, ventilation systems, nutrients, growing media, grow tents, trimming machines, pumps and accessories mainly in the North America.</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agreed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was considered a variable interest entity (“VIE”). On May 18, 2021, the Company acquired 100% equity ownership of E Marketing. As a result, E Marketing has become the Company’s wholly owned subsidiary.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GPM was considered a VIE. On May 18, 2021, the Company acquired 100% equity ownership of GPM. As a result, GPM has become the Company’s wholly owned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2022, or for any other interim period or for any other future year.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right="20"/>
        <w:spacing w:after="0" w:line="342" w:lineRule="auto"/>
        <w:rPr>
          <w:sz w:val="20"/>
          <w:szCs w:val="20"/>
          <w:color w:val="auto"/>
        </w:rPr>
      </w:pPr>
      <w:r>
        <w:rPr>
          <w:rFonts w:ascii="Arial" w:cs="Arial" w:eastAsia="Arial" w:hAnsi="Arial"/>
          <w:sz w:val="16"/>
          <w:szCs w:val="16"/>
          <w:color w:val="auto"/>
        </w:rPr>
        <w:t>These unaudited condensed consolidated financial statements should be read in conjunction with the Company’s audited consolidated financial statements and the notes thereto included in the Annual Report for the year ended June 30, 2021, which are included in Form 10-K filed on September 28,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E Marketing Solution Inc. and Global Product Marketing Inc. All inter-company balances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prior period expense accounts have been reclassified in conformity with current period presentation including reclassification of $1.10 million from general administrative expenses to selling and fulfillment expenses for the six months ended December 31, 2020. The reclassification had no effect to the company’s unaudited condensed consolidated statements of operations, statements of cash flow or statements of changes in 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currently insured by the Federal Deposit Insurance Corporation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breaches any of its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adopted Accounting Standards Codification (“ASC”) 606 since its inception on April 11, 2018 and recognizes revenue from product sales in the United States, Canada, Europe, and other regions,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Total advertising and promotional costs included in selling and fulfillment expenses for the three and six months were as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3840" w:type="dxa"/>
            <w:vAlign w:val="bottom"/>
            <w:gridSpan w:val="6"/>
          </w:tcPr>
          <w:p>
            <w:pPr>
              <w:ind w:left="480"/>
              <w:spacing w:after="0"/>
              <w:rPr>
                <w:sz w:val="20"/>
                <w:szCs w:val="20"/>
                <w:color w:val="auto"/>
              </w:rPr>
            </w:pPr>
            <w:r>
              <w:rPr>
                <w:rFonts w:ascii="Arial" w:cs="Arial" w:eastAsia="Arial" w:hAnsi="Arial"/>
                <w:sz w:val="18"/>
                <w:szCs w:val="18"/>
                <w:color w:val="auto"/>
              </w:rPr>
              <w:t>Three Months Ended December 31,</w:t>
            </w:r>
          </w:p>
        </w:tc>
        <w:tc>
          <w:tcPr>
            <w:tcW w:w="300" w:type="dxa"/>
            <w:vAlign w:val="bottom"/>
          </w:tcPr>
          <w:p>
            <w:pPr>
              <w:spacing w:after="0"/>
              <w:rPr>
                <w:sz w:val="20"/>
                <w:szCs w:val="20"/>
                <w:color w:val="auto"/>
              </w:rPr>
            </w:pPr>
          </w:p>
        </w:tc>
        <w:tc>
          <w:tcPr>
            <w:tcW w:w="3260" w:type="dxa"/>
            <w:vAlign w:val="bottom"/>
            <w:gridSpan w:val="5"/>
          </w:tcPr>
          <w:p>
            <w:pPr>
              <w:ind w:left="220"/>
              <w:spacing w:after="0"/>
              <w:rPr>
                <w:sz w:val="20"/>
                <w:szCs w:val="20"/>
                <w:color w:val="auto"/>
              </w:rPr>
            </w:pPr>
            <w:r>
              <w:rPr>
                <w:rFonts w:ascii="Arial" w:cs="Arial" w:eastAsia="Arial" w:hAnsi="Arial"/>
                <w:sz w:val="18"/>
                <w:szCs w:val="18"/>
                <w:color w:val="auto"/>
              </w:rPr>
              <w:t>Six Months Ended December 31,</w:t>
            </w:r>
          </w:p>
        </w:tc>
      </w:tr>
      <w:tr>
        <w:trPr>
          <w:trHeight w:val="223"/>
        </w:trPr>
        <w:tc>
          <w:tcPr>
            <w:tcW w:w="3840" w:type="dxa"/>
            <w:vAlign w:val="bottom"/>
            <w:tcBorders>
              <w:bottom w:val="single" w:sz="8" w:color="EEEEEE"/>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EEEEE"/>
            </w:tcBorders>
          </w:tcPr>
          <w:p>
            <w:pPr>
              <w:spacing w:after="0"/>
              <w:rPr>
                <w:sz w:val="19"/>
                <w:szCs w:val="19"/>
                <w:color w:val="auto"/>
              </w:rPr>
            </w:pPr>
          </w:p>
        </w:tc>
      </w:tr>
      <w:tr>
        <w:trPr>
          <w:trHeight w:val="223"/>
        </w:trPr>
        <w:tc>
          <w:tcPr>
            <w:tcW w:w="38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Advertising and promotion</w:t>
            </w:r>
          </w:p>
        </w:tc>
        <w:tc>
          <w:tcPr>
            <w:tcW w:w="1000" w:type="dxa"/>
            <w:vAlign w:val="bottom"/>
            <w:tcBorders>
              <w:bottom w:val="single" w:sz="8" w:color="auto"/>
            </w:tcBorders>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578,565</w:t>
            </w:r>
          </w:p>
        </w:tc>
        <w:tc>
          <w:tcPr>
            <w:tcW w:w="34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391,907</w:t>
            </w:r>
          </w:p>
        </w:tc>
        <w:tc>
          <w:tcPr>
            <w:tcW w:w="3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1,211,981</w:t>
            </w:r>
          </w:p>
        </w:tc>
        <w:tc>
          <w:tcPr>
            <w:tcW w:w="32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720,956</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net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six months ended December 31, 2021, sales through Amazon to Canada had increased to approximately 14% of the Company’s total sales. The Company’s long-lived assets are all located in California, United States, and majority of the Company’s revenues are derived from within the United States. Therefore, no geographical segments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upon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amends the guidance for the derivatives scope exception for contracts in an entity’s own equity for purposes of reducing form-over-substance-based accounting conclusions. In addition, this ASU improves and amends the related EPS guidance. This standard becomes effective for the Company on July 1, 2022, including interim periods within those fiscal years. Adoption is either a modified retrospective method or a fully retrospective method of transition. The Company does not expect the adoption of this standard have a material impact on the consolidated financial statements.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Adoption of this standard did not have a material impact on the consolidated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w w:val="95"/>
              </w:rPr>
              <w:t>Accounts receivable, net for the Company consisted of the following as of the dates indicated below:</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66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10"/>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15,623,516</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100" w:type="dxa"/>
            <w:vAlign w:val="bottom"/>
            <w:shd w:val="clear" w:color="auto" w:fill="EEEEEE"/>
          </w:tcPr>
          <w:p>
            <w:pPr>
              <w:spacing w:after="0"/>
              <w:rPr>
                <w:sz w:val="18"/>
                <w:szCs w:val="18"/>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18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(70,000)</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15,553,516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was $70,000 allowance for credit loss for the three and six months ended December 31, 2021 and $0 recorded for the year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June 30, 2021, inventories consisted of finished goods ready for sale, net of allowance for obsolescence, amounted to $19,908,500 and $13,065,741,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June 30, 2021, allowance for obsolescence was $151,532 and $95,574, respectively. There was $55,958 allowance for credit loss for the three and six months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Prepayments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June 30, 2021, prepayments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28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240" w:type="dxa"/>
            <w:vAlign w:val="bottom"/>
            <w:tcBorders>
              <w:bottom w:val="single" w:sz="8" w:color="EEEEEE"/>
            </w:tcBorders>
          </w:tcPr>
          <w:p>
            <w:pPr>
              <w:spacing w:after="0"/>
              <w:rPr>
                <w:sz w:val="20"/>
                <w:szCs w:val="20"/>
                <w:color w:val="auto"/>
              </w:rPr>
            </w:pPr>
          </w:p>
        </w:tc>
        <w:tc>
          <w:tcPr>
            <w:tcW w:w="24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09"/>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Advance to suppliers</w:t>
            </w:r>
          </w:p>
        </w:tc>
        <w:tc>
          <w:tcPr>
            <w:tcW w:w="24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5,697,217</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3,969,625</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1,107,154</w:t>
            </w: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723,375</w:t>
            </w:r>
          </w:p>
        </w:tc>
        <w:tc>
          <w:tcPr>
            <w:tcW w:w="80" w:type="dxa"/>
            <w:vAlign w:val="bottom"/>
          </w:tcPr>
          <w:p>
            <w:pPr>
              <w:spacing w:after="0"/>
              <w:rPr>
                <w:sz w:val="19"/>
                <w:szCs w:val="19"/>
                <w:color w:val="auto"/>
              </w:rPr>
            </w:pPr>
          </w:p>
        </w:tc>
      </w:tr>
      <w:tr>
        <w:trPr>
          <w:trHeight w:val="209"/>
        </w:trPr>
        <w:tc>
          <w:tcPr>
            <w:tcW w:w="524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6,804,371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4,693,000</w:t>
            </w:r>
          </w:p>
        </w:tc>
        <w:tc>
          <w:tcPr>
            <w:tcW w:w="8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receivables consisted of delivery fees of $197,416 and $178,581 and receivables from two unrelated parties for their use of the Company’s courier accounts at December 31, 2021 and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Non-current prepayments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Non-current prepayments included $1.06 million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$84,425 down payment on a four-year car lease. As of December 31, 2021 and June 30, 2021, total non-current prepayments were $1,141,458 and $1,357,292, respectively. For the three and six months ended December 31, 2021, the Company recorded amortization expenses of $107,917 and $215,834, respectively. For the three and six months ended December 31, 2020, the Company recorded amortization expenses of $0.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$3,000,000. The Restated RPA bears a discount rate of 3.055555%, subject to a rebate of 0.0277% per day. This revolving credit facility is secured by all of the Company’s assets and guaranteed by Chenlong Tan, the CEO and one of the Company’s major shareholders and founders. Pursuant to the agreement, all purchases of accounts receivable are without recourse to the Company, and WFC assumes the risk of nonpayment of the accounts receivable due to a customer’s financial inability to pay the accounts receivable or the customer’s insolvency but not the risk of non-payment of the accounts receivable for any other reason. The Company is obligated to collect the accounts receivables and to repurchase or pay back the amount drawn down if the accounts receivable are not collected.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During the three months ended September 30, 2021, the Company terminated the Restated RPA and paid off the balance due to WFC.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June 30, 2021, the outstanding balance due under the RPA was $0 and $162,769,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loan payable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As of December 31, 2021 and June 30, 2021, the outstanding balance of the SBA Note was $470,756 and $487,815, which included a current portion of $29,244 and a non-current portion of $441,512 and $458,571,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Asset-based revolving loan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2021, the Company entered to a Credit Agreement with JPMorgan Chase Bank, N.A., as administrative agent, issuing bank and swingline lender, for an asset-based revolving loan (“ABL”) of up to $25 million with key terms listed as follows:</w:t>
      </w:r>
    </w:p>
    <w:p>
      <w:pPr>
        <w:spacing w:after="0" w:line="170" w:lineRule="exact"/>
        <w:rPr>
          <w:sz w:val="20"/>
          <w:szCs w:val="20"/>
          <w:color w:val="auto"/>
        </w:rPr>
      </w:pPr>
    </w:p>
    <w:p>
      <w:pPr>
        <w:ind w:left="1480" w:hanging="33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Borrowing base equal to the sum of</w:t>
      </w:r>
    </w:p>
    <w:p>
      <w:pPr>
        <w:spacing w:after="0" w:line="225" w:lineRule="exact"/>
        <w:rPr>
          <w:rFonts w:ascii="Arial" w:cs="Arial" w:eastAsia="Arial" w:hAnsi="Arial"/>
          <w:sz w:val="18"/>
          <w:szCs w:val="18"/>
          <w:color w:val="auto"/>
        </w:rPr>
      </w:pPr>
    </w:p>
    <w:p>
      <w:pPr>
        <w:ind w:left="2160" w:hanging="343"/>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Up to 90% of eligible credit card receivables</w:t>
      </w:r>
    </w:p>
    <w:p>
      <w:pPr>
        <w:spacing w:after="0" w:line="225" w:lineRule="exact"/>
        <w:rPr>
          <w:rFonts w:ascii="Arial" w:cs="Arial" w:eastAsia="Arial" w:hAnsi="Arial"/>
          <w:sz w:val="18"/>
          <w:szCs w:val="18"/>
          <w:color w:val="auto"/>
        </w:rPr>
      </w:pPr>
    </w:p>
    <w:p>
      <w:pPr>
        <w:ind w:left="2160" w:hanging="343"/>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Up to 85% of eligible trade accounts receivable</w:t>
      </w:r>
    </w:p>
    <w:p>
      <w:pPr>
        <w:spacing w:after="0" w:line="225" w:lineRule="exact"/>
        <w:rPr>
          <w:rFonts w:ascii="Arial" w:cs="Arial" w:eastAsia="Arial" w:hAnsi="Arial"/>
          <w:sz w:val="18"/>
          <w:szCs w:val="18"/>
          <w:color w:val="auto"/>
        </w:rPr>
      </w:pPr>
    </w:p>
    <w:p>
      <w:pPr>
        <w:ind w:left="2160" w:hanging="343"/>
        <w:spacing w:after="0"/>
        <w:tabs>
          <w:tab w:leader="none" w:pos="2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Up to the lesser of (i) 65% of cost of eligible inventory or (ii) 85% of net orderly liquidation value of eligible inventory</w:t>
      </w:r>
    </w:p>
    <w:p>
      <w:pPr>
        <w:spacing w:after="0" w:line="34" w:lineRule="exact"/>
        <w:rPr>
          <w:rFonts w:ascii="Arial" w:cs="Arial" w:eastAsia="Arial" w:hAnsi="Arial"/>
          <w:sz w:val="17"/>
          <w:szCs w:val="17"/>
          <w:color w:val="auto"/>
        </w:rPr>
      </w:pPr>
    </w:p>
    <w:p>
      <w:pPr>
        <w:ind w:left="1480" w:hanging="33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 of between LIBOR plus 2% and LIBOR plus 2.25% depending on utilization</w:t>
      </w:r>
    </w:p>
    <w:p>
      <w:pPr>
        <w:spacing w:after="0" w:line="9" w:lineRule="exact"/>
        <w:rPr>
          <w:rFonts w:ascii="Arial" w:cs="Arial" w:eastAsia="Arial" w:hAnsi="Arial"/>
          <w:sz w:val="18"/>
          <w:szCs w:val="18"/>
          <w:color w:val="auto"/>
        </w:rPr>
      </w:pPr>
    </w:p>
    <w:p>
      <w:pPr>
        <w:ind w:left="1480" w:hanging="33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Undrawn fee of between 0.25% and 0.375% depending on utilization</w:t>
      </w:r>
    </w:p>
    <w:p>
      <w:pPr>
        <w:spacing w:after="0" w:line="9" w:lineRule="exact"/>
        <w:rPr>
          <w:rFonts w:ascii="Arial" w:cs="Arial" w:eastAsia="Arial" w:hAnsi="Arial"/>
          <w:sz w:val="18"/>
          <w:szCs w:val="18"/>
          <w:color w:val="auto"/>
        </w:rPr>
      </w:pPr>
    </w:p>
    <w:p>
      <w:pPr>
        <w:ind w:left="1480" w:hanging="33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Maturity Date of November 12, 2024</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ABL includes an accordion feature that allows the Company to borrow up to an additional $25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the term of the ABL. For the three and six months ended December 31, 2021, the Company recorded $44,203 of amortization of debt discount and $30,909 of interest expense. As of December 31, 2021, the outstanding amount of the long-term revolving loan payable, net of debt discount, was $6,963,551 and the interest payable was $30,909, which is paid monthly.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 2018, the Company acquired certain assets and assumed liabilities from BizRight, LLC, an entity owned and managed by the founders and officers of the Company and the purchase price was recorded as payable due to related parties. During the six months ended December 31, 2020, the Company recorded proceeds of $157,624 and payments of $120,498, respectively. The Company had paid off the amount due to related party during the quarter ended June 30, 2021. The amount due to related parties was $0 as of December 31, 2021 and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President of the United States signed into law H.R.1, formerly known as the Tax Cuts and Jobs Act (the “Tax Legislation”). The Tax Legislation significantly revised the U.S. tax code by (i) lowering the U.S. federal statutory income tax rate from 35% to 21%, (ii) implementing a territorial tax system, (iii) imposing a one-time transition tax on deemed repatriated earnings of foreign subsidiaries, (iv) requiring a current inclusion of global intangible low taxed income of certain earnings of controlled foreign corporations in U.S. federal taxable income, (v) creating the base erosion anti-abuse tax regime, (vi) implementing bonus depreciation that will allow for full expensing of qualified property, and (vii) limiting deductibility of interest and executive compensation expense, among other changes. The Company has computed its tax expenses using the new statutory rate effective on January 1, 2018 of 21%.</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provisions of the new legislation include, but are not limited to, limiting deductibility of interest and executive compensation expense. These additional items have been considered in the income tax provision for the six months ended December 31, 2021 and 2020 and the impact was not material to the overall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three and six months ended December 31, 2021 and 2020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3840" w:type="dxa"/>
            <w:vAlign w:val="bottom"/>
            <w:gridSpan w:val="6"/>
          </w:tcPr>
          <w:p>
            <w:pPr>
              <w:ind w:left="480"/>
              <w:spacing w:after="0"/>
              <w:rPr>
                <w:sz w:val="20"/>
                <w:szCs w:val="20"/>
                <w:color w:val="auto"/>
              </w:rPr>
            </w:pPr>
            <w:r>
              <w:rPr>
                <w:rFonts w:ascii="Arial" w:cs="Arial" w:eastAsia="Arial" w:hAnsi="Arial"/>
                <w:sz w:val="18"/>
                <w:szCs w:val="18"/>
                <w:color w:val="auto"/>
              </w:rPr>
              <w:t>Three Months Ended December 31,</w:t>
            </w:r>
          </w:p>
        </w:tc>
        <w:tc>
          <w:tcPr>
            <w:tcW w:w="300" w:type="dxa"/>
            <w:vAlign w:val="bottom"/>
          </w:tcPr>
          <w:p>
            <w:pPr>
              <w:spacing w:after="0"/>
              <w:rPr>
                <w:sz w:val="20"/>
                <w:szCs w:val="20"/>
                <w:color w:val="auto"/>
              </w:rPr>
            </w:pPr>
          </w:p>
        </w:tc>
        <w:tc>
          <w:tcPr>
            <w:tcW w:w="3260" w:type="dxa"/>
            <w:vAlign w:val="bottom"/>
            <w:gridSpan w:val="6"/>
          </w:tcPr>
          <w:p>
            <w:pPr>
              <w:ind w:left="220"/>
              <w:spacing w:after="0"/>
              <w:rPr>
                <w:sz w:val="20"/>
                <w:szCs w:val="20"/>
                <w:color w:val="auto"/>
              </w:rPr>
            </w:pPr>
            <w:r>
              <w:rPr>
                <w:rFonts w:ascii="Arial" w:cs="Arial" w:eastAsia="Arial" w:hAnsi="Arial"/>
                <w:sz w:val="18"/>
                <w:szCs w:val="18"/>
                <w:color w:val="auto"/>
              </w:rPr>
              <w:t>Six Months Ended December 31,</w:t>
            </w:r>
          </w:p>
        </w:tc>
      </w:tr>
      <w:tr>
        <w:trPr>
          <w:trHeight w:val="223"/>
        </w:trPr>
        <w:tc>
          <w:tcPr>
            <w:tcW w:w="3840" w:type="dxa"/>
            <w:vAlign w:val="bottom"/>
            <w:tcBorders>
              <w:bottom w:val="single" w:sz="8" w:color="EEEEEE"/>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222,339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155,348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456,968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357,351</w:t>
            </w:r>
          </w:p>
        </w:tc>
        <w:tc>
          <w:tcPr>
            <w:tcW w:w="80" w:type="dxa"/>
            <w:vAlign w:val="bottom"/>
          </w:tcPr>
          <w:p>
            <w:pPr>
              <w:spacing w:after="0"/>
              <w:rPr>
                <w:sz w:val="18"/>
                <w:szCs w:val="18"/>
                <w:color w:val="auto"/>
              </w:rPr>
            </w:pPr>
          </w:p>
        </w:tc>
      </w:tr>
      <w:tr>
        <w:trPr>
          <w:trHeight w:val="229"/>
        </w:trPr>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States</w:t>
            </w:r>
          </w:p>
        </w:tc>
        <w:tc>
          <w:tcPr>
            <w:tcW w:w="10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100,376</w:t>
            </w: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71,582</w:t>
            </w:r>
          </w:p>
        </w:tc>
        <w:tc>
          <w:tcPr>
            <w:tcW w:w="3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208,722</w:t>
            </w:r>
          </w:p>
        </w:tc>
        <w:tc>
          <w:tcPr>
            <w:tcW w:w="3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165,523</w:t>
            </w:r>
          </w:p>
        </w:tc>
        <w:tc>
          <w:tcPr>
            <w:tcW w:w="80" w:type="dxa"/>
            <w:vAlign w:val="bottom"/>
            <w:shd w:val="clear" w:color="auto" w:fill="EEEEEE"/>
          </w:tcPr>
          <w:p>
            <w:pPr>
              <w:spacing w:after="0"/>
              <w:rPr>
                <w:sz w:val="19"/>
                <w:szCs w:val="19"/>
                <w:color w:val="auto"/>
              </w:rPr>
            </w:pPr>
          </w:p>
        </w:tc>
      </w:tr>
      <w:tr>
        <w:trPr>
          <w:trHeight w:val="210"/>
        </w:trPr>
        <w:tc>
          <w:tcPr>
            <w:tcW w:w="38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current income tax provision</w:t>
            </w: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322,715</w:t>
            </w:r>
          </w:p>
        </w:tc>
        <w:tc>
          <w:tcPr>
            <w:tcW w:w="3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226,930</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665,690</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522,874</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Deferred:</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States</w:t>
            </w:r>
          </w:p>
        </w:tc>
        <w:tc>
          <w:tcPr>
            <w:tcW w:w="10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38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taxes</w:t>
            </w: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gridSpan w:val="2"/>
          </w:tcPr>
          <w:p>
            <w:pPr>
              <w:spacing w:after="0"/>
              <w:rPr>
                <w:sz w:val="18"/>
                <w:szCs w:val="18"/>
                <w:color w:val="auto"/>
              </w:rPr>
            </w:pPr>
          </w:p>
        </w:tc>
      </w:tr>
      <w:tr>
        <w:trPr>
          <w:trHeight w:val="210"/>
        </w:trPr>
        <w:tc>
          <w:tcPr>
            <w:tcW w:w="38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322,715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226,930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665,690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522,874</w:t>
            </w:r>
          </w:p>
        </w:tc>
        <w:tc>
          <w:tcPr>
            <w:tcW w:w="80" w:type="dxa"/>
            <w:vAlign w:val="bottom"/>
          </w:tcPr>
          <w:p>
            <w:pPr>
              <w:spacing w:after="0"/>
              <w:rPr>
                <w:sz w:val="21"/>
                <w:szCs w:val="21"/>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as well as state income tax in certain jurisdictions. The tax years 2018 to 2020 remain open to examination by the major taxing jurisdictions to which the Company is subject. The following is a reconciliation of income tax expenses at the effective rate to income tax at the calculated statutory rates: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Statutory tax rate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360" w:hanging="179"/>
        <w:spacing w:after="0" w:line="260" w:lineRule="auto"/>
        <w:rPr>
          <w:sz w:val="20"/>
          <w:szCs w:val="20"/>
          <w:color w:val="auto"/>
        </w:rPr>
      </w:pPr>
      <w:r>
        <w:rPr>
          <w:rFonts w:ascii="Arial" w:cs="Arial" w:eastAsia="Arial" w:hAnsi="Arial"/>
          <w:sz w:val="18"/>
          <w:szCs w:val="18"/>
          <w:color w:val="auto"/>
        </w:rPr>
        <w:t>Net effect of state income tax deduction and other permanent differences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3720" w:type="dxa"/>
            <w:vAlign w:val="bottom"/>
            <w:gridSpan w:val="5"/>
          </w:tcPr>
          <w:p>
            <w:pPr>
              <w:ind w:left="360"/>
              <w:spacing w:after="0"/>
              <w:rPr>
                <w:sz w:val="20"/>
                <w:szCs w:val="20"/>
                <w:color w:val="auto"/>
              </w:rPr>
            </w:pPr>
            <w:r>
              <w:rPr>
                <w:rFonts w:ascii="Arial" w:cs="Arial" w:eastAsia="Arial" w:hAnsi="Arial"/>
                <w:sz w:val="18"/>
                <w:szCs w:val="18"/>
                <w:color w:val="auto"/>
              </w:rPr>
              <w:t>Three Months Ended December 31,</w:t>
            </w:r>
          </w:p>
        </w:tc>
        <w:tc>
          <w:tcPr>
            <w:tcW w:w="100" w:type="dxa"/>
            <w:vAlign w:val="bottom"/>
          </w:tcPr>
          <w:p>
            <w:pPr>
              <w:spacing w:after="0"/>
              <w:rPr>
                <w:sz w:val="20"/>
                <w:szCs w:val="20"/>
                <w:color w:val="auto"/>
              </w:rPr>
            </w:pPr>
          </w:p>
        </w:tc>
        <w:tc>
          <w:tcPr>
            <w:tcW w:w="3360" w:type="dxa"/>
            <w:vAlign w:val="bottom"/>
            <w:gridSpan w:val="4"/>
          </w:tcPr>
          <w:p>
            <w:pPr>
              <w:jc w:val="right"/>
              <w:ind w:right="540"/>
              <w:spacing w:after="0"/>
              <w:rPr>
                <w:sz w:val="20"/>
                <w:szCs w:val="20"/>
                <w:color w:val="auto"/>
              </w:rPr>
            </w:pPr>
            <w:r>
              <w:rPr>
                <w:rFonts w:ascii="Arial" w:cs="Arial" w:eastAsia="Arial" w:hAnsi="Arial"/>
                <w:sz w:val="18"/>
                <w:szCs w:val="18"/>
                <w:color w:val="auto"/>
              </w:rPr>
              <w:t>Six Months Ended December 31,</w:t>
            </w:r>
          </w:p>
        </w:tc>
      </w:tr>
      <w:tr>
        <w:trPr>
          <w:trHeight w:val="223"/>
        </w:trPr>
        <w:tc>
          <w:tcPr>
            <w:tcW w:w="160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2020</w:t>
            </w:r>
          </w:p>
        </w:tc>
      </w:tr>
      <w:tr>
        <w:trPr>
          <w:trHeight w:val="411"/>
        </w:trPr>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21.00%</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21.00%</w:t>
            </w:r>
          </w:p>
        </w:tc>
        <w:tc>
          <w:tcPr>
            <w:tcW w:w="1880" w:type="dxa"/>
            <w:vAlign w:val="bottom"/>
            <w:gridSpan w:val="3"/>
          </w:tcPr>
          <w:p>
            <w:pPr>
              <w:jc w:val="right"/>
              <w:ind w:right="320"/>
              <w:spacing w:after="0"/>
              <w:rPr>
                <w:sz w:val="20"/>
                <w:szCs w:val="20"/>
                <w:color w:val="auto"/>
              </w:rPr>
            </w:pPr>
            <w:r>
              <w:rPr>
                <w:rFonts w:ascii="Arial" w:cs="Arial" w:eastAsia="Arial" w:hAnsi="Arial"/>
                <w:sz w:val="18"/>
                <w:szCs w:val="18"/>
                <w:color w:val="auto"/>
              </w:rPr>
              <w:t>21.00%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8.84%</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8.84%</w:t>
            </w:r>
          </w:p>
        </w:tc>
        <w:tc>
          <w:tcPr>
            <w:tcW w:w="1880" w:type="dxa"/>
            <w:vAlign w:val="bottom"/>
            <w:gridSpan w:val="3"/>
          </w:tcPr>
          <w:p>
            <w:pPr>
              <w:jc w:val="right"/>
              <w:ind w:right="320"/>
              <w:spacing w:after="0"/>
              <w:rPr>
                <w:sz w:val="20"/>
                <w:szCs w:val="20"/>
                <w:color w:val="auto"/>
              </w:rPr>
            </w:pPr>
            <w:r>
              <w:rPr>
                <w:rFonts w:ascii="Arial" w:cs="Arial" w:eastAsia="Arial" w:hAnsi="Arial"/>
                <w:sz w:val="18"/>
                <w:szCs w:val="18"/>
                <w:color w:val="auto"/>
              </w:rPr>
              <w:t>8.84%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8.84%</w:t>
            </w:r>
          </w:p>
        </w:tc>
      </w:tr>
      <w:tr>
        <w:trPr>
          <w:trHeight w:val="445"/>
        </w:trPr>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453"/>
        </w:trPr>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28.80%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28.28%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28.31%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28.10%</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-1028065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-744855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-325120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480"/>
            <w:col w:w="7400"/>
          </w:cols>
          <w:pgMar w:left="320" w:top="796"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June 30, 2021, the income taxes payable was $374,513 and $790,823,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Note 10 – Earnings per share</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gridSpan w:val="8"/>
          </w:tcPr>
          <w:p>
            <w:pPr>
              <w:spacing w:after="0"/>
              <w:rPr>
                <w:sz w:val="20"/>
                <w:szCs w:val="20"/>
                <w:color w:val="auto"/>
              </w:rPr>
            </w:pPr>
            <w:r>
              <w:rPr>
                <w:rFonts w:ascii="Arial" w:cs="Arial" w:eastAsia="Arial" w:hAnsi="Arial"/>
                <w:sz w:val="18"/>
                <w:szCs w:val="18"/>
                <w:color w:val="auto"/>
                <w:w w:val="91"/>
              </w:rPr>
              <w:t>The following table sets forth the computation of basic and diluted earnings per share for the periods presented:</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5"/>
          </w:tcPr>
          <w:p>
            <w:pPr>
              <w:ind w:left="200"/>
              <w:spacing w:after="0"/>
              <w:rPr>
                <w:sz w:val="20"/>
                <w:szCs w:val="20"/>
                <w:color w:val="auto"/>
              </w:rPr>
            </w:pPr>
            <w:r>
              <w:rPr>
                <w:rFonts w:ascii="Arial" w:cs="Arial" w:eastAsia="Arial" w:hAnsi="Arial"/>
                <w:sz w:val="18"/>
                <w:szCs w:val="18"/>
                <w:color w:val="auto"/>
              </w:rPr>
              <w:t>Three Months Ended December 31,</w:t>
            </w:r>
          </w:p>
        </w:tc>
        <w:tc>
          <w:tcPr>
            <w:tcW w:w="440" w:type="dxa"/>
            <w:vAlign w:val="bottom"/>
          </w:tcPr>
          <w:p>
            <w:pPr>
              <w:spacing w:after="0"/>
              <w:rPr>
                <w:sz w:val="24"/>
                <w:szCs w:val="24"/>
                <w:color w:val="auto"/>
              </w:rPr>
            </w:pPr>
          </w:p>
        </w:tc>
        <w:tc>
          <w:tcPr>
            <w:tcW w:w="3120" w:type="dxa"/>
            <w:vAlign w:val="bottom"/>
            <w:gridSpan w:val="5"/>
          </w:tcPr>
          <w:p>
            <w:pPr>
              <w:ind w:left="80"/>
              <w:spacing w:after="0"/>
              <w:rPr>
                <w:sz w:val="20"/>
                <w:szCs w:val="20"/>
                <w:color w:val="auto"/>
              </w:rPr>
            </w:pPr>
            <w:r>
              <w:rPr>
                <w:rFonts w:ascii="Arial" w:cs="Arial" w:eastAsia="Arial" w:hAnsi="Arial"/>
                <w:sz w:val="18"/>
                <w:szCs w:val="18"/>
                <w:color w:val="auto"/>
              </w:rPr>
              <w:t>Six Months Ended December 31,</w:t>
            </w:r>
          </w:p>
        </w:tc>
      </w:tr>
      <w:tr>
        <w:trPr>
          <w:trHeight w:val="223"/>
        </w:trPr>
        <w:tc>
          <w:tcPr>
            <w:tcW w:w="3840" w:type="dxa"/>
            <w:vAlign w:val="bottom"/>
            <w:tcBorders>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EEEEEE"/>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EEEEE"/>
            </w:tcBorders>
          </w:tcPr>
          <w:p>
            <w:pPr>
              <w:spacing w:after="0"/>
              <w:rPr>
                <w:sz w:val="19"/>
                <w:szCs w:val="19"/>
                <w:color w:val="auto"/>
              </w:rPr>
            </w:pPr>
          </w:p>
        </w:tc>
      </w:tr>
      <w:tr>
        <w:trPr>
          <w:trHeight w:val="210"/>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38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797,861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575,476</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1,685,389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1,337,472</w:t>
            </w:r>
          </w:p>
        </w:tc>
      </w:tr>
      <w:tr>
        <w:trPr>
          <w:trHeight w:val="197"/>
        </w:trPr>
        <w:tc>
          <w:tcPr>
            <w:tcW w:w="384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32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440" w:type="dxa"/>
            <w:vAlign w:val="bottom"/>
            <w:tcBorders>
              <w:top w:val="single" w:sz="8" w:color="auto"/>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Arial" w:cs="Arial" w:eastAsia="Arial" w:hAnsi="Arial"/>
          <w:sz w:val="18"/>
          <w:szCs w:val="18"/>
          <w:color w:val="auto"/>
        </w:rPr>
        <w:t>Denominator:</w:t>
      </w:r>
    </w:p>
    <w:p>
      <w:pPr>
        <w:spacing w:after="0" w:line="9" w:lineRule="exact"/>
        <w:rPr>
          <w:sz w:val="20"/>
          <w:szCs w:val="20"/>
          <w:color w:val="auto"/>
        </w:rPr>
      </w:pPr>
    </w:p>
    <w:p>
      <w:pPr>
        <w:ind w:left="360" w:hanging="179"/>
        <w:spacing w:after="0" w:line="255" w:lineRule="auto"/>
        <w:rPr>
          <w:sz w:val="20"/>
          <w:szCs w:val="20"/>
          <w:color w:val="auto"/>
        </w:rPr>
      </w:pPr>
      <w:r>
        <w:rPr>
          <w:rFonts w:ascii="Arial" w:cs="Arial" w:eastAsia="Arial" w:hAnsi="Arial"/>
          <w:sz w:val="18"/>
          <w:szCs w:val="18"/>
          <w:color w:val="auto"/>
        </w:rPr>
        <w:t>Weighted-average shares used in computing basic and diluted earnings per share* Basic</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26,491,103</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20,204,496</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26,487,816</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20,204,496</w:t>
            </w:r>
          </w:p>
        </w:tc>
        <w:tc>
          <w:tcPr>
            <w:tcW w:w="0" w:type="dxa"/>
            <w:vAlign w:val="bottom"/>
          </w:tcPr>
          <w:p>
            <w:pPr>
              <w:spacing w:after="0"/>
              <w:rPr>
                <w:sz w:val="1"/>
                <w:szCs w:val="1"/>
                <w:color w:val="auto"/>
              </w:rPr>
            </w:pP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26,491,103</w:t>
            </w:r>
          </w:p>
        </w:tc>
        <w:tc>
          <w:tcPr>
            <w:tcW w:w="34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20,204,496</w:t>
            </w:r>
          </w:p>
        </w:tc>
        <w:tc>
          <w:tcPr>
            <w:tcW w:w="32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26,487,816</w:t>
            </w:r>
          </w:p>
        </w:tc>
        <w:tc>
          <w:tcPr>
            <w:tcW w:w="32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20,204,496</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-616585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-179070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480"/>
            <w:col w:w="7400"/>
          </w:cols>
          <w:pgMar w:left="320" w:top="79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6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3840" w:type="dxa"/>
            <w:vAlign w:val="bottom"/>
          </w:tcPr>
          <w:p>
            <w:pPr>
              <w:ind w:left="360"/>
              <w:spacing w:after="0"/>
              <w:rPr>
                <w:sz w:val="20"/>
                <w:szCs w:val="20"/>
                <w:color w:val="auto"/>
              </w:rPr>
            </w:pPr>
            <w:r>
              <w:rPr>
                <w:rFonts w:ascii="Arial" w:cs="Arial" w:eastAsia="Arial" w:hAnsi="Arial"/>
                <w:sz w:val="18"/>
                <w:szCs w:val="18"/>
                <w:color w:val="auto"/>
              </w:rPr>
              <w:t>Basic</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0.030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0.028</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0.064</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0.066</w:t>
            </w:r>
          </w:p>
        </w:tc>
      </w:tr>
      <w:tr>
        <w:trPr>
          <w:trHeight w:val="197"/>
        </w:trPr>
        <w:tc>
          <w:tcPr>
            <w:tcW w:w="3840" w:type="dxa"/>
            <w:vAlign w:val="bottom"/>
            <w:tcBorders>
              <w:top w:val="single" w:sz="8" w:color="EEEEEE"/>
              <w:bottom w:val="single" w:sz="8" w:color="EEEEEE"/>
            </w:tcBorders>
            <w:shd w:val="clear" w:color="auto" w:fill="EEEEEE"/>
          </w:tcPr>
          <w:p>
            <w:pPr>
              <w:ind w:left="360"/>
              <w:spacing w:after="0" w:line="190" w:lineRule="exact"/>
              <w:rPr>
                <w:sz w:val="20"/>
                <w:szCs w:val="20"/>
                <w:color w:val="auto"/>
              </w:rPr>
            </w:pPr>
            <w:r>
              <w:rPr>
                <w:rFonts w:ascii="Arial" w:cs="Arial" w:eastAsia="Arial" w:hAnsi="Arial"/>
                <w:sz w:val="18"/>
                <w:szCs w:val="18"/>
                <w:color w:val="auto"/>
              </w:rPr>
              <w:t>Diluted</w:t>
            </w:r>
          </w:p>
        </w:tc>
        <w:tc>
          <w:tcPr>
            <w:tcW w:w="640" w:type="dxa"/>
            <w:vAlign w:val="bottom"/>
            <w:tcBorders>
              <w:top w:val="single" w:sz="8" w:color="auto"/>
              <w:bottom w:val="single" w:sz="8" w:color="auto"/>
            </w:tcBorders>
            <w:shd w:val="clear" w:color="auto" w:fill="EEEEEE"/>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0.030</w:t>
            </w:r>
          </w:p>
        </w:tc>
        <w:tc>
          <w:tcPr>
            <w:tcW w:w="340" w:type="dxa"/>
            <w:vAlign w:val="bottom"/>
            <w:tcBorders>
              <w:top w:val="single" w:sz="8" w:color="EEEEEE"/>
              <w:bottom w:val="single" w:sz="8" w:color="EEEEEE"/>
            </w:tcBorders>
            <w:shd w:val="clear" w:color="auto" w:fill="EEEEEE"/>
          </w:tcPr>
          <w:p>
            <w:pPr>
              <w:spacing w:after="0"/>
              <w:rPr>
                <w:sz w:val="17"/>
                <w:szCs w:val="17"/>
                <w:color w:val="auto"/>
              </w:rPr>
            </w:pPr>
          </w:p>
        </w:tc>
        <w:tc>
          <w:tcPr>
            <w:tcW w:w="640" w:type="dxa"/>
            <w:vAlign w:val="bottom"/>
            <w:tcBorders>
              <w:top w:val="single" w:sz="8" w:color="auto"/>
              <w:bottom w:val="single" w:sz="8" w:color="auto"/>
            </w:tcBorders>
            <w:shd w:val="clear" w:color="auto" w:fill="EEEEEE"/>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0.028</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620" w:type="dxa"/>
            <w:vAlign w:val="bottom"/>
            <w:tcBorders>
              <w:top w:val="single" w:sz="8" w:color="auto"/>
              <w:bottom w:val="single" w:sz="8" w:color="auto"/>
            </w:tcBorders>
            <w:shd w:val="clear" w:color="auto" w:fill="EEEEEE"/>
          </w:tcPr>
          <w:p>
            <w:pPr>
              <w:jc w:val="right"/>
              <w:ind w:right="4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0.064</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640" w:type="dxa"/>
            <w:vAlign w:val="bottom"/>
            <w:tcBorders>
              <w:top w:val="single" w:sz="8" w:color="auto"/>
              <w:bottom w:val="single" w:sz="8" w:color="auto"/>
            </w:tcBorders>
            <w:shd w:val="clear" w:color="auto" w:fill="EEEEEE"/>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0.066</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line="277"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170" w:lineRule="exact"/>
        <w:rPr>
          <w:rFonts w:ascii="Arial" w:cs="Arial" w:eastAsia="Arial" w:hAnsi="Arial"/>
          <w:sz w:val="18"/>
          <w:szCs w:val="18"/>
          <w:color w:val="auto"/>
        </w:rPr>
      </w:pPr>
    </w:p>
    <w:p>
      <w:pPr>
        <w:ind w:left="240" w:hanging="232"/>
        <w:spacing w:after="0" w:line="277"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computation of basic and diluted EPS did not include the Class B Common Stock as the holders of Class B Common Stock have no dividend or liquidation right until such time as their shares of Class B Common Stock have been converted into Class A Common Stock.</w:t>
      </w:r>
    </w:p>
    <w:p>
      <w:pPr>
        <w:spacing w:after="0" w:line="170" w:lineRule="exact"/>
        <w:rPr>
          <w:rFonts w:ascii="Arial" w:cs="Arial" w:eastAsia="Arial" w:hAnsi="Arial"/>
          <w:sz w:val="18"/>
          <w:szCs w:val="18"/>
          <w:color w:val="auto"/>
        </w:rPr>
      </w:pPr>
    </w:p>
    <w:p>
      <w:pPr>
        <w:ind w:left="240" w:hanging="232"/>
        <w:spacing w:after="0" w:line="277"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computation of diluted EPS did not include the underlying shares of warrants calculated using treasury method for the three and six months ended December 31, 2021 as the exercise price was greater than the market price of the shares.</w:t>
      </w:r>
    </w:p>
    <w:p>
      <w:pPr>
        <w:spacing w:after="0" w:line="170" w:lineRule="exact"/>
        <w:rPr>
          <w:rFonts w:ascii="Arial" w:cs="Arial" w:eastAsia="Arial" w:hAnsi="Arial"/>
          <w:sz w:val="18"/>
          <w:szCs w:val="18"/>
          <w:color w:val="auto"/>
        </w:rPr>
      </w:pPr>
    </w:p>
    <w:p>
      <w:pPr>
        <w:jc w:val="both"/>
        <w:ind w:left="240" w:hanging="232"/>
        <w:spacing w:after="0" w:line="286" w:lineRule="auto"/>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three and six months ended December 31, 2021, the 51,232 vested shares of restricted stock units under the Amended and Restated 2020 Equity Incentive Plan (as discussed in Note 11) are considered issued shares and therefore are included in the computation of basic earnings (loss) per share as of grant date when the shares are fully vested. Impact of nonvested RSU is immaterial to the EPS.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incorporated in Nevada on April 11, 2018. As of September 30, 2021, the total authorized shares of capital stock were 200,000,000 shares consisting of 180,000,000 shares of Common Stock (“Common Stock”) and 20,000,000 shares of preferred stock (the “Preferred Stock”), each with a par value of $0.001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On November 16, 2020, the Company filed an amended and restated articles of incorporation in Nevada to consummate a 2-for-1 forward split of our outstanding shares of Class A Common Stock. All share numbers of Class A Common Stock are stated at a post-split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Class A Common Stock shall be entitled to one vote per share in voting or consenting to the election of directors and for all other corporate purposes. The Company issued 20,000,000 shares to its founders at inception.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2020, pursuant to a rescission and mutual release agreement with an unrelated company, the Company issued 204,496 shares of its Class A Common Stock as settlement for a payment of $427,010 received by the Company.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20, 2020, the Company entered into stock purchase agreements with Chenlong Tan and Allan Huang (the “Founders”) pursuant to which each of the Founders received 7,000,000 shares of the Company’s Class B Common Stock, for a purchase price of $0.001 per share in cash. Based on the fact that other than the total consideration of $14,000 (total par value of the Class B Common Stock issued), the Founders did not provide additional services or other means of considerations for the issuance of these shares of Class B Common Stock, the issuance of the Class B Common Stock to the Founders was considered as a nominal issuance, in substance a recapitalization transaction. As such, in accordance with FASB ASC 260-10-55-12 and SAB Topic 4D, the Company recorded and presented the issuance retroactively as outstanding for all reporting periods.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Class B Common Stock was entitled to ten (10) votes per share in voting or consenting to the election of directors and for all other corporate purposes. In accordance with the Company’s amended and restated articles of incorporation, the Class B Common Stock was eligible to convert into shares of Class A Common Stock, on a ten-for-one basis, at any time following twelve (12) months after the Company’s completion of the initial public offering of its Class A Common Stock. Holders of Class B Common Stock had no dividend or liquidation rights until such time as their shares of Class B Common Stock were converted into shares of Class A Common Stock. As of June 30, 2020, the outstanding shares of Class B Common Stock were retroactively stated as 14,000,000 and 14,000,000,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April 14, 2021, the Company amended its articles of incorporation to allow conversion of its Class B Common Stock at any time after issuance. On that same date, the Class B Common stockholders, Chenlong Tan and Allan Huang, elected to convert all of their 14,000,000 outstanding shares of the Company’s Class B Common Stock into 1,400,000 shares of Class A Common Stock. On April 23, 2021, the Company further amended and restated its articles of incorporation to eliminate the Class A and Class B Common Stock designations and authorize for issuance a total of 180,000,000 shares which are solely designated as Common Stock.</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14, 2020, the Company closed its initial public offering (“IPO”) under a registration statement effective May 11, 2021, in which it issued and sold 3,360,000 shares of its Common Stock at a purchase price of $5.00 per share. On May 21, 2021, the Company closed on the IPO’s overallotment option, selling an additional 504,000 shares of Common Stock to the IPO’s underwriters at the public offering price of $5.00 per share. The Company received net proceeds of approximately $16.6 million from the IPO after deducting underwriting discounts and offering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on the Company’s IPO, the Series A convertible preferred stock and Convertible Notes were converted into an aggregate of 955,716 shares of the Company’s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Company issued 24,451 shares of Common Stock upon cashless exercise of warrants held by Boustead Securities LLC, the placement agent for the Company’s private placement offerings completed in December 2020 and January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2021, the Company issued to 40,019 shares of common stock for vested RSUs.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June 30, 2021, there were 26,488,682 and 26,448,663 shares of Common Stock issued and outstanding,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December 31, 2021 and June 30, 2021, there were no shares of Preferred Stock was issued and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the Company’s Board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completion of the IPO on May 11, 2021, pursuant to their letter agreements, the Company awarded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During the three months ended September 30, 2021, the Company granted an additional 11,745 shares of RSUs to three employees. These RSUs were valued at market price at grant date. On December 23, 2021, The Company granted $30,000, 13,216 RSUs at market price of $2.27 per share. As of December 31, 2021, the Company had granted a total of 71,507 RSUs, of which 50,905 were fully vested, 4,000 was forfeited and 16,602 remained subject to certain vesting conditions. For the three and six months ended December 31, 2021, the Company recorded $54,435 and $157,489 of stock-based compensation expense. There was 4,000 RSUs forfeited during the three months ended December 31, 2021 as a result of resignation of a director and an employee. As of December 31, 2021, the unvested number of RSUs was 16,602 and the unamortized expense was $46,935.</w:t>
      </w:r>
    </w:p>
    <w:p>
      <w:pPr>
        <w:sectPr>
          <w:pgSz w:w="11900" w:h="16838" w:orient="portrait"/>
          <w:cols w:equalWidth="0" w:num="1">
            <w:col w:w="11240"/>
          </w:cols>
          <w:pgMar w:left="320" w:top="800"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RSU's granted, but not vested,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RSUs 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RSUs 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RSUs granted, but not vested,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Total Fair Market</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9"/>
              </w:rPr>
              <w:t>Value of RSUs</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5"/>
              </w:rPr>
              <w:t>Issued as</w:t>
            </w:r>
          </w:p>
        </w:tc>
      </w:tr>
      <w:tr>
        <w:trPr>
          <w:trHeight w:val="230"/>
        </w:trPr>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Total RSUs Issued</w:t>
            </w:r>
          </w:p>
        </w:tc>
        <w:tc>
          <w:tcPr>
            <w:tcW w:w="12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0"/>
              </w:rPr>
              <w:t>Compensation (1)</w:t>
            </w:r>
          </w:p>
        </w:tc>
      </w:tr>
      <w:tr>
        <w:trPr>
          <w:trHeight w:val="195"/>
        </w:trPr>
        <w:tc>
          <w:tcPr>
            <w:tcW w:w="1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24,409</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16"/>
        </w:trPr>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24,961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102,370</w:t>
            </w:r>
          </w:p>
        </w:tc>
      </w:tr>
      <w:tr>
        <w:trPr>
          <w:trHeight w:val="216"/>
        </w:trPr>
        <w:tc>
          <w:tcPr>
            <w:tcW w:w="1900" w:type="dxa"/>
            <w:vAlign w:val="bottom"/>
            <w:gridSpan w:val="3"/>
          </w:tcPr>
          <w:p>
            <w:pPr>
              <w:jc w:val="right"/>
              <w:ind w:right="26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4"/>
        </w:trPr>
        <w:tc>
          <w:tcPr>
            <w:tcW w:w="1900" w:type="dxa"/>
            <w:vAlign w:val="bottom"/>
            <w:gridSpan w:val="3"/>
          </w:tcPr>
          <w:p>
            <w:pPr>
              <w:jc w:val="right"/>
              <w:ind w:right="260"/>
              <w:spacing w:after="0"/>
              <w:rPr>
                <w:sz w:val="20"/>
                <w:szCs w:val="20"/>
                <w:color w:val="auto"/>
              </w:rPr>
            </w:pPr>
            <w:r>
              <w:rPr>
                <w:rFonts w:ascii="Arial" w:cs="Arial" w:eastAsia="Arial" w:hAnsi="Arial"/>
                <w:sz w:val="18"/>
                <w:szCs w:val="18"/>
                <w:color w:val="auto"/>
              </w:rPr>
              <w:t>(28,768)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4"/>
        </w:trPr>
        <w:tc>
          <w:tcPr>
            <w:tcW w:w="1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18" w:lineRule="exact"/>
        <w:rPr>
          <w:sz w:val="20"/>
          <w:szCs w:val="20"/>
          <w:color w:val="auto"/>
        </w:rPr>
      </w:pPr>
    </w:p>
    <w:p>
      <w:pPr>
        <w:sectPr>
          <w:pgSz w:w="11900" w:h="16838" w:orient="portrait"/>
          <w:cols w:equalWidth="0" w:num="2">
            <w:col w:w="6940" w:space="720"/>
            <w:col w:w="3580"/>
          </w:cols>
          <w:pgMar w:left="320" w:top="800" w:right="339" w:bottom="1440" w:gutter="0" w:footer="0" w:header="0"/>
          <w:type w:val="continuous"/>
        </w:sectPr>
      </w:pPr>
    </w:p>
    <w:p>
      <w:pPr>
        <w:ind w:left="60"/>
        <w:spacing w:after="0"/>
        <w:rPr>
          <w:sz w:val="20"/>
          <w:szCs w:val="20"/>
          <w:color w:val="auto"/>
        </w:rPr>
      </w:pPr>
      <w:r>
        <w:rPr>
          <w:rFonts w:ascii="Arial" w:cs="Arial" w:eastAsia="Arial" w:hAnsi="Arial"/>
          <w:sz w:val="22"/>
          <w:szCs w:val="22"/>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-154940</wp:posOffset>
            </wp:positionV>
            <wp:extent cx="10026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fair value was based on the current stock price on the grant date.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of the 28,768 vested RSUs, 17,882 shares of common stock were issued and 10,886 shares were to be issued in the next quarter.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had an exercise period of five years from the issuance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of its IPO, the Company remeasured the warrants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 of May 14, 2021</w:t>
            </w:r>
          </w:p>
        </w:tc>
      </w:tr>
      <w:tr>
        <w:trPr>
          <w:trHeight w:val="209"/>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 day to 3 years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3.3% to 58%</w:t>
            </w: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0.35% to 0.92%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00" w:type="dxa"/>
            <w:vAlign w:val="bottom"/>
          </w:tcPr>
          <w:p>
            <w:pPr>
              <w:jc w:val="right"/>
              <w:ind w:right="1190"/>
              <w:spacing w:after="0"/>
              <w:rPr>
                <w:sz w:val="20"/>
                <w:szCs w:val="20"/>
                <w:color w:val="auto"/>
              </w:rPr>
            </w:pPr>
            <w:r>
              <w:rPr>
                <w:rFonts w:ascii="Arial" w:cs="Arial" w:eastAsia="Arial" w:hAnsi="Arial"/>
                <w:sz w:val="18"/>
                <w:szCs w:val="18"/>
                <w:color w:val="auto"/>
              </w:rPr>
              <w:t>0%</w:t>
            </w: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00" w:type="dxa"/>
            <w:vAlign w:val="bottom"/>
            <w:shd w:val="clear" w:color="auto" w:fill="EEEEEE"/>
          </w:tcPr>
          <w:p>
            <w:pPr>
              <w:jc w:val="right"/>
              <w:ind w:right="109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2021, the fair value of the warrant liabilities was $1,361,347, which includes $4,610 preferred stock warrants, $1,324,668 warrants issued to the Convertible Note investors and $32,069 warrants issued to the placement agent. The increase in fair value immediately before the IPO was $617,593, which was reported in other non-operating expenses for the year ended June 30, 2021.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closing the IPO on May 14, 2021, the Placement Agent exercised its warrants in full to purchase a total of 24,451 shares of the Company’s Common Stock and, as such, there were no Placement Agent Warrants outstanding as of June 30, 2021. At the same time, the outstanding warrants held by the Convertible Note investors were reclassified to additional paid in capital as the terms became fixed upon closing of the IPO. Through December 31, 2021, none of the private placement investors had exercised any of their warrants. As such, as of December 31, 2021 and June 30, 2021, the number of shares issuable under the outstanding warrants was 685,715, with an exercise price of $5.0 per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2021 and June 30, 2021, $1,091,758 and $6,651,705, respectively, were deposited with various major financial institutions in the United States. Accounts at each institution are insured by the Federal Deposit Insurance Corporation (FDIC) for up to $250,000. The Company had approximately $0.48 million and $5.4 million, respectively, in excess of the FDIC insurance limit, as of December 31, 2021 and June 30, 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December 31, 2021 and 2020, Amazon Vendor and Amazon Seller customers accounted for 89% and 77% of the Company's total revenues, respectively. As of December 31, 2021 and June 30, 2021, accounts receivable from Amazon Vendor and Amazon Seller accounted for 98% and 98% of the Company’s total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For the six months ended December 31, 2021 and 2020, two suppliers accounted for 29% (22% and 7%) and 33% (22% and 11%) of the Company's total purchases, respectively. As of December 31, 2021, accounts payable to one supplier accounted for 17% of the Company’s total accounts payable. As of June 30, 2021, accounts payable to two suppliers accounted for 11% and 10% of the Company’s total accounts payable.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ASC842 since its inception date, April 11, 2018. The Company has entered into a lease agreement for office and warehouse space with a lease period from December 1, 2018 until December 31, 2020. On August 24, 2020, the Company negotiated for new terms to extend the lease. As a result, the lease term was amended and extended through December 31,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is $27,921 to $29,910 per month through October 31, 2023.</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commitment for the full term of these leases is $2,346,200. $1,473,397 and $1,819,421 of operating lease right-of-use assets and $1,544,049 and $1,901,496 of operating lease liabilities were reflected on the December 31, 2021 and June 30, 2021 financial statements,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4"/>
          </w:tcPr>
          <w:p>
            <w:pPr>
              <w:spacing w:after="0"/>
              <w:rPr>
                <w:sz w:val="20"/>
                <w:szCs w:val="20"/>
                <w:color w:val="auto"/>
              </w:rPr>
            </w:pPr>
            <w:r>
              <w:rPr>
                <w:rFonts w:ascii="Arial" w:cs="Arial" w:eastAsia="Arial" w:hAnsi="Arial"/>
                <w:sz w:val="18"/>
                <w:szCs w:val="18"/>
                <w:color w:val="auto"/>
              </w:rPr>
              <w:t>Three Months Ended December 31, 2021 and 2020: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300" w:type="dxa"/>
            <w:vAlign w:val="bottom"/>
            <w:gridSpan w:val="4"/>
          </w:tcPr>
          <w:p>
            <w:pPr>
              <w:spacing w:after="0"/>
              <w:rPr>
                <w:sz w:val="20"/>
                <w:szCs w:val="20"/>
                <w:color w:val="auto"/>
              </w:rPr>
            </w:pPr>
            <w:r>
              <w:rPr>
                <w:rFonts w:ascii="Arial" w:cs="Arial" w:eastAsia="Arial" w:hAnsi="Arial"/>
                <w:sz w:val="18"/>
                <w:szCs w:val="18"/>
                <w:color w:val="auto"/>
              </w:rPr>
              <w:t>Lease cost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12/31/2021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0"/>
              </w:rPr>
              <w:t>12/31/2020</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5980" w:type="dxa"/>
            <w:vAlign w:val="bottom"/>
            <w:tcBorders>
              <w:bottom w:val="single" w:sz="8" w:color="EEEEEE"/>
            </w:tcBorders>
          </w:tcPr>
          <w:p>
            <w:pPr>
              <w:spacing w:after="0"/>
              <w:rPr>
                <w:sz w:val="2"/>
                <w:szCs w:val="2"/>
                <w:color w:val="auto"/>
              </w:rPr>
            </w:pPr>
          </w:p>
        </w:tc>
        <w:tc>
          <w:tcPr>
            <w:tcW w:w="36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182"/>
        </w:trPr>
        <w:tc>
          <w:tcPr>
            <w:tcW w:w="7300" w:type="dxa"/>
            <w:vAlign w:val="bottom"/>
            <w:gridSpan w:val="4"/>
            <w:shd w:val="clear" w:color="auto" w:fill="EEEEEE"/>
          </w:tcPr>
          <w:p>
            <w:pPr>
              <w:spacing w:after="0" w:line="182" w:lineRule="exact"/>
              <w:rPr>
                <w:sz w:val="20"/>
                <w:szCs w:val="20"/>
                <w:color w:val="auto"/>
              </w:rPr>
            </w:pPr>
            <w:r>
              <w:rPr>
                <w:rFonts w:ascii="Arial" w:cs="Arial" w:eastAsia="Arial" w:hAnsi="Arial"/>
                <w:sz w:val="18"/>
                <w:szCs w:val="18"/>
                <w:color w:val="auto"/>
                <w:w w:val="95"/>
              </w:rPr>
              <w:t>Operating lease cost (included in selling and fulfillment expenses in the Company's statement of</w:t>
            </w:r>
          </w:p>
        </w:tc>
        <w:tc>
          <w:tcPr>
            <w:tcW w:w="3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r>
      <w:tr>
        <w:trPr>
          <w:trHeight w:val="230"/>
        </w:trPr>
        <w:tc>
          <w:tcPr>
            <w:tcW w:w="7300" w:type="dxa"/>
            <w:vAlign w:val="bottom"/>
            <w:gridSpan w:val="4"/>
            <w:shd w:val="clear" w:color="auto" w:fill="EEEEEE"/>
          </w:tcPr>
          <w:p>
            <w:pPr>
              <w:ind w:left="180"/>
              <w:spacing w:after="0"/>
              <w:rPr>
                <w:sz w:val="20"/>
                <w:szCs w:val="20"/>
                <w:color w:val="auto"/>
              </w:rPr>
            </w:pPr>
            <w:r>
              <w:rPr>
                <w:rFonts w:ascii="Arial" w:cs="Arial" w:eastAsia="Arial" w:hAnsi="Arial"/>
                <w:sz w:val="18"/>
                <w:szCs w:val="18"/>
                <w:color w:val="auto"/>
              </w:rPr>
              <w:t>operations)</w:t>
            </w:r>
          </w:p>
        </w:tc>
        <w:tc>
          <w:tcPr>
            <w:tcW w:w="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205,517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213,423</w:t>
            </w:r>
          </w:p>
        </w:tc>
      </w:tr>
      <w:tr>
        <w:trPr>
          <w:trHeight w:val="176"/>
        </w:trPr>
        <w:tc>
          <w:tcPr>
            <w:tcW w:w="7300" w:type="dxa"/>
            <w:vAlign w:val="bottom"/>
            <w:gridSpan w:val="4"/>
          </w:tcPr>
          <w:p>
            <w:pPr>
              <w:spacing w:after="0" w:line="176" w:lineRule="exact"/>
              <w:rPr>
                <w:sz w:val="20"/>
                <w:szCs w:val="20"/>
                <w:color w:val="auto"/>
              </w:rPr>
            </w:pPr>
            <w:r>
              <w:rPr>
                <w:rFonts w:ascii="Arial" w:cs="Arial" w:eastAsia="Arial" w:hAnsi="Arial"/>
                <w:sz w:val="18"/>
                <w:szCs w:val="18"/>
                <w:color w:val="auto"/>
              </w:rPr>
              <w:t>Other information</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212,694</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179,785</w:t>
            </w:r>
          </w:p>
        </w:tc>
      </w:tr>
      <w:tr>
        <w:trPr>
          <w:trHeight w:val="216"/>
        </w:trPr>
        <w:tc>
          <w:tcPr>
            <w:tcW w:w="7300" w:type="dxa"/>
            <w:vAlign w:val="bottom"/>
            <w:gridSpan w:val="4"/>
          </w:tcPr>
          <w:p>
            <w:pPr>
              <w:spacing w:after="0"/>
              <w:rPr>
                <w:sz w:val="20"/>
                <w:szCs w:val="20"/>
                <w:color w:val="auto"/>
              </w:rPr>
            </w:pPr>
            <w:r>
              <w:rPr>
                <w:rFonts w:ascii="Arial" w:cs="Arial" w:eastAsia="Arial" w:hAnsi="Arial"/>
                <w:sz w:val="18"/>
                <w:szCs w:val="18"/>
                <w:color w:val="auto"/>
              </w:rPr>
              <w:t>Remaining term in years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73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Average discount rate - operating leases</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r>
      <w:tr>
        <w:trPr>
          <w:trHeight w:val="432"/>
        </w:trPr>
        <w:tc>
          <w:tcPr>
            <w:tcW w:w="7300" w:type="dxa"/>
            <w:vAlign w:val="bottom"/>
            <w:gridSpan w:val="4"/>
          </w:tcPr>
          <w:p>
            <w:pPr>
              <w:spacing w:after="0"/>
              <w:rPr>
                <w:sz w:val="20"/>
                <w:szCs w:val="20"/>
                <w:color w:val="auto"/>
              </w:rPr>
            </w:pPr>
            <w:r>
              <w:rPr>
                <w:rFonts w:ascii="Arial" w:cs="Arial" w:eastAsia="Arial" w:hAnsi="Arial"/>
                <w:sz w:val="18"/>
                <w:szCs w:val="18"/>
                <w:color w:val="auto"/>
              </w:rPr>
              <w:t>Six Months Ended December 31, 2021 and 2020: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300" w:type="dxa"/>
            <w:vAlign w:val="bottom"/>
            <w:gridSpan w:val="4"/>
          </w:tcPr>
          <w:p>
            <w:pPr>
              <w:spacing w:after="0"/>
              <w:rPr>
                <w:sz w:val="20"/>
                <w:szCs w:val="20"/>
                <w:color w:val="auto"/>
              </w:rPr>
            </w:pPr>
            <w:r>
              <w:rPr>
                <w:rFonts w:ascii="Arial" w:cs="Arial" w:eastAsia="Arial" w:hAnsi="Arial"/>
                <w:sz w:val="18"/>
                <w:szCs w:val="18"/>
                <w:color w:val="auto"/>
              </w:rPr>
              <w:t>Lease cost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12/31/2021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0"/>
              </w:rPr>
              <w:t>12/31/2020</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5980" w:type="dxa"/>
            <w:vAlign w:val="bottom"/>
            <w:tcBorders>
              <w:bottom w:val="single" w:sz="8" w:color="EEEEEE"/>
            </w:tcBorders>
          </w:tcPr>
          <w:p>
            <w:pPr>
              <w:spacing w:after="0"/>
              <w:rPr>
                <w:sz w:val="2"/>
                <w:szCs w:val="2"/>
                <w:color w:val="auto"/>
              </w:rPr>
            </w:pPr>
          </w:p>
        </w:tc>
        <w:tc>
          <w:tcPr>
            <w:tcW w:w="36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182"/>
        </w:trPr>
        <w:tc>
          <w:tcPr>
            <w:tcW w:w="7300" w:type="dxa"/>
            <w:vAlign w:val="bottom"/>
            <w:gridSpan w:val="4"/>
            <w:shd w:val="clear" w:color="auto" w:fill="EEEEEE"/>
          </w:tcPr>
          <w:p>
            <w:pPr>
              <w:spacing w:after="0" w:line="182" w:lineRule="exact"/>
              <w:rPr>
                <w:sz w:val="20"/>
                <w:szCs w:val="20"/>
                <w:color w:val="auto"/>
              </w:rPr>
            </w:pPr>
            <w:r>
              <w:rPr>
                <w:rFonts w:ascii="Arial" w:cs="Arial" w:eastAsia="Arial" w:hAnsi="Arial"/>
                <w:sz w:val="18"/>
                <w:szCs w:val="18"/>
                <w:color w:val="auto"/>
                <w:w w:val="95"/>
              </w:rPr>
              <w:t>Operating lease cost (included in selling and fulfillment expenses in the Company's statement of</w:t>
            </w:r>
          </w:p>
        </w:tc>
        <w:tc>
          <w:tcPr>
            <w:tcW w:w="3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r>
      <w:tr>
        <w:trPr>
          <w:trHeight w:val="230"/>
        </w:trPr>
        <w:tc>
          <w:tcPr>
            <w:tcW w:w="7300" w:type="dxa"/>
            <w:vAlign w:val="bottom"/>
            <w:gridSpan w:val="4"/>
            <w:shd w:val="clear" w:color="auto" w:fill="EEEEEE"/>
          </w:tcPr>
          <w:p>
            <w:pPr>
              <w:ind w:left="180"/>
              <w:spacing w:after="0"/>
              <w:rPr>
                <w:sz w:val="20"/>
                <w:szCs w:val="20"/>
                <w:color w:val="auto"/>
              </w:rPr>
            </w:pPr>
            <w:r>
              <w:rPr>
                <w:rFonts w:ascii="Arial" w:cs="Arial" w:eastAsia="Arial" w:hAnsi="Arial"/>
                <w:sz w:val="18"/>
                <w:szCs w:val="18"/>
                <w:color w:val="auto"/>
              </w:rPr>
              <w:t>operations)</w:t>
            </w:r>
          </w:p>
        </w:tc>
        <w:tc>
          <w:tcPr>
            <w:tcW w:w="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411,034</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369,959</w:t>
            </w:r>
          </w:p>
        </w:tc>
      </w:tr>
      <w:tr>
        <w:trPr>
          <w:trHeight w:val="175"/>
        </w:trPr>
        <w:tc>
          <w:tcPr>
            <w:tcW w:w="7300" w:type="dxa"/>
            <w:vAlign w:val="bottom"/>
            <w:gridSpan w:val="4"/>
          </w:tcPr>
          <w:p>
            <w:pPr>
              <w:spacing w:after="0" w:line="176" w:lineRule="exact"/>
              <w:rPr>
                <w:sz w:val="20"/>
                <w:szCs w:val="20"/>
                <w:color w:val="auto"/>
              </w:rPr>
            </w:pPr>
            <w:r>
              <w:rPr>
                <w:rFonts w:ascii="Arial" w:cs="Arial" w:eastAsia="Arial" w:hAnsi="Arial"/>
                <w:sz w:val="18"/>
                <w:szCs w:val="18"/>
                <w:color w:val="auto"/>
              </w:rPr>
              <w:t>Other information</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422,457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342,392</w:t>
            </w:r>
          </w:p>
        </w:tc>
      </w:tr>
      <w:tr>
        <w:trPr>
          <w:trHeight w:val="216"/>
        </w:trPr>
        <w:tc>
          <w:tcPr>
            <w:tcW w:w="7300" w:type="dxa"/>
            <w:vAlign w:val="bottom"/>
            <w:gridSpan w:val="4"/>
          </w:tcPr>
          <w:p>
            <w:pPr>
              <w:spacing w:after="0"/>
              <w:rPr>
                <w:sz w:val="20"/>
                <w:szCs w:val="20"/>
                <w:color w:val="auto"/>
              </w:rPr>
            </w:pPr>
            <w:r>
              <w:rPr>
                <w:rFonts w:ascii="Arial" w:cs="Arial" w:eastAsia="Arial" w:hAnsi="Arial"/>
                <w:sz w:val="18"/>
                <w:szCs w:val="18"/>
                <w:color w:val="auto"/>
              </w:rPr>
              <w:t>Remaining term in years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73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Average discount rate - operating leases</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r>
      <w:tr>
        <w:trPr>
          <w:trHeight w:val="432"/>
        </w:trPr>
        <w:tc>
          <w:tcPr>
            <w:tcW w:w="7300" w:type="dxa"/>
            <w:vAlign w:val="bottom"/>
            <w:gridSpan w:val="4"/>
          </w:tcPr>
          <w:p>
            <w:pPr>
              <w:spacing w:after="0"/>
              <w:rPr>
                <w:sz w:val="20"/>
                <w:szCs w:val="20"/>
                <w:color w:val="auto"/>
              </w:rPr>
            </w:pPr>
            <w:r>
              <w:rPr>
                <w:rFonts w:ascii="Arial" w:cs="Arial" w:eastAsia="Arial" w:hAnsi="Arial"/>
                <w:sz w:val="18"/>
                <w:szCs w:val="18"/>
                <w:color w:val="auto"/>
              </w:rPr>
              <w:t>The supplemental balance sheet information related to leases for the period is as follows: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7300" w:type="dxa"/>
            <w:vAlign w:val="bottom"/>
            <w:gridSpan w:val="4"/>
          </w:tcPr>
          <w:p>
            <w:pPr>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12/31/2021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2"/>
              </w:rPr>
              <w:t>6/30/2021</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top w:val="single" w:sz="8" w:color="auto"/>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5980" w:type="dxa"/>
            <w:vAlign w:val="bottom"/>
            <w:tcBorders>
              <w:bottom w:val="single" w:sz="8" w:color="EEEEEE"/>
            </w:tcBorders>
          </w:tcPr>
          <w:p>
            <w:pPr>
              <w:spacing w:after="0"/>
              <w:rPr>
                <w:sz w:val="2"/>
                <w:szCs w:val="2"/>
                <w:color w:val="auto"/>
              </w:rPr>
            </w:pPr>
          </w:p>
        </w:tc>
        <w:tc>
          <w:tcPr>
            <w:tcW w:w="36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73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Right of use asset - non-current</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1,473,397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1,819,421</w:t>
            </w: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800"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current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Lease Liability -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766,759</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731,944</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777,290</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1,169,552</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1,544,049</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1,901,496</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8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For years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 value of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Lease</w:t>
      </w:r>
    </w:p>
    <w:p>
      <w:pPr>
        <w:spacing w:after="0" w:line="238" w:lineRule="exact"/>
        <w:rPr>
          <w:sz w:val="20"/>
          <w:szCs w:val="20"/>
          <w:color w:val="auto"/>
        </w:rPr>
      </w:pPr>
    </w:p>
    <w:p>
      <w:pPr>
        <w:ind w:left="980" w:hanging="97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425,388</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859,881</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371,640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(112,860)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9944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5" w:lineRule="exact"/>
        <w:rPr>
          <w:sz w:val="20"/>
          <w:szCs w:val="20"/>
          <w:color w:val="auto"/>
        </w:rPr>
      </w:pPr>
    </w:p>
    <w:p>
      <w:pPr>
        <w:ind w:left="860" w:hanging="854"/>
        <w:spacing w:after="0"/>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1,544,049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9944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39370</wp:posOffset>
            </wp:positionV>
            <wp:extent cx="9944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40" w:space="720"/>
            <w:col w:w="1680"/>
          </w:cols>
          <w:pgMar w:left="320" w:top="800" w:right="339" w:bottom="1440" w:gutter="0" w:footer="0" w:header="0"/>
        </w:sectPr>
      </w:pP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Company expects to use the Premises for the storage and distribution of hydroponic equipment, lighting and garden accessories, home products, pet products, other consumer products and other ancillary uses. The term of the Lease Agreement is for 62 months, commencing on the date on which the Landlord completes certain proscribed improvements on the property (the “Rent Commencement Date”). The Lease Agreement does not provide for an option to renew.</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Lease Agreement, the Company paid an initial security deposit of $228,498.10, which was included in other non-current assets, and, upon the Rent Commencement Date (which shall be the date on which the Premises is delivered to the Company following completion of certain improvements to be made by the Landlord, with such delivery to be on or before February 28, 2022), the Company’s initial monthly base rent (the “Base Rent”) will be approximately $114,249.05 and will increase on each anniversary of the Rent Commencement Date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auto"/>
              </w:rPr>
              <w:t>Months</w:t>
            </w:r>
          </w:p>
        </w:tc>
        <w:tc>
          <w:tcPr>
            <w:tcW w:w="6640" w:type="dxa"/>
            <w:vAlign w:val="bottom"/>
            <w:gridSpan w:val="3"/>
          </w:tcPr>
          <w:p>
            <w:pPr>
              <w:ind w:left="920"/>
              <w:spacing w:after="0"/>
              <w:rPr>
                <w:sz w:val="20"/>
                <w:szCs w:val="20"/>
                <w:color w:val="auto"/>
              </w:rPr>
            </w:pPr>
            <w:r>
              <w:rPr>
                <w:rFonts w:ascii="Arial" w:cs="Arial" w:eastAsia="Arial" w:hAnsi="Arial"/>
                <w:sz w:val="18"/>
                <w:szCs w:val="18"/>
                <w:color w:val="auto"/>
              </w:rPr>
              <w:t>Price Per Square Foot of the Premises Per Month</w:t>
            </w:r>
          </w:p>
        </w:tc>
        <w:tc>
          <w:tcPr>
            <w:tcW w:w="3140" w:type="dxa"/>
            <w:vAlign w:val="bottom"/>
            <w:gridSpan w:val="2"/>
          </w:tcPr>
          <w:p>
            <w:pPr>
              <w:spacing w:after="0"/>
              <w:rPr>
                <w:sz w:val="20"/>
                <w:szCs w:val="20"/>
                <w:color w:val="auto"/>
              </w:rPr>
            </w:pPr>
            <w:r>
              <w:rPr>
                <w:rFonts w:ascii="Arial" w:cs="Arial" w:eastAsia="Arial" w:hAnsi="Arial"/>
                <w:sz w:val="18"/>
                <w:szCs w:val="18"/>
                <w:color w:val="auto"/>
              </w:rPr>
              <w:t>Monthly Base Rent</w:t>
            </w:r>
          </w:p>
        </w:tc>
      </w:tr>
      <w:tr>
        <w:trPr>
          <w:trHeight w:val="21"/>
        </w:trPr>
        <w:tc>
          <w:tcPr>
            <w:tcW w:w="5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560" w:type="dxa"/>
            <w:vAlign w:val="bottom"/>
            <w:shd w:val="clear" w:color="auto" w:fill="EEEEEE"/>
          </w:tcPr>
          <w:p>
            <w:pPr>
              <w:spacing w:after="0"/>
              <w:rPr>
                <w:sz w:val="20"/>
                <w:szCs w:val="20"/>
                <w:color w:val="auto"/>
              </w:rPr>
            </w:pPr>
            <w:r>
              <w:rPr>
                <w:rFonts w:ascii="Arial" w:cs="Arial" w:eastAsia="Arial" w:hAnsi="Arial"/>
                <w:sz w:val="18"/>
                <w:szCs w:val="18"/>
                <w:color w:val="auto"/>
              </w:rPr>
              <w:t>1-12</w:t>
            </w:r>
          </w:p>
        </w:tc>
        <w:tc>
          <w:tcPr>
            <w:tcW w:w="900" w:type="dxa"/>
            <w:vAlign w:val="bottom"/>
            <w:shd w:val="clear" w:color="auto" w:fill="EEEEEE"/>
          </w:tcPr>
          <w:p>
            <w:pPr>
              <w:spacing w:after="0"/>
              <w:rPr>
                <w:sz w:val="18"/>
                <w:szCs w:val="18"/>
                <w:color w:val="auto"/>
              </w:rPr>
            </w:pPr>
          </w:p>
        </w:tc>
        <w:tc>
          <w:tcPr>
            <w:tcW w:w="6640" w:type="dxa"/>
            <w:vAlign w:val="bottom"/>
            <w:gridSpan w:val="3"/>
            <w:shd w:val="clear" w:color="auto" w:fill="EEEEEE"/>
          </w:tcPr>
          <w:p>
            <w:pPr>
              <w:ind w:left="920"/>
              <w:spacing w:after="0"/>
              <w:rPr>
                <w:sz w:val="20"/>
                <w:szCs w:val="20"/>
                <w:color w:val="auto"/>
              </w:rPr>
            </w:pPr>
            <w:r>
              <w:rPr>
                <w:rFonts w:ascii="Arial" w:cs="Arial" w:eastAsia="Arial" w:hAnsi="Arial"/>
                <w:sz w:val="18"/>
                <w:szCs w:val="18"/>
                <w:color w:val="auto"/>
              </w:rPr>
              <w:t>$1.15 per square foot per month</w:t>
            </w: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$114,249.05</w:t>
            </w:r>
          </w:p>
        </w:tc>
        <w:tc>
          <w:tcPr>
            <w:tcW w:w="1740" w:type="dxa"/>
            <w:vAlign w:val="bottom"/>
            <w:shd w:val="clear" w:color="auto" w:fill="EEEEEE"/>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13-24</w:t>
            </w:r>
          </w:p>
        </w:tc>
        <w:tc>
          <w:tcPr>
            <w:tcW w:w="900" w:type="dxa"/>
            <w:vAlign w:val="bottom"/>
          </w:tcPr>
          <w:p>
            <w:pPr>
              <w:spacing w:after="0"/>
              <w:rPr>
                <w:sz w:val="18"/>
                <w:szCs w:val="18"/>
                <w:color w:val="auto"/>
              </w:rPr>
            </w:pPr>
          </w:p>
        </w:tc>
        <w:tc>
          <w:tcPr>
            <w:tcW w:w="6640" w:type="dxa"/>
            <w:vAlign w:val="bottom"/>
            <w:gridSpan w:val="3"/>
          </w:tcPr>
          <w:p>
            <w:pPr>
              <w:ind w:left="920"/>
              <w:spacing w:after="0"/>
              <w:rPr>
                <w:sz w:val="20"/>
                <w:szCs w:val="20"/>
                <w:color w:val="auto"/>
              </w:rPr>
            </w:pPr>
            <w:r>
              <w:rPr>
                <w:rFonts w:ascii="Arial" w:cs="Arial" w:eastAsia="Arial" w:hAnsi="Arial"/>
                <w:sz w:val="18"/>
                <w:szCs w:val="18"/>
                <w:color w:val="auto"/>
              </w:rPr>
              <w:t>$1.19 per square foot per month</w:t>
            </w:r>
          </w:p>
        </w:tc>
        <w:tc>
          <w:tcPr>
            <w:tcW w:w="1400" w:type="dxa"/>
            <w:vAlign w:val="bottom"/>
          </w:tcPr>
          <w:p>
            <w:pPr>
              <w:spacing w:after="0"/>
              <w:rPr>
                <w:sz w:val="20"/>
                <w:szCs w:val="20"/>
                <w:color w:val="auto"/>
              </w:rPr>
            </w:pPr>
            <w:r>
              <w:rPr>
                <w:rFonts w:ascii="Arial" w:cs="Arial" w:eastAsia="Arial" w:hAnsi="Arial"/>
                <w:sz w:val="18"/>
                <w:szCs w:val="18"/>
                <w:color w:val="auto"/>
              </w:rPr>
              <w:t>$118,222.93</w:t>
            </w:r>
          </w:p>
        </w:tc>
        <w:tc>
          <w:tcPr>
            <w:tcW w:w="1740" w:type="dxa"/>
            <w:vAlign w:val="bottom"/>
          </w:tcPr>
          <w:p>
            <w:pPr>
              <w:spacing w:after="0"/>
              <w:rPr>
                <w:sz w:val="18"/>
                <w:szCs w:val="18"/>
                <w:color w:val="auto"/>
              </w:rPr>
            </w:pPr>
          </w:p>
        </w:tc>
      </w:tr>
      <w:tr>
        <w:trPr>
          <w:trHeight w:val="216"/>
        </w:trPr>
        <w:tc>
          <w:tcPr>
            <w:tcW w:w="560" w:type="dxa"/>
            <w:vAlign w:val="bottom"/>
            <w:shd w:val="clear" w:color="auto" w:fill="EEEEEE"/>
          </w:tcPr>
          <w:p>
            <w:pPr>
              <w:spacing w:after="0"/>
              <w:rPr>
                <w:sz w:val="20"/>
                <w:szCs w:val="20"/>
                <w:color w:val="auto"/>
              </w:rPr>
            </w:pPr>
            <w:r>
              <w:rPr>
                <w:rFonts w:ascii="Arial" w:cs="Arial" w:eastAsia="Arial" w:hAnsi="Arial"/>
                <w:sz w:val="18"/>
                <w:szCs w:val="18"/>
                <w:color w:val="auto"/>
              </w:rPr>
              <w:t>25-36</w:t>
            </w:r>
          </w:p>
        </w:tc>
        <w:tc>
          <w:tcPr>
            <w:tcW w:w="900" w:type="dxa"/>
            <w:vAlign w:val="bottom"/>
            <w:shd w:val="clear" w:color="auto" w:fill="EEEEEE"/>
          </w:tcPr>
          <w:p>
            <w:pPr>
              <w:spacing w:after="0"/>
              <w:rPr>
                <w:sz w:val="18"/>
                <w:szCs w:val="18"/>
                <w:color w:val="auto"/>
              </w:rPr>
            </w:pPr>
          </w:p>
        </w:tc>
        <w:tc>
          <w:tcPr>
            <w:tcW w:w="6640" w:type="dxa"/>
            <w:vAlign w:val="bottom"/>
            <w:gridSpan w:val="3"/>
            <w:shd w:val="clear" w:color="auto" w:fill="EEEEEE"/>
          </w:tcPr>
          <w:p>
            <w:pPr>
              <w:ind w:left="920"/>
              <w:spacing w:after="0"/>
              <w:rPr>
                <w:sz w:val="20"/>
                <w:szCs w:val="20"/>
                <w:color w:val="auto"/>
              </w:rPr>
            </w:pPr>
            <w:r>
              <w:rPr>
                <w:rFonts w:ascii="Arial" w:cs="Arial" w:eastAsia="Arial" w:hAnsi="Arial"/>
                <w:sz w:val="18"/>
                <w:szCs w:val="18"/>
                <w:color w:val="auto"/>
              </w:rPr>
              <w:t>$1.23 per square foot per month</w:t>
            </w: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$122,196.81</w:t>
            </w:r>
          </w:p>
        </w:tc>
        <w:tc>
          <w:tcPr>
            <w:tcW w:w="1740" w:type="dxa"/>
            <w:vAlign w:val="bottom"/>
            <w:shd w:val="clear" w:color="auto" w:fill="EEEEEE"/>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37-48</w:t>
            </w:r>
          </w:p>
        </w:tc>
        <w:tc>
          <w:tcPr>
            <w:tcW w:w="900" w:type="dxa"/>
            <w:vAlign w:val="bottom"/>
          </w:tcPr>
          <w:p>
            <w:pPr>
              <w:spacing w:after="0"/>
              <w:rPr>
                <w:sz w:val="18"/>
                <w:szCs w:val="18"/>
                <w:color w:val="auto"/>
              </w:rPr>
            </w:pPr>
          </w:p>
        </w:tc>
        <w:tc>
          <w:tcPr>
            <w:tcW w:w="6640" w:type="dxa"/>
            <w:vAlign w:val="bottom"/>
            <w:gridSpan w:val="3"/>
          </w:tcPr>
          <w:p>
            <w:pPr>
              <w:ind w:left="920"/>
              <w:spacing w:after="0"/>
              <w:rPr>
                <w:sz w:val="20"/>
                <w:szCs w:val="20"/>
                <w:color w:val="auto"/>
              </w:rPr>
            </w:pPr>
            <w:r>
              <w:rPr>
                <w:rFonts w:ascii="Arial" w:cs="Arial" w:eastAsia="Arial" w:hAnsi="Arial"/>
                <w:sz w:val="18"/>
                <w:szCs w:val="18"/>
                <w:color w:val="auto"/>
              </w:rPr>
              <w:t>$1.27 per square foot per month</w:t>
            </w:r>
          </w:p>
        </w:tc>
        <w:tc>
          <w:tcPr>
            <w:tcW w:w="1400" w:type="dxa"/>
            <w:vAlign w:val="bottom"/>
          </w:tcPr>
          <w:p>
            <w:pPr>
              <w:spacing w:after="0"/>
              <w:rPr>
                <w:sz w:val="20"/>
                <w:szCs w:val="20"/>
                <w:color w:val="auto"/>
              </w:rPr>
            </w:pPr>
            <w:r>
              <w:rPr>
                <w:rFonts w:ascii="Arial" w:cs="Arial" w:eastAsia="Arial" w:hAnsi="Arial"/>
                <w:sz w:val="18"/>
                <w:szCs w:val="18"/>
                <w:color w:val="auto"/>
              </w:rPr>
              <w:t>$126,170.69</w:t>
            </w:r>
          </w:p>
        </w:tc>
        <w:tc>
          <w:tcPr>
            <w:tcW w:w="1740" w:type="dxa"/>
            <w:vAlign w:val="bottom"/>
          </w:tcPr>
          <w:p>
            <w:pPr>
              <w:spacing w:after="0"/>
              <w:rPr>
                <w:sz w:val="18"/>
                <w:szCs w:val="18"/>
                <w:color w:val="auto"/>
              </w:rPr>
            </w:pPr>
          </w:p>
        </w:tc>
      </w:tr>
      <w:tr>
        <w:trPr>
          <w:trHeight w:val="216"/>
        </w:trPr>
        <w:tc>
          <w:tcPr>
            <w:tcW w:w="560" w:type="dxa"/>
            <w:vAlign w:val="bottom"/>
            <w:shd w:val="clear" w:color="auto" w:fill="EEEEEE"/>
          </w:tcPr>
          <w:p>
            <w:pPr>
              <w:spacing w:after="0"/>
              <w:rPr>
                <w:sz w:val="20"/>
                <w:szCs w:val="20"/>
                <w:color w:val="auto"/>
              </w:rPr>
            </w:pPr>
            <w:r>
              <w:rPr>
                <w:rFonts w:ascii="Arial" w:cs="Arial" w:eastAsia="Arial" w:hAnsi="Arial"/>
                <w:sz w:val="18"/>
                <w:szCs w:val="18"/>
                <w:color w:val="auto"/>
              </w:rPr>
              <w:t>49-60</w:t>
            </w:r>
          </w:p>
        </w:tc>
        <w:tc>
          <w:tcPr>
            <w:tcW w:w="900" w:type="dxa"/>
            <w:vAlign w:val="bottom"/>
            <w:shd w:val="clear" w:color="auto" w:fill="EEEEEE"/>
          </w:tcPr>
          <w:p>
            <w:pPr>
              <w:spacing w:after="0"/>
              <w:rPr>
                <w:sz w:val="18"/>
                <w:szCs w:val="18"/>
                <w:color w:val="auto"/>
              </w:rPr>
            </w:pPr>
          </w:p>
        </w:tc>
        <w:tc>
          <w:tcPr>
            <w:tcW w:w="6640" w:type="dxa"/>
            <w:vAlign w:val="bottom"/>
            <w:gridSpan w:val="3"/>
            <w:shd w:val="clear" w:color="auto" w:fill="EEEEEE"/>
          </w:tcPr>
          <w:p>
            <w:pPr>
              <w:ind w:left="920"/>
              <w:spacing w:after="0"/>
              <w:rPr>
                <w:sz w:val="20"/>
                <w:szCs w:val="20"/>
                <w:color w:val="auto"/>
              </w:rPr>
            </w:pPr>
            <w:r>
              <w:rPr>
                <w:rFonts w:ascii="Arial" w:cs="Arial" w:eastAsia="Arial" w:hAnsi="Arial"/>
                <w:sz w:val="18"/>
                <w:szCs w:val="18"/>
                <w:color w:val="auto"/>
              </w:rPr>
              <w:t>$1.31 per square foot per month</w:t>
            </w: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$130,144.57</w:t>
            </w:r>
          </w:p>
        </w:tc>
        <w:tc>
          <w:tcPr>
            <w:tcW w:w="1740" w:type="dxa"/>
            <w:vAlign w:val="bottom"/>
            <w:shd w:val="clear" w:color="auto" w:fill="EEEEEE"/>
          </w:tcPr>
          <w:p>
            <w:pPr>
              <w:spacing w:after="0"/>
              <w:rPr>
                <w:sz w:val="18"/>
                <w:szCs w:val="18"/>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61-62</w:t>
            </w:r>
          </w:p>
        </w:tc>
        <w:tc>
          <w:tcPr>
            <w:tcW w:w="900" w:type="dxa"/>
            <w:vAlign w:val="bottom"/>
          </w:tcPr>
          <w:p>
            <w:pPr>
              <w:spacing w:after="0"/>
              <w:rPr>
                <w:sz w:val="20"/>
                <w:szCs w:val="20"/>
                <w:color w:val="auto"/>
              </w:rPr>
            </w:pPr>
          </w:p>
        </w:tc>
        <w:tc>
          <w:tcPr>
            <w:tcW w:w="6640" w:type="dxa"/>
            <w:vAlign w:val="bottom"/>
            <w:gridSpan w:val="3"/>
          </w:tcPr>
          <w:p>
            <w:pPr>
              <w:ind w:left="920"/>
              <w:spacing w:after="0"/>
              <w:rPr>
                <w:sz w:val="20"/>
                <w:szCs w:val="20"/>
                <w:color w:val="auto"/>
              </w:rPr>
            </w:pPr>
            <w:r>
              <w:rPr>
                <w:rFonts w:ascii="Arial" w:cs="Arial" w:eastAsia="Arial" w:hAnsi="Arial"/>
                <w:sz w:val="18"/>
                <w:szCs w:val="18"/>
                <w:color w:val="auto"/>
              </w:rPr>
              <w:t>$1.36 per square foot per month</w:t>
            </w:r>
          </w:p>
        </w:tc>
        <w:tc>
          <w:tcPr>
            <w:tcW w:w="1400" w:type="dxa"/>
            <w:vAlign w:val="bottom"/>
          </w:tcPr>
          <w:p>
            <w:pPr>
              <w:spacing w:after="0"/>
              <w:rPr>
                <w:sz w:val="20"/>
                <w:szCs w:val="20"/>
                <w:color w:val="auto"/>
              </w:rPr>
            </w:pPr>
            <w:r>
              <w:rPr>
                <w:rFonts w:ascii="Arial" w:cs="Arial" w:eastAsia="Arial" w:hAnsi="Arial"/>
                <w:sz w:val="18"/>
                <w:szCs w:val="18"/>
                <w:color w:val="auto"/>
              </w:rPr>
              <w:t>$135,111.92</w:t>
            </w:r>
          </w:p>
        </w:tc>
        <w:tc>
          <w:tcPr>
            <w:tcW w:w="1740" w:type="dxa"/>
            <w:vAlign w:val="bottom"/>
          </w:tcPr>
          <w:p>
            <w:pPr>
              <w:spacing w:after="0"/>
              <w:rPr>
                <w:sz w:val="20"/>
                <w:szCs w:val="20"/>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will be abated.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December 31, 2021, the Company had not paid any rental fees as the Premises has not been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Except as disclosed below, the Company is not currently a party to any material legal proceedings, investigation or claims. However, the Company may, from time to time, be involved in legal matters arising in the ordinary course of its business. While the Company is not presently subject to any material legal proceedings, other than the proceeding detailed below,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21" w:name="page22"/>
    <w:bookmarkEnd w:id="21"/>
    <w:p>
      <w:pPr>
        <w:jc w:val="both"/>
        <w:spacing w:after="0" w:line="287" w:lineRule="auto"/>
        <w:rPr>
          <w:sz w:val="20"/>
          <w:szCs w:val="20"/>
          <w:color w:val="auto"/>
        </w:rPr>
      </w:pPr>
      <w:r>
        <w:rPr>
          <w:rFonts w:ascii="Arial" w:cs="Arial" w:eastAsia="Arial" w:hAnsi="Arial"/>
          <w:sz w:val="16"/>
          <w:szCs w:val="16"/>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The FINRA arbitration has been scheduled for June 20, 2022.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will have on the Company’s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14, 2022, the board of directors (the “Board”) of iPower, Inc., a Nevada corporation (the “Company”), approved the Company’s entry into a joint venture agreement, dated January 13, 2022 (the “Box Harmony Joint Venture Agreement”), with Titanium Plus Autoparts, Inc., a California corporation (“TPA”), Tony Chiu (“Chiu”) and Bin Xiao (“Xiao”). Pursuant to the terms of the Box Harmony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entry into the Box Harmony Joint Venture Agreement, Box Harmony issued a total of 6,000 certificated units of membership interest, designated as Class A voting units (“Equity Units”), as follows: (i) the Company agreed to contribute $50,000 in cash and agreed to provide Box Harmony with the use and access to certain warehouse facilities leased by the Company (see below) in exchange for 2,400 Equity Units in Box Harmony, and (ii) TPA received 1,200 Equity Units in exchange for (a) $1,200 and contributing the TPA IP License referred to below, (b) its existing and future customer contracts, and (c) granting Box Harmony the use of shipping accounts (Fedex and UPS) and all other TPA carrier contracts, and (iii) Bin received 2,400 Equity Units in exchange for $2,400 and his agreement to manage the day to day operations of Box Harmony.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The LLC Agreement prohibits the issuance of additional Equity Units and certain other actions unless approved in advance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Pursuant to the Box Harmony Joint Venture Agreement, on January 13, 2022, the Company and Box Harmony entered into a facility and use access sublease agreement (the “Facility and Use Access Agreement”), pursuant to which the Company will sublease to Box Harmony a portion of its leased warehouses located in California. Under such Facility and Use Access Agreement, Box Harmony would pay the Company a pro-rata portion of all rent and other charges based on the amount of square feet of rentable space sublet to and used by Box Harmony. Further pursuant to the terms of the Box Harmony Joint Venture Agreement, on January 13, 2022, Box Harmony, TPA and Xiao entered into a consulting agreement (“Consulting Agreement”), pursuant to which Xiao and TPA will provide management consulting services to assist Box Harmony in conducting its business. Additionally, on January 13, 2022, TPA, Xiao and Chiu entered into a license agreement (“License Agreement”) pursuant to which TPA licensed certain intellectual property rights to Box Harmony.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filing, there was no activities conducted by Box Harmony yet.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4, 2022, the board of directors (the “Board”) of the Company approved the Company’s entry into a joint venture agreement with Bro Angel, LLC, Jie Shan and Bing Luo (the “GSM Joint Venture Agreement”). Pursuant to the terms of the GSM Joint Venture Agreement, dated February 10, 2022, the parties formed a Nevada limited liability company, Global Social Media, LLC (“GSM”), for the principal purpose of providing a social media platform, contents and services to assist businesses, including the Company and other businesses, in the marketing of their products.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GSM limited liability operating agreement (the “GSM LLC Agreement”), the Company contributed $100,000 to the capital of GSM and Bro Angel granted GSM an exclusive worldwide paid up right and license to use all intellectual property of Bro Angel and its members for the purpose of furthering the proposed business of GSM. The LLC Agreement prohibits the issuance of additional GSM Equity Units and certain other actions unless approved in advance by the Company.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GSM Joint Venture Agreement, the Company and GSM also intend to enter into an occupancy management agreement pursuant to which the Company shall agree to grant to GSM the right to have access to and use up to approximately 4,000 square feet of office space along with internet access at the Company’s facility located at 2399 Bateman Avenue, Irwindale, CA 91010. It is contemplated that only approximately 300-400 square feet will be initially used by GSM.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filing, there was no activities conducted by GSM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financial statements and the related notes thereto included elsewhere herein. This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iPower Inc. is an online hydroponic, home and garden equipment supplier based in the United States. Through the operations of our e-commerce platform, www.Zenhydro.com, and our combined 72,000 square foot fulfillment centers in Los Angeles, California, we believe we are one of the leading marketers, distributors and retailers of grow-light systems, ventilation systems, activated carbon filters, nutrients, growing media, hydroponic water-resistant grow tents, trimming machines, pumps, shelving and accessories for hydroponic gardening,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We are actively developing and acquiring our in-house branded products, which to date include the </w:t>
      </w:r>
      <w:r>
        <w:rPr>
          <w:rFonts w:ascii="Arial" w:cs="Arial" w:eastAsia="Arial" w:hAnsi="Arial"/>
          <w:sz w:val="16"/>
          <w:szCs w:val="16"/>
          <w:b w:val="1"/>
          <w:bCs w:val="1"/>
          <w:i w:val="1"/>
          <w:iCs w:val="1"/>
          <w:color w:val="auto"/>
        </w:rPr>
        <w:t>iPower</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Simple Deluxe</w:t>
      </w:r>
      <w:r>
        <w:rPr>
          <w:rFonts w:ascii="Arial" w:cs="Arial" w:eastAsia="Arial" w:hAnsi="Arial"/>
          <w:sz w:val="16"/>
          <w:szCs w:val="16"/>
          <w:color w:val="auto"/>
        </w:rPr>
        <w:t xml:space="preserve"> brands and consist of more than 4,000 SKUs of products such as grow-light systems, ventilation systems, activated carbon filters, nutrients, growing media, hydroponic water-resistant grow tents, trimming machines, pumps and many more hydroponic-related items; some of which have been designated as Amazon best seller product leaders, among others. For the quarter ended December 31, 2021, our top five product segments accounted for 64.4% of total sales. While we continue to focus on our top product categories, we are working to expand our product catalog to include new and adjacent categories.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Outbreak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continuing to closely monitor the impact of the COVID-19 outbreak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that the outbreak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suspending all non-essential travel, transitioning certain of our employees to working-from-home arrangements, reimbursing certain employee technology purchases, providing emergency paid time off and targeted hourly pay increases and developing no contact delivery methods.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firstLine="648"/>
        <w:spacing w:after="0" w:line="296" w:lineRule="auto"/>
        <w:rPr>
          <w:sz w:val="20"/>
          <w:szCs w:val="20"/>
          <w:color w:val="auto"/>
        </w:rPr>
      </w:pPr>
      <w:r>
        <w:rPr>
          <w:rFonts w:ascii="Arial" w:cs="Arial" w:eastAsia="Arial" w:hAnsi="Arial"/>
          <w:sz w:val="16"/>
          <w:szCs w:val="16"/>
          <w:color w:val="auto"/>
        </w:rPr>
        <w:t>In an effort to contain or slow the COVID-19 outbreak,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outbreak, including any resurgences, will continue to negatively impact global economic activity.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December 31, 2021 and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unaudited condensed consolidated and combined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41"/>
              <w:spacing w:after="0"/>
              <w:rPr>
                <w:sz w:val="20"/>
                <w:szCs w:val="20"/>
                <w:color w:val="auto"/>
              </w:rPr>
            </w:pPr>
            <w:r>
              <w:rPr>
                <w:rFonts w:ascii="Arial" w:cs="Arial" w:eastAsia="Arial" w:hAnsi="Arial"/>
                <w:sz w:val="18"/>
                <w:szCs w:val="18"/>
                <w:b w:val="1"/>
                <w:bCs w:val="1"/>
                <w:color w:val="auto"/>
                <w:w w:val="91"/>
              </w:rPr>
              <w:t>Three Months</w:t>
            </w:r>
          </w:p>
        </w:tc>
        <w:tc>
          <w:tcPr>
            <w:tcW w:w="160" w:type="dxa"/>
            <w:vAlign w:val="bottom"/>
          </w:tcPr>
          <w:p>
            <w:pPr>
              <w:spacing w:after="0"/>
              <w:rPr>
                <w:sz w:val="18"/>
                <w:szCs w:val="18"/>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Three Months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7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41"/>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Variance</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17,125,663</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11,254,317</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Cost of goods sold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9,568,051</w:t>
            </w: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6,306,726</w:t>
            </w:r>
          </w:p>
        </w:tc>
        <w:tc>
          <w:tcPr>
            <w:tcW w:w="3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51.71%</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8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7,557,612</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4,947,591</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Selling, fulfillment, general and administrative expenses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6,422,327</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4,094,485</w:t>
            </w:r>
          </w:p>
        </w:tc>
        <w:tc>
          <w:tcPr>
            <w:tcW w:w="3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56.85%</w:t>
            </w:r>
          </w:p>
        </w:tc>
      </w:tr>
      <w:tr>
        <w:trPr>
          <w:trHeight w:val="230"/>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1,135,285</w:t>
            </w:r>
          </w:p>
        </w:tc>
        <w:tc>
          <w:tcPr>
            <w:tcW w:w="1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853,106</w:t>
            </w:r>
          </w:p>
        </w:tc>
        <w:tc>
          <w:tcPr>
            <w:tcW w:w="3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33.08%</w:t>
            </w:r>
          </w:p>
        </w:tc>
      </w:tr>
      <w:tr>
        <w:trPr>
          <w:trHeight w:val="210"/>
        </w:trPr>
        <w:tc>
          <w:tcPr>
            <w:tcW w:w="49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84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(14,709</w:t>
            </w:r>
          </w:p>
        </w:tc>
        <w:tc>
          <w:tcPr>
            <w:tcW w:w="340" w:type="dxa"/>
            <w:vAlign w:val="bottom"/>
            <w:tcBorders>
              <w:bottom w:val="single" w:sz="8" w:color="EEEEEE"/>
            </w:tcBorders>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(50,700</w:t>
            </w:r>
          </w:p>
        </w:tc>
        <w:tc>
          <w:tcPr>
            <w:tcW w:w="320" w:type="dxa"/>
            <w:vAlign w:val="bottom"/>
            <w:tcBorders>
              <w:bottom w:val="single" w:sz="8" w:color="EEEEEE"/>
            </w:tcBorders>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1,120,576</w:t>
            </w: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802,406</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39.65%</w:t>
            </w:r>
          </w:p>
        </w:tc>
        <w:tc>
          <w:tcPr>
            <w:tcW w:w="100" w:type="dxa"/>
            <w:vAlign w:val="bottom"/>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Income tax expenses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322,715</w:t>
            </w: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226,930</w:t>
            </w:r>
          </w:p>
        </w:tc>
        <w:tc>
          <w:tcPr>
            <w:tcW w:w="3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42.21%</w:t>
            </w:r>
          </w:p>
        </w:tc>
      </w:tr>
      <w:tr>
        <w:trPr>
          <w:trHeight w:val="223"/>
        </w:trPr>
        <w:tc>
          <w:tcPr>
            <w:tcW w:w="4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797,861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575,476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8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44.13%</w:t>
            </w:r>
          </w:p>
        </w:tc>
        <w:tc>
          <w:tcPr>
            <w:tcW w:w="1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43.96%</w:t>
            </w:r>
          </w:p>
        </w:tc>
        <w:tc>
          <w:tcPr>
            <w:tcW w:w="300" w:type="dxa"/>
            <w:vAlign w:val="bottom"/>
            <w:shd w:val="clear" w:color="auto" w:fill="EEEEEE"/>
          </w:tcPr>
          <w:p>
            <w:pPr>
              <w:spacing w:after="0"/>
              <w:rPr>
                <w:sz w:val="19"/>
                <w:szCs w:val="19"/>
                <w:color w:val="auto"/>
              </w:rPr>
            </w:pPr>
          </w:p>
        </w:tc>
        <w:tc>
          <w:tcPr>
            <w:tcW w:w="1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Net income % of revenues</w:t>
            </w:r>
          </w:p>
        </w:tc>
        <w:tc>
          <w:tcPr>
            <w:tcW w:w="8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for the three months ended December 31, 2021 increased 52.17% to $17,125,663 as compared to $11,254,317 for the three months ended December 31, 2020. While pricing remained stable, the increased revenue mainly resulted from an increase in sales volume and expansion of sales to other regions, such as Canada, Europe, Asia, etc. In addition to our organic growth, which we achieved as a result of improved products and more effective online marketing and merchandising efforts, the increase in sales was attributable to more people shopping online and pursuing gardening and growing projects during the COVID-19 pandemic. However, while the revenues for the current quarter remained consistent with last quarter, we cannot assure that this trend will continue, and our business may be adversely affected by poor overall economic conditions and shipping delays caused by the ongoing COVID-19 pandemic.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of goods sold for the three months ended December 31, 2021 increased 51.71% to $9,568,051 as compared to $6,306,726 for the three months ended December 31, 2020. The increase was due to an increase in sales, as discussed above. In addition, we experienced a decrease in cost of goods sold as a percentage of revenue as a result of selling more products under in-house brands as opposed to third party brands. See discussions on gross profit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was $7,557,612 for the three months ended December 31, 2021 as compared to $4,947,591 for the three months ended December 31, 2020. The gross profit ratio slightly increased to 44.13% for the three months ended December 31, 2021 from 43.96% for the three months ended December 31, 2020. The increase was mainly due to a combination of an increase in sales, as discussed above, and a decrease of cost of goods sold resulting from selling more products under in-house brands as opposed to third party brands. The gross margin for in-house branded products is, on average, 20% higher than our gross margin for third party brands.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Fulfillment, 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Selling, fulfillment, and general and administrative expenses for the three months ended December 31, 2021 increased 56.85% to $6,422,327 as compared to $4,094,485 for the three months ended December 31, 2020. The increase was mainly due to an increase in selling and fulfillment expenses of $0.86 million and general and administrative expenses of $1.47 million, which included payroll expenses, stock-based compensation expense, insurance expenses, and other operating expenses including expenses associated with being a publicly traded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(expenses) consists of interest expense, financing fees and other non-operating income (expenses). Other expenses for the three months ended December 31, 2021 was ($14,709) as compared to ($50,700) for the three months ended December 31, 2020. The decrease in other expenses was a combined result of an increase in other income of $49,948 and an increase in interest, including amortization of debt discount on the revolving loan, and financing expenses of 13,957 during the period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income for the three months ended December 31, 2021 was $797,861 as compared to net income of $575,476 for the three months ended December 31, 2020, representing an increase of $222,385. The decrease in net income as percentage of revenues for the three months ended December 31, 2021 was primarily due to the increase in operating and non-operating expenses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For the six months ended December 31, 2021 and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unaudited condensed consolidated and combined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0"/>
              </w:rPr>
              <w:t>Six Months Ended</w:t>
            </w:r>
          </w:p>
        </w:tc>
        <w:tc>
          <w:tcPr>
            <w:tcW w:w="18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4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7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ind w:left="440"/>
              <w:spacing w:after="0"/>
              <w:rPr>
                <w:sz w:val="20"/>
                <w:szCs w:val="20"/>
                <w:color w:val="auto"/>
              </w:rPr>
            </w:pPr>
            <w:r>
              <w:rPr>
                <w:rFonts w:ascii="Arial" w:cs="Arial" w:eastAsia="Arial" w:hAnsi="Arial"/>
                <w:sz w:val="18"/>
                <w:szCs w:val="18"/>
                <w:b w:val="1"/>
                <w:bCs w:val="1"/>
                <w:color w:val="auto"/>
              </w:rPr>
              <w:t>Variance</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8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34,492,428</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1"/>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26,214,252</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Cost of goods sold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19,621,114</w:t>
            </w: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15,703,873</w:t>
            </w:r>
          </w:p>
        </w:tc>
        <w:tc>
          <w:tcPr>
            <w:tcW w:w="3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8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14,871,314</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10,510,379</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Selling, fulfillment, general and administrative expenses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12,445,714</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8,580,900</w:t>
            </w:r>
          </w:p>
        </w:tc>
        <w:tc>
          <w:tcPr>
            <w:tcW w:w="3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45.04%</w:t>
            </w:r>
          </w:p>
        </w:tc>
      </w:tr>
      <w:tr>
        <w:trPr>
          <w:trHeight w:val="229"/>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2,425,600</w:t>
            </w:r>
          </w:p>
        </w:tc>
        <w:tc>
          <w:tcPr>
            <w:tcW w:w="1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1,929,479</w:t>
            </w:r>
          </w:p>
        </w:tc>
        <w:tc>
          <w:tcPr>
            <w:tcW w:w="3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25.71%</w:t>
            </w:r>
          </w:p>
        </w:tc>
      </w:tr>
      <w:tr>
        <w:trPr>
          <w:trHeight w:val="209"/>
        </w:trPr>
        <w:tc>
          <w:tcPr>
            <w:tcW w:w="49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84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(74,521</w:t>
            </w:r>
          </w:p>
        </w:tc>
        <w:tc>
          <w:tcPr>
            <w:tcW w:w="340" w:type="dxa"/>
            <w:vAlign w:val="bottom"/>
            <w:tcBorders>
              <w:bottom w:val="single" w:sz="8" w:color="EEEEEE"/>
            </w:tcBorders>
          </w:tcPr>
          <w:p>
            <w:pPr>
              <w:jc w:val="right"/>
              <w:ind w:right="2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(69,133</w:t>
            </w:r>
          </w:p>
        </w:tc>
        <w:tc>
          <w:tcPr>
            <w:tcW w:w="320" w:type="dxa"/>
            <w:vAlign w:val="bottom"/>
            <w:tcBorders>
              <w:bottom w:val="single" w:sz="8" w:color="EEEEEE"/>
            </w:tcBorders>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EEEEEE"/>
            </w:tcBorders>
          </w:tcPr>
          <w:p>
            <w:pPr>
              <w:spacing w:after="0"/>
              <w:rPr>
                <w:sz w:val="18"/>
                <w:szCs w:val="18"/>
                <w:color w:val="auto"/>
              </w:rPr>
            </w:pPr>
          </w:p>
        </w:tc>
      </w:tr>
      <w:tr>
        <w:trPr>
          <w:trHeight w:val="210"/>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2,351,079</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1,860,346</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EEEEEE"/>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Income tax expenses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Arial" w:cs="Arial" w:eastAsia="Arial" w:hAnsi="Arial"/>
                <w:sz w:val="18"/>
                <w:szCs w:val="18"/>
                <w:color w:val="auto"/>
              </w:rPr>
              <w:t>665,690</w:t>
            </w: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522,874</w:t>
            </w:r>
          </w:p>
        </w:tc>
        <w:tc>
          <w:tcPr>
            <w:tcW w:w="3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27.31%</w:t>
            </w:r>
          </w:p>
        </w:tc>
      </w:tr>
      <w:tr>
        <w:trPr>
          <w:trHeight w:val="223"/>
        </w:trPr>
        <w:tc>
          <w:tcPr>
            <w:tcW w:w="4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1,685,389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1"/>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1,337,472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8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43.11%</w:t>
            </w:r>
          </w:p>
        </w:tc>
        <w:tc>
          <w:tcPr>
            <w:tcW w:w="1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40.09%</w:t>
            </w:r>
          </w:p>
        </w:tc>
        <w:tc>
          <w:tcPr>
            <w:tcW w:w="300" w:type="dxa"/>
            <w:vAlign w:val="bottom"/>
            <w:shd w:val="clear" w:color="auto" w:fill="EEEEEE"/>
          </w:tcPr>
          <w:p>
            <w:pPr>
              <w:spacing w:after="0"/>
              <w:rPr>
                <w:sz w:val="19"/>
                <w:szCs w:val="19"/>
                <w:color w:val="auto"/>
              </w:rPr>
            </w:pPr>
          </w:p>
        </w:tc>
        <w:tc>
          <w:tcPr>
            <w:tcW w:w="1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Net income % of revenues</w:t>
            </w:r>
          </w:p>
        </w:tc>
        <w:tc>
          <w:tcPr>
            <w:tcW w:w="8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Revenues for the six months ended December 31, 2021 increased 31.58% to $34,492,428 as compared to $26,214,252 for the six months ended December 31, 2020. While pricing remained stable, the increased revenue mainly resulted from an increase in sales volume and expansion of sales to other regions, such as Canada, Europe, Asia, etc. In addition to our organic growth, which we achieved as a result of improved products and more effective online marketing and merchandising efforts, the increase in sales was attributable to more people shopping online and pursuing gardening and growing projects during the COVID-19 pandemic. However, we cannot assure that this trend will continue, and our business may be adversely affected by poor overall economic conditions and shipping delays caused by the ongoing COVID-19 pandemic.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5"/>
          <w:szCs w:val="15"/>
          <w:color w:val="auto"/>
        </w:rPr>
        <w:t>Costs of goods sold for the six months ended December 31, 2021 increased 24.94% to $19,621,114 as compared to $15,703,873 for the six months ended December 31, 2020. The increase was due to an increase in sales as discussed above. In addition, we experienced a decrease of cost of goods sold as a percentage of revenue as a result of selling more products under in-house brands as opposed to third party brands. See discussions on gross profit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Gross profit was $14,871,314 for the six months ended December 31, 2021 as compared to $10,510,379 for the six months ended December 31, 2020. The gross profit ratio also increased to 43.11% for the six months ended December 31, 2021 from 40.09% for the six months ended December 31,</w:t>
      </w:r>
    </w:p>
    <w:p>
      <w:pPr>
        <w:jc w:val="both"/>
        <w:ind w:right="20"/>
        <w:spacing w:after="0" w:line="255" w:lineRule="auto"/>
        <w:rPr>
          <w:sz w:val="20"/>
          <w:szCs w:val="20"/>
          <w:color w:val="auto"/>
        </w:rPr>
      </w:pPr>
      <w:r>
        <w:rPr>
          <w:rFonts w:ascii="Arial" w:cs="Arial" w:eastAsia="Arial" w:hAnsi="Arial"/>
          <w:sz w:val="18"/>
          <w:szCs w:val="18"/>
          <w:color w:val="auto"/>
        </w:rPr>
        <w:t>2020. The increase was due to a combination of an increase in sales as discussed above and a decrease of cost of goods sold resulting from selling more products under in-house brands as opposed to third party brands. The gross margin for in-house branded products is, on average, 20% higher than our gross margin for third party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Selling, Fulfillment, 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Selling, fulfillment, general and administrative expenses for the six months ended December 31, 2021 increased 45.04% to $12,445,714 as compared to $8,580,900 for the six months ended December 31, 2020. The increase was mainly due to an increase in selling and fulfillment expenses of $1.31 million and general and administrative expenses of $2.56 million, which included payroll expenses, stock-based compensation expense, insurance expenses, and other operating expenses including expenses associated with being a publicly traded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(expenses) consists of interest expense, financing fees and other non-operating income (expenses). Other expenses for the six months ended December 31, 2021 was ($74,521) as compared to ($69,133) for the six months ended December 31, 2020. The slight increase in other expenses was mainly due to an increase in interest expenses, including amortization of debt discount on the revolving loan, during the period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income for the six months ended December 31, 2021 was $1,685,389 as compared to net income of $1,337,472 for the six months ended December 31, 2020, representing an increase of $347,917. While the gross profit as percentage of revenues increased to 43.11% in the six months ended December 31, 2021 as compared to 40.09% for the same period in 2020, the slight decrease in net income as percentage of revenues for the six months ended December 31, 2021 was primarily due to the increase in operating expenses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six months ended December 31, 2021 we primarily funded our operations with cash and cash equivalents generated from operations, as well as through completion of two private placements in 2020 and 2021, completion of our initial public offering in May of 2021, and borrowing under our credit facility and loans from the Small Business Administration and JPMorgan Chase Bank. We had cash and cash equivalents of $1,091,758 as of December 31, 2021, representing a $5.56 million decrease from $6,651,705 of cash as of June 30, 2021. The cash decrease was primarily the result of the decrease in net cash provided by operating activities, including increased investment in inventory to support our increasing sales, payment of income taxes, and the increase in accounts receivable from Amazon resulting from increased sales.</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Based on our current operating plan, and despite the current uncertainty resulting from the ongoing COVID-19 pandemic, we believe that our existing cash and cash equivalents and cash flows from operations will be sufficient to finance our operations the next twelve months.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twelve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to our margin profile and ability to generate cash. In addition, we have approximately $8 million unused credit under the revolving line with JPM. Given our current working capital position an available funding from our revolving credit line, we believe we will be able to manage through the current challenges by managing payment terms with customers and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2021 and June 30, 2021, our working capital was $31.96 million and $23.28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for the six months ended December 31, 2021 and December 31, 2020 was $12,243,043 and $1,467,067, respectively. The increase in use of cash in operating activities was resulted from an increased purchase of products in order to maintain the higher inventory levels required to meet our increasing sales volumes, payment of income taxes, and the increase in accounts receivable resulted from increased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six months ended December 31, 2021 and December 31, 2020, net cash used in investing activities was the result of additions to property and equipment of $56,424 and $55,751, respectively, which were mainly related to the purchase of warehouse fixtures and office equipment.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$6,739,520 and $1,089,256, respectively, for the six months ended December 31, 2021 and December 31, 2020. The main reason for the increase in net cash provided was primarily a result of proceeds from the asset-based revolving loan with JPMorgan Chase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prepare our consolidated and combined financial statements in accordance with accounting principles generally accepted in the United States, or GAAP and pursuant to the rules and regulations of the Securities Exchange Commission (“SEC”). The preparation of consolidated and combined financial statements in conformity with GAAP requires management to make estimates and assumptions that affect the amounts reported in the consolidated and combined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and combined financial statements, we believe that the following accounting policies are critical to the process of making significant judgments and estimates in the preparation of our audited consolidated and combined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Inventory, net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 costs and reflected in selling, general and administrative expenses. The Company regularly reviews inventory and considers forecasts of future demand, market conditions and product obsolescence.</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inception on April 11, 2018, the Company adopted ASC 842 – Leases (“ASC 842”), which requires lessees to record right-of-use, or ROU, assets and related lease obligations on the balance sheet, as well as disclose key information regarding leasing arrangements.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becomes effective for the Company on July 1, 2022, including interim periods within those fiscal years. Adoption is either a modified retrospective method or a fully retrospective method of transition. The Company does not expect the adoption of this standard have a material impact on the consolidated financial statements.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Adoption of this standard did not have a material impact on the consolidated financial statements.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and combined financial position, statements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2021,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(ii) lack of effective communication procedures, (iii) our controls related to the financial statements closing process were not adequately designed or appropriately implemented to identify material misstatements in our financial reporting on a timely basis.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quarter ended December 31, 2021, we identified misstatement of sales and related expenses during the reconciliation process for transitioning our accounting system and recorded out-of-period adjustments with no material impact to our previously issued annual and interim consolidated financial statements. Furthermore, we determined that correcting the errors in the current period would not materially misstate our annual or interim consolidated financial statements.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It is important to note that a deficiency does not have to result in a material misstatement in order for it to be considered a material weakness. Instead, our evaluation considered the likelihood that the identified deficiency could have resulted in a material misstatement. In order to improve controls and prevent misstatements in the future, the Company had taken remedial actions to correct the system error and implemented the following procedures:</w:t>
      </w:r>
    </w:p>
    <w:p>
      <w:pPr>
        <w:spacing w:after="0" w:line="14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Performed extensive search and reconciliations with data from third party portals to ensure accuracy and completeness of information</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and upgraded operation system and automated synchronization with a new accounting system with more extensive details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Conducted training sessions with all departments for information handling, file keeping and safeguarding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and extended reconciliation procedures to all internal and external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control procedures for communications and approvals of new transactions/agreements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provided trainings and instructions to accounting team on how to account for a new contract or a new transaction</w:t>
      </w:r>
    </w:p>
    <w:p>
      <w:pPr>
        <w:spacing w:after="0" w:line="9" w:lineRule="exact"/>
        <w:rPr>
          <w:rFonts w:ascii="Arial" w:cs="Arial" w:eastAsia="Arial" w:hAnsi="Arial"/>
          <w:sz w:val="18"/>
          <w:szCs w:val="18"/>
          <w:color w:val="auto"/>
        </w:rPr>
      </w:pPr>
    </w:p>
    <w:p>
      <w:pPr>
        <w:ind w:left="660" w:right="320" w:hanging="328"/>
        <w:spacing w:after="0" w:line="29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Setup monthly routine communication and inquiry with all related departments for new transaction types and business and review if additional setup is required for either BOP, NetSuite, or other procedures to correctly capture and record the transactions.</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686"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Our former placement agent, Boustead Securities LLC, brought a legal action against us following our communication to Boustead to unilaterally terminate an engagement agreement under which we and Boustead had originally intended for Boustead to be engaged to act as an exclusive underwriter in our initial public offering (“IPO”). To date, we have been unable to reach a settlement with Boustead. On April 30, 2021, Boustead filed a statement of claim with FINRA demanding to arbitrate the dispute, and is seeking, among other things, monetary damages against the Company and D.A. Davidson &amp; Co., who acted as underwriter in our May 2020 IPO. On August 30, 2021, we had a preliminary hearing before FINRA Dispute Resolution Services and the matter has been scheduled to be heard in front of a three-judge panel of FINRA arbitrators on June 20, 2022. We believe that we have meritorious defenses to any claims that Boustead may assert, and we do not believe that such claims will have a material adverse effect on our business, financial condition or operating results. We have agreed to indemnify D.A. Davidson &amp; Co. and the other underwriters who participated in our IPO against any liability or expense they may incur or be subject to arising out of the Boustead dispute. Additionally,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For further information, see “Risk Factors – </w:t>
      </w:r>
      <w:r>
        <w:rPr>
          <w:rFonts w:ascii="Arial" w:cs="Arial" w:eastAsia="Arial" w:hAnsi="Arial"/>
          <w:sz w:val="17"/>
          <w:szCs w:val="17"/>
          <w:i w:val="1"/>
          <w:iCs w:val="1"/>
          <w:color w:val="auto"/>
        </w:rPr>
        <w:t>Prior to our initial public offering we unilaterally terminated an engagement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with Boustead Securities LLC and may be subject to litigation in the event we are not able to come to agreement on the amounts Boustead deems itself to be owed under such agreement</w:t>
      </w:r>
      <w:r>
        <w:rPr>
          <w:rFonts w:ascii="Arial" w:cs="Arial" w:eastAsia="Arial" w:hAnsi="Arial"/>
          <w:sz w:val="17"/>
          <w:szCs w:val="17"/>
          <w:color w:val="auto"/>
        </w:rPr>
        <w:t>” and “Certain Relationships and Related Transactions” in our Annual Report on Form 10-K filed with the SEC on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28, 2021.</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10"/>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20" w:type="dxa"/>
            <w:vAlign w:val="bottom"/>
            <w:tcBorders>
              <w:top w:val="single" w:sz="8" w:color="auto"/>
            </w:tcBorders>
            <w:gridSpan w:val="10"/>
          </w:tcPr>
          <w:p>
            <w:pPr>
              <w:spacing w:after="0"/>
              <w:rPr>
                <w:rFonts w:ascii="Arial" w:cs="Arial" w:eastAsia="Arial" w:hAnsi="Arial"/>
                <w:sz w:val="18"/>
                <w:szCs w:val="18"/>
                <w:color w:val="0000EE"/>
              </w:rPr>
            </w:pPr>
            <w:hyperlink r:id="rId56">
              <w:r>
                <w:rPr>
                  <w:rFonts w:ascii="Arial" w:cs="Arial" w:eastAsia="Arial" w:hAnsi="Arial"/>
                  <w:sz w:val="18"/>
                  <w:szCs w:val="18"/>
                  <w:color w:val="0000EE"/>
                </w:rPr>
                <w:t>Joint Venture Agreement, dated January 14, 2022, between iPower Inc., Titanium Plus Autoparts, Inc., Tony Chiu and Bin Xiao</w:t>
              </w:r>
            </w:hyperlink>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(incorporated by reference to Exhibit 10.1 to the Current Report on Form 8-K filed January 20, 2022).</w:t>
            </w:r>
          </w:p>
        </w:tc>
        <w:tc>
          <w:tcPr>
            <w:tcW w:w="20" w:type="dxa"/>
            <w:vAlign w:val="bottom"/>
          </w:tcPr>
          <w:p>
            <w:pPr>
              <w:spacing w:after="0"/>
              <w:rPr>
                <w:sz w:val="19"/>
                <w:szCs w:val="19"/>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6"/>
                <w:szCs w:val="16"/>
                <w:color w:val="auto"/>
              </w:rPr>
            </w:pPr>
          </w:p>
        </w:tc>
        <w:tc>
          <w:tcPr>
            <w:tcW w:w="10120" w:type="dxa"/>
            <w:vAlign w:val="bottom"/>
            <w:gridSpan w:val="10"/>
          </w:tcPr>
          <w:p>
            <w:pPr>
              <w:spacing w:after="0" w:line="190"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 xml:space="preserve">Box Harmony LLC Agreement, dated January 14, 2022, between iPower Inc., Titanium Plus Autoparts, Inc. and Bin Xiao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reference to Exhibit 10.2 to the Current Report on Form 8-K filed January 20, 2022).</w:t>
            </w:r>
          </w:p>
        </w:tc>
        <w:tc>
          <w:tcPr>
            <w:tcW w:w="1260" w:type="dxa"/>
            <w:vAlign w:val="bottom"/>
            <w:gridSpan w:val="3"/>
          </w:tcPr>
          <w:p>
            <w:pPr>
              <w:spacing w:after="0"/>
              <w:rPr>
                <w:sz w:val="19"/>
                <w:szCs w:val="19"/>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6"/>
                <w:szCs w:val="16"/>
                <w:color w:val="auto"/>
              </w:rPr>
            </w:pPr>
          </w:p>
        </w:tc>
        <w:tc>
          <w:tcPr>
            <w:tcW w:w="10120" w:type="dxa"/>
            <w:vAlign w:val="bottom"/>
            <w:gridSpan w:val="10"/>
          </w:tcPr>
          <w:p>
            <w:pPr>
              <w:spacing w:after="0" w:line="190"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 xml:space="preserve">Facility and Use Access Agreement, dated January 13, 2022, between iPower Inc. and Box Harmony LLC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Exhibit 10.3 to the Current Report on Form 8-K filed January 20, 2022).</w:t>
            </w:r>
          </w:p>
        </w:tc>
        <w:tc>
          <w:tcPr>
            <w:tcW w:w="2200" w:type="dxa"/>
            <w:vAlign w:val="bottom"/>
            <w:gridSpan w:val="4"/>
          </w:tcPr>
          <w:p>
            <w:pPr>
              <w:spacing w:after="0"/>
              <w:rPr>
                <w:sz w:val="19"/>
                <w:szCs w:val="19"/>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6"/>
                <w:szCs w:val="16"/>
                <w:color w:val="auto"/>
              </w:rPr>
            </w:pPr>
          </w:p>
        </w:tc>
        <w:tc>
          <w:tcPr>
            <w:tcW w:w="10120" w:type="dxa"/>
            <w:vAlign w:val="bottom"/>
            <w:gridSpan w:val="10"/>
          </w:tcPr>
          <w:p>
            <w:pPr>
              <w:spacing w:after="0" w:line="190"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 xml:space="preserve">Consulting Agreement, dated January 13, 2022, between Box Harmony LLC, Titantium Plus Autoparts, Inc. and Bin Xiao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reference to Exhibit 10.4 to the Current Report on Form 8-K filed January 20, 2022).</w:t>
            </w:r>
          </w:p>
        </w:tc>
        <w:tc>
          <w:tcPr>
            <w:tcW w:w="1240" w:type="dxa"/>
            <w:vAlign w:val="bottom"/>
            <w:gridSpan w:val="2"/>
          </w:tcPr>
          <w:p>
            <w:pPr>
              <w:spacing w:after="0"/>
              <w:rPr>
                <w:sz w:val="19"/>
                <w:szCs w:val="19"/>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6"/>
                <w:szCs w:val="16"/>
                <w:color w:val="auto"/>
              </w:rPr>
            </w:pPr>
          </w:p>
        </w:tc>
        <w:tc>
          <w:tcPr>
            <w:tcW w:w="10120" w:type="dxa"/>
            <w:vAlign w:val="bottom"/>
            <w:tcBorders>
              <w:bottom w:val="single" w:sz="8" w:color="0000EE"/>
            </w:tcBorders>
            <w:gridSpan w:val="10"/>
          </w:tcPr>
          <w:p>
            <w:pPr>
              <w:spacing w:after="0" w:line="190" w:lineRule="exact"/>
              <w:rPr>
                <w:rFonts w:ascii="Arial" w:cs="Arial" w:eastAsia="Arial" w:hAnsi="Arial"/>
                <w:sz w:val="18"/>
                <w:szCs w:val="18"/>
                <w:color w:val="0000EE"/>
                <w:w w:val="98"/>
              </w:rPr>
            </w:pPr>
            <w:hyperlink r:id="rId60">
              <w:r>
                <w:rPr>
                  <w:rFonts w:ascii="Arial" w:cs="Arial" w:eastAsia="Arial" w:hAnsi="Arial"/>
                  <w:sz w:val="18"/>
                  <w:szCs w:val="18"/>
                  <w:color w:val="0000EE"/>
                  <w:w w:val="98"/>
                </w:rPr>
                <w:t>License Agreement, dated January 13, 2022, between Box Harmony, LLC, Titanium Plus Autoparts, Inc., Tony Chiu and Bin Xiao</w:t>
              </w:r>
            </w:hyperlink>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(incorporated by reference to Exhibit 10.5 to the Current Report on Form 8-K filed January 20, 2022).</w:t>
            </w: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6"/>
                <w:szCs w:val="16"/>
                <w:color w:val="auto"/>
              </w:rPr>
            </w:pPr>
          </w:p>
        </w:tc>
        <w:tc>
          <w:tcPr>
            <w:tcW w:w="10120" w:type="dxa"/>
            <w:vAlign w:val="bottom"/>
            <w:gridSpan w:val="10"/>
          </w:tcPr>
          <w:p>
            <w:pPr>
              <w:spacing w:after="0" w:line="190"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 xml:space="preserve">Director Offer Letter, dated December 23, 2021, between iPower Inc. and Hanxi Li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10.6 to the Current</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Report on Form 8-K filed January 20, 2022).</w:t>
            </w:r>
          </w:p>
        </w:tc>
        <w:tc>
          <w:tcPr>
            <w:tcW w:w="4140" w:type="dxa"/>
            <w:vAlign w:val="bottom"/>
            <w:gridSpan w:val="7"/>
          </w:tcPr>
          <w:p>
            <w:pPr>
              <w:spacing w:after="0"/>
              <w:rPr>
                <w:sz w:val="19"/>
                <w:szCs w:val="19"/>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w w:val="90"/>
              </w:rPr>
              <w:t>Joint Venture Agreement, dated February 10, 2022, between iPower Inc., Bro Angel LLC, Jie Shan and Bing Luo (incorporated by reference</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to Exhibit 10.1 to Form 8-K filed February 14, 2022).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w w:val="94"/>
              </w:rPr>
              <w:t>Amended &amp; Restated Limited Liability Company Operating Agreement of Global Social Media LLC, dated February 10, 2022, between</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w w:val="94"/>
              </w:rPr>
              <w:t>Global Social Media LLC, iPower Inc. and Bro Angel LLC (incorporated by reference to Exhibit 10.2 to the Current Report on Form 8-K</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filed February 14, 2022).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w w:val="91"/>
              </w:rPr>
              <w:t>Intellectual Property License Agreement, dated February 10, 2022, between Bro Angel LLC and Global Social Media LLC (incorporated by</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reference to Exhibit 10.3 to the Current Report on Form 8-K filed February 14, 2022).</w:t>
            </w: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6"/>
                <w:szCs w:val="16"/>
                <w:color w:val="auto"/>
              </w:rPr>
            </w:pPr>
          </w:p>
        </w:tc>
        <w:tc>
          <w:tcPr>
            <w:tcW w:w="718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Executive Officer pursuant to Section 302 of the Sarbanes-Oxley Act of 2002</w:t>
              </w:r>
            </w:hyperlink>
          </w:p>
        </w:tc>
        <w:tc>
          <w:tcPr>
            <w:tcW w:w="2940" w:type="dxa"/>
            <w:vAlign w:val="bottom"/>
            <w:gridSpan w:val="5"/>
          </w:tcPr>
          <w:p>
            <w:pPr>
              <w:spacing w:after="0"/>
              <w:rPr>
                <w:sz w:val="16"/>
                <w:szCs w:val="16"/>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60" w:type="dxa"/>
            <w:vAlign w:val="bottom"/>
            <w:gridSpan w:val="2"/>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Certification of Chief Executive Officer Pursuant to 18 U.S.C. Section 1350, As Adopted Pursuant to Section 906 of the Sarbanes-Oxley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Act of 2002</w:t>
              </w:r>
            </w:hyperlink>
          </w:p>
        </w:tc>
        <w:tc>
          <w:tcPr>
            <w:tcW w:w="926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r>
      <w:tr>
        <w:trPr>
          <w:trHeight w:val="20"/>
        </w:trPr>
        <w:tc>
          <w:tcPr>
            <w:tcW w:w="11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580" w:type="dxa"/>
            <w:vAlign w:val="bottom"/>
            <w:gridSpan w:val="9"/>
          </w:tcPr>
          <w:p>
            <w:pPr>
              <w:spacing w:after="0" w:line="20" w:lineRule="exact"/>
              <w:rPr>
                <w:sz w:val="1"/>
                <w:szCs w:val="1"/>
                <w:color w:val="auto"/>
              </w:rPr>
            </w:pP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0"/>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Taxonomy Schema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ind w:left="1120" w:hanging="1112"/>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iPower Inc.</w:t>
      </w:r>
    </w:p>
    <w:p>
      <w:pPr>
        <w:spacing w:after="0" w:line="229"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February 14, 2022</w:t>
      </w:r>
      <w:r>
        <w:rPr>
          <w:sz w:val="20"/>
          <w:szCs w:val="20"/>
          <w:color w:val="auto"/>
        </w:rPr>
        <w:tab/>
      </w:r>
      <w:r>
        <w:rPr>
          <w:rFonts w:ascii="Arial" w:cs="Arial" w:eastAsia="Arial" w:hAnsi="Arial"/>
          <w:sz w:val="16"/>
          <w:szCs w:val="16"/>
          <w:color w:val="auto"/>
        </w:rPr>
        <w:t>By: /s/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February 14, 2022</w:t>
      </w:r>
      <w:r>
        <w:rPr>
          <w:sz w:val="20"/>
          <w:szCs w:val="20"/>
          <w:color w:val="auto"/>
        </w:rPr>
        <w:tab/>
      </w:r>
      <w:r>
        <w:rPr>
          <w:rFonts w:ascii="Arial" w:cs="Arial" w:eastAsia="Arial" w:hAnsi="Arial"/>
          <w:sz w:val="17"/>
          <w:szCs w:val="17"/>
          <w:color w:val="auto"/>
        </w:rPr>
        <w:t>By: /s/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firstLine="526"/>
        <w:spacing w:after="0" w:line="277" w:lineRule="auto"/>
        <w:tabs>
          <w:tab w:leader="none" w:pos="7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December 31, 2021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6"/>
          <w:szCs w:val="16"/>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firstLine="526"/>
        <w:spacing w:after="0" w:line="277" w:lineRule="auto"/>
        <w:tabs>
          <w:tab w:leader="none" w:pos="7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December 31, 2021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6"/>
          <w:szCs w:val="16"/>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December 31, 2021,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14,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December 31, 2021,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14,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Ø"/>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56" Type="http://schemas.openxmlformats.org/officeDocument/2006/relationships/hyperlink" Target="http://www.sec.gov/Archives/edgar/data/1830072/000168316822000328/ipower_ex1001.htm" TargetMode="External"/><Relationship Id="rId57" Type="http://schemas.openxmlformats.org/officeDocument/2006/relationships/hyperlink" Target="http://www.sec.gov/Archives/edgar/data/1830072/000168316822000328/ipower_ex1002.htm" TargetMode="External"/><Relationship Id="rId58" Type="http://schemas.openxmlformats.org/officeDocument/2006/relationships/hyperlink" Target="http://www.sec.gov/Archives/edgar/data/1830072/000168316822000328/ipower_ex1003.htm" TargetMode="External"/><Relationship Id="rId59" Type="http://schemas.openxmlformats.org/officeDocument/2006/relationships/hyperlink" Target="http://www.sec.gov/Archives/edgar/data/1830072/000168316822000328/ipower_ex1004.htm" TargetMode="External"/><Relationship Id="rId60" Type="http://schemas.openxmlformats.org/officeDocument/2006/relationships/hyperlink" Target="http://www.sec.gov/Archives/edgar/data/1830072/000168316822000328/ipower_ex1005.htm" TargetMode="External"/><Relationship Id="rId61" Type="http://schemas.openxmlformats.org/officeDocument/2006/relationships/hyperlink" Target="http://www.sec.gov/Archives/edgar/data/1830072/000168316822000328/ipower_ex10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2022-02-14T16:11:54Z</dcterms:created>
  <dcterms:modified xsi:type="dcterms:W3CDTF">2022-02-14T16:11:54Z</dcterms:modified>
</cp:coreProperties>
</file>