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3"/>
          <w:szCs w:val="13"/>
          <w:u w:val="single" w:color="auto"/>
          <w:color w:val="0000EE"/>
        </w:rPr>
        <w:t>Table of Contents</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3800" w:right="2520" w:hanging="3468"/>
        <w:spacing w:after="0" w:line="500" w:lineRule="auto"/>
        <w:tabs>
          <w:tab w:leader="none" w:pos="65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UNDER SECTION 13 OR 15(d) OF THE SECURITIES EXCHANGE ACT OF 1934 For the quarterly period ended December 31, 2022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3160" w:right="2500" w:hanging="2828"/>
        <w:spacing w:after="0" w:line="530" w:lineRule="auto"/>
        <w:tabs>
          <w:tab w:leader="none" w:pos="658"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UNDER SECTION 13 OR 15(d) OF THE SECURITIES EXCHANGE ACT OF 1934 For the transition period from ______________ to ______________</w:t>
      </w:r>
    </w:p>
    <w:p>
      <w:pPr>
        <w:ind w:left="4320"/>
        <w:spacing w:after="0"/>
        <w:rPr>
          <w:rFonts w:ascii="MS PGothic" w:cs="MS PGothic" w:eastAsia="MS PGothic" w:hAnsi="MS PGothic"/>
          <w:sz w:val="17"/>
          <w:szCs w:val="17"/>
          <w:color w:val="auto"/>
        </w:rPr>
      </w:pPr>
      <w:r>
        <w:rPr>
          <w:rFonts w:ascii="Arial" w:cs="Arial" w:eastAsia="Arial" w:hAnsi="Arial"/>
          <w:sz w:val="18"/>
          <w:szCs w:val="18"/>
          <w:color w:val="auto"/>
        </w:rPr>
        <w:t>Commission file number 001-40391</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iPower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Nevada</w:t>
            </w:r>
          </w:p>
        </w:tc>
        <w:tc>
          <w:tcPr>
            <w:tcW w:w="5380" w:type="dxa"/>
            <w:vAlign w:val="bottom"/>
          </w:tcPr>
          <w:p>
            <w:pPr>
              <w:jc w:val="center"/>
              <w:spacing w:after="0"/>
              <w:rPr>
                <w:sz w:val="20"/>
                <w:szCs w:val="20"/>
                <w:color w:val="auto"/>
              </w:rPr>
            </w:pPr>
            <w:r>
              <w:rPr>
                <w:rFonts w:ascii="Arial" w:cs="Arial" w:eastAsia="Arial" w:hAnsi="Arial"/>
                <w:sz w:val="18"/>
                <w:szCs w:val="18"/>
                <w:b w:val="1"/>
                <w:bCs w:val="1"/>
                <w:color w:val="auto"/>
                <w:w w:val="89"/>
              </w:rPr>
              <w:t>82-5144171</w:t>
            </w:r>
          </w:p>
        </w:tc>
      </w:tr>
      <w:tr>
        <w:trPr>
          <w:trHeight w:val="195"/>
        </w:trPr>
        <w:tc>
          <w:tcPr>
            <w:tcW w:w="54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(State or other jurisdiction of</w:t>
            </w:r>
          </w:p>
        </w:tc>
        <w:tc>
          <w:tcPr>
            <w:tcW w:w="460" w:type="dxa"/>
            <w:vAlign w:val="bottom"/>
          </w:tcPr>
          <w:p>
            <w:pPr>
              <w:spacing w:after="0"/>
              <w:rPr>
                <w:sz w:val="16"/>
                <w:szCs w:val="16"/>
                <w:color w:val="auto"/>
              </w:rPr>
            </w:pPr>
          </w:p>
        </w:tc>
        <w:tc>
          <w:tcPr>
            <w:tcW w:w="53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586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incorporation or organization)</w:t>
            </w:r>
          </w:p>
        </w:tc>
        <w:tc>
          <w:tcPr>
            <w:tcW w:w="538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2399 Bateman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Duarte, CA 91010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(626) 863-7344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the registrant’s principal executive offices)</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4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Title of each class</w:t>
            </w:r>
          </w:p>
        </w:tc>
        <w:tc>
          <w:tcPr>
            <w:tcW w:w="2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19"/>
                <w:szCs w:val="19"/>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IPW</w:t>
            </w:r>
          </w:p>
        </w:tc>
        <w:tc>
          <w:tcPr>
            <w:tcW w:w="12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6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Non-accelerated filer</w:t>
            </w:r>
          </w:p>
        </w:tc>
        <w:tc>
          <w:tcPr>
            <w:tcW w:w="236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04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2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on February 14, 2023 was 29,710,939.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0" w:type="dxa"/>
            <w:vAlign w:val="bottom"/>
            <w:gridSpan w:val="11"/>
          </w:tcPr>
          <w:p>
            <w:pPr>
              <w:jc w:val="center"/>
              <w:ind w:right="4280"/>
              <w:spacing w:after="0"/>
              <w:rPr>
                <w:sz w:val="20"/>
                <w:szCs w:val="20"/>
                <w:color w:val="auto"/>
              </w:rPr>
            </w:pPr>
            <w:r>
              <w:rPr>
                <w:rFonts w:ascii="Arial" w:cs="Arial" w:eastAsia="Arial" w:hAnsi="Arial"/>
                <w:sz w:val="18"/>
                <w:szCs w:val="18"/>
                <w:b w:val="1"/>
                <w:bCs w:val="1"/>
                <w:color w:val="auto"/>
                <w:w w:val="92"/>
              </w:rPr>
              <w:t>iPower Inc.</w:t>
            </w:r>
          </w:p>
        </w:tc>
        <w:tc>
          <w:tcPr>
            <w:tcW w:w="780" w:type="dxa"/>
            <w:vAlign w:val="bottom"/>
          </w:tcPr>
          <w:p>
            <w:pPr>
              <w:spacing w:after="0"/>
              <w:rPr>
                <w:sz w:val="20"/>
                <w:szCs w:val="20"/>
                <w:color w:val="auto"/>
              </w:rPr>
            </w:pPr>
          </w:p>
        </w:tc>
      </w:tr>
      <w:tr>
        <w:trPr>
          <w:trHeight w:val="432"/>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80" w:type="dxa"/>
            <w:vAlign w:val="bottom"/>
            <w:gridSpan w:val="12"/>
          </w:tcPr>
          <w:p>
            <w:pPr>
              <w:jc w:val="center"/>
              <w:ind w:right="380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6"/>
              </w:rPr>
              <w:t>Page No.</w:t>
            </w:r>
          </w:p>
        </w:tc>
      </w:tr>
      <w:tr>
        <w:trPr>
          <w:trHeight w:val="385"/>
        </w:trPr>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80" w:type="dxa"/>
            <w:vAlign w:val="bottom"/>
            <w:tcBorders>
              <w:bottom w:val="single" w:sz="8" w:color="0000EE"/>
            </w:tcBorders>
            <w:gridSpan w:val="7"/>
          </w:tcPr>
          <w:p>
            <w:pPr>
              <w:jc w:val="center"/>
              <w:spacing w:after="0"/>
              <w:rPr>
                <w:sz w:val="20"/>
                <w:szCs w:val="20"/>
                <w:color w:val="auto"/>
              </w:rPr>
            </w:pPr>
            <w:r>
              <w:rPr>
                <w:rFonts w:ascii="Arial" w:cs="Arial" w:eastAsia="Arial" w:hAnsi="Arial"/>
                <w:sz w:val="18"/>
                <w:szCs w:val="18"/>
                <w:b w:val="1"/>
                <w:bCs w:val="1"/>
                <w:color w:val="0000EE"/>
                <w:w w:val="94"/>
              </w:rPr>
              <w:t>PART I. Financial Information</w:t>
            </w:r>
          </w:p>
        </w:tc>
        <w:tc>
          <w:tcPr>
            <w:tcW w:w="358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414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89"/>
              </w:rPr>
              <w:t>Unaudited Condensed Consolidated Financial Statements</w:t>
            </w:r>
          </w:p>
        </w:tc>
        <w:tc>
          <w:tcPr>
            <w:tcW w:w="5400" w:type="dxa"/>
            <w:vAlign w:val="bottom"/>
            <w:gridSpan w:val="11"/>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3</w:t>
            </w:r>
          </w:p>
        </w:tc>
      </w:tr>
      <w:tr>
        <w:trPr>
          <w:trHeight w:val="412"/>
        </w:trPr>
        <w:tc>
          <w:tcPr>
            <w:tcW w:w="920" w:type="dxa"/>
            <w:vAlign w:val="bottom"/>
          </w:tcPr>
          <w:p>
            <w:pPr>
              <w:spacing w:after="0"/>
              <w:rPr>
                <w:sz w:val="24"/>
                <w:szCs w:val="24"/>
                <w:color w:val="auto"/>
              </w:rPr>
            </w:pPr>
          </w:p>
        </w:tc>
        <w:tc>
          <w:tcPr>
            <w:tcW w:w="9540" w:type="dxa"/>
            <w:vAlign w:val="bottom"/>
            <w:gridSpan w:val="24"/>
          </w:tcPr>
          <w:p>
            <w:pPr>
              <w:spacing w:after="0"/>
              <w:rPr>
                <w:sz w:val="20"/>
                <w:szCs w:val="20"/>
                <w:color w:val="auto"/>
              </w:rPr>
            </w:pPr>
            <w:r>
              <w:rPr>
                <w:rFonts w:ascii="Arial" w:cs="Arial" w:eastAsia="Arial" w:hAnsi="Arial"/>
                <w:sz w:val="18"/>
                <w:szCs w:val="18"/>
                <w:color w:val="0000EE"/>
              </w:rPr>
              <w:t>Unaudited Condensed Consolidated Balance Sheets as of December 31, 2022 and June 30, 2022</w:t>
            </w:r>
          </w:p>
        </w:tc>
        <w:tc>
          <w:tcPr>
            <w:tcW w:w="780" w:type="dxa"/>
            <w:vAlign w:val="bottom"/>
          </w:tcPr>
          <w:p>
            <w:pPr>
              <w:spacing w:after="0"/>
              <w:rPr>
                <w:sz w:val="20"/>
                <w:szCs w:val="20"/>
                <w:color w:val="auto"/>
              </w:rPr>
            </w:pPr>
            <w:r>
              <w:rPr>
                <w:rFonts w:ascii="Arial" w:cs="Arial" w:eastAsia="Arial" w:hAnsi="Arial"/>
                <w:sz w:val="18"/>
                <w:szCs w:val="18"/>
                <w:color w:val="auto"/>
              </w:rPr>
              <w:t>3</w:t>
            </w: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854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89"/>
              </w:rPr>
              <w:t>Unaudited Condensed Consolidated Statements of Operations and Comprehensive Income (Loss) for the three and six</w:t>
            </w:r>
          </w:p>
        </w:tc>
        <w:tc>
          <w:tcPr>
            <w:tcW w:w="1000" w:type="dxa"/>
            <w:vAlign w:val="bottom"/>
            <w:gridSpan w:val="2"/>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4</w:t>
            </w:r>
          </w:p>
        </w:tc>
      </w:tr>
      <w:tr>
        <w:trPr>
          <w:trHeight w:val="196"/>
        </w:trPr>
        <w:tc>
          <w:tcPr>
            <w:tcW w:w="920" w:type="dxa"/>
            <w:vAlign w:val="bottom"/>
          </w:tcPr>
          <w:p>
            <w:pPr>
              <w:spacing w:after="0"/>
              <w:rPr>
                <w:sz w:val="17"/>
                <w:szCs w:val="17"/>
                <w:color w:val="auto"/>
              </w:rPr>
            </w:pPr>
          </w:p>
        </w:tc>
        <w:tc>
          <w:tcPr>
            <w:tcW w:w="9540" w:type="dxa"/>
            <w:vAlign w:val="bottom"/>
            <w:gridSpan w:val="24"/>
          </w:tcPr>
          <w:p>
            <w:pPr>
              <w:spacing w:after="0" w:line="196" w:lineRule="exact"/>
              <w:rPr>
                <w:sz w:val="20"/>
                <w:szCs w:val="20"/>
                <w:color w:val="auto"/>
              </w:rPr>
            </w:pPr>
            <w:r>
              <w:rPr>
                <w:rFonts w:ascii="Arial" w:cs="Arial" w:eastAsia="Arial" w:hAnsi="Arial"/>
                <w:sz w:val="18"/>
                <w:szCs w:val="18"/>
                <w:color w:val="0000EE"/>
              </w:rPr>
              <w:t>months ended December 31, 2022 and 2021</w:t>
            </w:r>
          </w:p>
        </w:tc>
        <w:tc>
          <w:tcPr>
            <w:tcW w:w="78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412"/>
        </w:trPr>
        <w:tc>
          <w:tcPr>
            <w:tcW w:w="920" w:type="dxa"/>
            <w:vAlign w:val="bottom"/>
          </w:tcPr>
          <w:p>
            <w:pPr>
              <w:spacing w:after="0"/>
              <w:rPr>
                <w:sz w:val="24"/>
                <w:szCs w:val="24"/>
                <w:color w:val="auto"/>
              </w:rPr>
            </w:pPr>
          </w:p>
        </w:tc>
        <w:tc>
          <w:tcPr>
            <w:tcW w:w="9540" w:type="dxa"/>
            <w:vAlign w:val="bottom"/>
            <w:gridSpan w:val="24"/>
          </w:tcPr>
          <w:p>
            <w:pPr>
              <w:spacing w:after="0"/>
              <w:rPr>
                <w:sz w:val="20"/>
                <w:szCs w:val="20"/>
                <w:color w:val="auto"/>
              </w:rPr>
            </w:pPr>
            <w:r>
              <w:rPr>
                <w:rFonts w:ascii="Arial" w:cs="Arial" w:eastAsia="Arial" w:hAnsi="Arial"/>
                <w:sz w:val="18"/>
                <w:szCs w:val="18"/>
                <w:color w:val="0000EE"/>
                <w:w w:val="91"/>
              </w:rPr>
              <w:t>Unaudited Condensed Consolidated Statements of Changes in Stockholders’ Equity for the three and six months ended December</w:t>
            </w:r>
          </w:p>
        </w:tc>
        <w:tc>
          <w:tcPr>
            <w:tcW w:w="780" w:type="dxa"/>
            <w:vAlign w:val="bottom"/>
          </w:tcPr>
          <w:p>
            <w:pPr>
              <w:spacing w:after="0"/>
              <w:rPr>
                <w:sz w:val="20"/>
                <w:szCs w:val="20"/>
                <w:color w:val="auto"/>
              </w:rPr>
            </w:pPr>
            <w:r>
              <w:rPr>
                <w:rFonts w:ascii="Arial" w:cs="Arial" w:eastAsia="Arial" w:hAnsi="Arial"/>
                <w:sz w:val="18"/>
                <w:szCs w:val="18"/>
                <w:color w:val="auto"/>
              </w:rPr>
              <w:t>5</w:t>
            </w:r>
          </w:p>
        </w:tc>
      </w:tr>
      <w:tr>
        <w:trPr>
          <w:trHeight w:val="196"/>
        </w:trPr>
        <w:tc>
          <w:tcPr>
            <w:tcW w:w="920" w:type="dxa"/>
            <w:vAlign w:val="bottom"/>
          </w:tcPr>
          <w:p>
            <w:pPr>
              <w:spacing w:after="0"/>
              <w:rPr>
                <w:sz w:val="17"/>
                <w:szCs w:val="17"/>
                <w:color w:val="auto"/>
              </w:rPr>
            </w:pPr>
          </w:p>
        </w:tc>
        <w:tc>
          <w:tcPr>
            <w:tcW w:w="134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87"/>
              </w:rPr>
              <w:t>31, 2022 and 2021</w:t>
            </w:r>
          </w:p>
        </w:tc>
        <w:tc>
          <w:tcPr>
            <w:tcW w:w="8000" w:type="dxa"/>
            <w:vAlign w:val="bottom"/>
            <w:tcBorders>
              <w:top w:val="single" w:sz="8" w:color="0000EE"/>
            </w:tcBorders>
            <w:gridSpan w:val="17"/>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412"/>
        </w:trPr>
        <w:tc>
          <w:tcPr>
            <w:tcW w:w="920" w:type="dxa"/>
            <w:vAlign w:val="bottom"/>
          </w:tcPr>
          <w:p>
            <w:pPr>
              <w:spacing w:after="0"/>
              <w:rPr>
                <w:sz w:val="24"/>
                <w:szCs w:val="24"/>
                <w:color w:val="auto"/>
              </w:rPr>
            </w:pPr>
          </w:p>
        </w:tc>
        <w:tc>
          <w:tcPr>
            <w:tcW w:w="850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89"/>
              </w:rPr>
              <w:t>Unaudited Condensed Consolidated Statements of Cash Flows for the six months ended December 31, 2022 and 2021</w:t>
            </w:r>
          </w:p>
        </w:tc>
        <w:tc>
          <w:tcPr>
            <w:tcW w:w="1040" w:type="dxa"/>
            <w:vAlign w:val="bottom"/>
            <w:gridSpan w:val="3"/>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6</w:t>
            </w:r>
          </w:p>
        </w:tc>
      </w:tr>
      <w:tr>
        <w:trPr>
          <w:trHeight w:val="412"/>
        </w:trPr>
        <w:tc>
          <w:tcPr>
            <w:tcW w:w="920" w:type="dxa"/>
            <w:vAlign w:val="bottom"/>
          </w:tcPr>
          <w:p>
            <w:pPr>
              <w:spacing w:after="0"/>
              <w:rPr>
                <w:sz w:val="24"/>
                <w:szCs w:val="24"/>
                <w:color w:val="auto"/>
              </w:rPr>
            </w:pPr>
          </w:p>
        </w:tc>
        <w:tc>
          <w:tcPr>
            <w:tcW w:w="478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89"/>
              </w:rPr>
              <w:t>Notes to Unaudited Condensed Consolidated Financial Statements</w:t>
            </w:r>
          </w:p>
        </w:tc>
        <w:tc>
          <w:tcPr>
            <w:tcW w:w="4760" w:type="dxa"/>
            <w:vAlign w:val="bottom"/>
            <w:gridSpan w:val="8"/>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7</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540" w:type="dxa"/>
            <w:vAlign w:val="bottom"/>
            <w:gridSpan w:val="24"/>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780" w:type="dxa"/>
            <w:vAlign w:val="bottom"/>
          </w:tcPr>
          <w:p>
            <w:pPr>
              <w:spacing w:after="0"/>
              <w:rPr>
                <w:sz w:val="20"/>
                <w:szCs w:val="20"/>
                <w:color w:val="auto"/>
              </w:rPr>
            </w:pPr>
            <w:r>
              <w:rPr>
                <w:rFonts w:ascii="Arial" w:cs="Arial" w:eastAsia="Arial" w:hAnsi="Arial"/>
                <w:sz w:val="18"/>
                <w:szCs w:val="18"/>
                <w:color w:val="auto"/>
              </w:rPr>
              <w:t>36</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44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3100" w:type="dxa"/>
            <w:vAlign w:val="bottom"/>
            <w:gridSpan w:val="5"/>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47</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34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0000EE"/>
              </w:rPr>
              <w:t>Controls &amp; Procedures</w:t>
            </w:r>
          </w:p>
        </w:tc>
        <w:tc>
          <w:tcPr>
            <w:tcW w:w="5200" w:type="dxa"/>
            <w:vAlign w:val="bottom"/>
            <w:gridSpan w:val="9"/>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47</w:t>
            </w:r>
          </w:p>
        </w:tc>
      </w:tr>
      <w:tr>
        <w:trPr>
          <w:trHeight w:val="412"/>
        </w:trPr>
        <w:tc>
          <w:tcPr>
            <w:tcW w:w="9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tcBorders>
              <w:bottom w:val="single" w:sz="8" w:color="0000EE"/>
            </w:tcBorders>
            <w:gridSpan w:val="5"/>
          </w:tcPr>
          <w:p>
            <w:pPr>
              <w:jc w:val="center"/>
              <w:spacing w:after="0"/>
              <w:rPr>
                <w:sz w:val="20"/>
                <w:szCs w:val="20"/>
                <w:color w:val="auto"/>
              </w:rPr>
            </w:pPr>
            <w:r>
              <w:rPr>
                <w:rFonts w:ascii="Arial" w:cs="Arial" w:eastAsia="Arial" w:hAnsi="Arial"/>
                <w:sz w:val="18"/>
                <w:szCs w:val="18"/>
                <w:b w:val="1"/>
                <w:bCs w:val="1"/>
                <w:color w:val="0000EE"/>
                <w:w w:val="96"/>
              </w:rPr>
              <w:t>PART II. Other Information</w:t>
            </w:r>
          </w:p>
        </w:tc>
        <w:tc>
          <w:tcPr>
            <w:tcW w:w="368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540" w:type="dxa"/>
            <w:vAlign w:val="bottom"/>
            <w:gridSpan w:val="24"/>
          </w:tcPr>
          <w:p>
            <w:pPr>
              <w:spacing w:after="0"/>
              <w:rPr>
                <w:sz w:val="20"/>
                <w:szCs w:val="20"/>
                <w:color w:val="auto"/>
              </w:rPr>
            </w:pPr>
            <w:r>
              <w:rPr>
                <w:rFonts w:ascii="Arial" w:cs="Arial" w:eastAsia="Arial" w:hAnsi="Arial"/>
                <w:sz w:val="18"/>
                <w:szCs w:val="18"/>
                <w:color w:val="0000EE"/>
              </w:rPr>
              <w:t>Legal Proceedings</w:t>
            </w:r>
          </w:p>
        </w:tc>
        <w:tc>
          <w:tcPr>
            <w:tcW w:w="780" w:type="dxa"/>
            <w:vAlign w:val="bottom"/>
          </w:tcPr>
          <w:p>
            <w:pPr>
              <w:spacing w:after="0"/>
              <w:rPr>
                <w:sz w:val="20"/>
                <w:szCs w:val="20"/>
                <w:color w:val="auto"/>
              </w:rPr>
            </w:pPr>
            <w:r>
              <w:rPr>
                <w:rFonts w:ascii="Arial" w:cs="Arial" w:eastAsia="Arial" w:hAnsi="Arial"/>
                <w:sz w:val="18"/>
                <w:szCs w:val="18"/>
                <w:color w:val="auto"/>
              </w:rPr>
              <w:t>48</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87"/>
              </w:rPr>
              <w:t>Risk Factors</w:t>
            </w:r>
          </w:p>
        </w:tc>
        <w:tc>
          <w:tcPr>
            <w:tcW w:w="420" w:type="dxa"/>
            <w:vAlign w:val="bottom"/>
            <w:tcBorders>
              <w:top w:val="single" w:sz="8" w:color="0000EE"/>
            </w:tcBorders>
            <w:gridSpan w:val="2"/>
          </w:tcPr>
          <w:p>
            <w:pPr>
              <w:spacing w:after="0"/>
              <w:rPr>
                <w:sz w:val="24"/>
                <w:szCs w:val="24"/>
                <w:color w:val="auto"/>
              </w:rPr>
            </w:pPr>
          </w:p>
        </w:tc>
        <w:tc>
          <w:tcPr>
            <w:tcW w:w="8220" w:type="dxa"/>
            <w:vAlign w:val="bottom"/>
            <w:gridSpan w:val="19"/>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48</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540" w:type="dxa"/>
            <w:vAlign w:val="bottom"/>
            <w:gridSpan w:val="24"/>
          </w:tcPr>
          <w:p>
            <w:pPr>
              <w:spacing w:after="0"/>
              <w:rPr>
                <w:sz w:val="20"/>
                <w:szCs w:val="20"/>
                <w:color w:val="auto"/>
              </w:rPr>
            </w:pPr>
            <w:r>
              <w:rPr>
                <w:rFonts w:ascii="Arial" w:cs="Arial" w:eastAsia="Arial" w:hAnsi="Arial"/>
                <w:sz w:val="18"/>
                <w:szCs w:val="18"/>
                <w:color w:val="0000EE"/>
              </w:rPr>
              <w:t>Unregistered Sale of Equity Securities and Use of Proceeds</w:t>
            </w:r>
          </w:p>
        </w:tc>
        <w:tc>
          <w:tcPr>
            <w:tcW w:w="780" w:type="dxa"/>
            <w:vAlign w:val="bottom"/>
          </w:tcPr>
          <w:p>
            <w:pPr>
              <w:spacing w:after="0"/>
              <w:rPr>
                <w:sz w:val="20"/>
                <w:szCs w:val="20"/>
                <w:color w:val="auto"/>
              </w:rPr>
            </w:pPr>
            <w:r>
              <w:rPr>
                <w:rFonts w:ascii="Arial" w:cs="Arial" w:eastAsia="Arial" w:hAnsi="Arial"/>
                <w:sz w:val="18"/>
                <w:szCs w:val="18"/>
                <w:color w:val="auto"/>
              </w:rPr>
              <w:t>49</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32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0"/>
              </w:rPr>
              <w:t>Defaults Upon Senior Securities</w:t>
            </w:r>
          </w:p>
        </w:tc>
        <w:tc>
          <w:tcPr>
            <w:tcW w:w="1940" w:type="dxa"/>
            <w:vAlign w:val="bottom"/>
            <w:tcBorders>
              <w:top w:val="single" w:sz="8" w:color="0000EE"/>
            </w:tcBorders>
            <w:gridSpan w:val="5"/>
          </w:tcPr>
          <w:p>
            <w:pPr>
              <w:spacing w:after="0"/>
              <w:rPr>
                <w:sz w:val="24"/>
                <w:szCs w:val="24"/>
                <w:color w:val="auto"/>
              </w:rPr>
            </w:pPr>
          </w:p>
        </w:tc>
        <w:tc>
          <w:tcPr>
            <w:tcW w:w="5280" w:type="dxa"/>
            <w:vAlign w:val="bottom"/>
            <w:gridSpan w:val="10"/>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49</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540" w:type="dxa"/>
            <w:vAlign w:val="bottom"/>
            <w:gridSpan w:val="24"/>
          </w:tcPr>
          <w:p>
            <w:pPr>
              <w:spacing w:after="0"/>
              <w:rPr>
                <w:sz w:val="20"/>
                <w:szCs w:val="20"/>
                <w:color w:val="auto"/>
              </w:rPr>
            </w:pPr>
            <w:r>
              <w:rPr>
                <w:rFonts w:ascii="Arial" w:cs="Arial" w:eastAsia="Arial" w:hAnsi="Arial"/>
                <w:sz w:val="18"/>
                <w:szCs w:val="18"/>
                <w:color w:val="0000EE"/>
              </w:rPr>
              <w:t>Mine Safety Disclosures</w:t>
            </w:r>
          </w:p>
        </w:tc>
        <w:tc>
          <w:tcPr>
            <w:tcW w:w="780" w:type="dxa"/>
            <w:vAlign w:val="bottom"/>
          </w:tcPr>
          <w:p>
            <w:pPr>
              <w:spacing w:after="0"/>
              <w:rPr>
                <w:sz w:val="20"/>
                <w:szCs w:val="20"/>
                <w:color w:val="auto"/>
              </w:rPr>
            </w:pPr>
            <w:r>
              <w:rPr>
                <w:rFonts w:ascii="Arial" w:cs="Arial" w:eastAsia="Arial" w:hAnsi="Arial"/>
                <w:sz w:val="18"/>
                <w:szCs w:val="18"/>
                <w:color w:val="auto"/>
              </w:rPr>
              <w:t>49</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76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Other Information</w:t>
            </w:r>
          </w:p>
        </w:tc>
        <w:tc>
          <w:tcPr>
            <w:tcW w:w="7780" w:type="dxa"/>
            <w:vAlign w:val="bottom"/>
            <w:gridSpan w:val="16"/>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49</w:t>
            </w:r>
          </w:p>
        </w:tc>
      </w:tr>
      <w:tr>
        <w:trPr>
          <w:trHeight w:val="412"/>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1"/>
              </w:rPr>
              <w:t>Exhibits</w:t>
            </w:r>
          </w:p>
        </w:tc>
        <w:tc>
          <w:tcPr>
            <w:tcW w:w="700" w:type="dxa"/>
            <w:vAlign w:val="bottom"/>
            <w:tcBorders>
              <w:top w:val="single" w:sz="8" w:color="0000EE"/>
            </w:tcBorders>
            <w:gridSpan w:val="3"/>
          </w:tcPr>
          <w:p>
            <w:pPr>
              <w:spacing w:after="0"/>
              <w:rPr>
                <w:sz w:val="24"/>
                <w:szCs w:val="24"/>
                <w:color w:val="auto"/>
              </w:rPr>
            </w:pPr>
          </w:p>
        </w:tc>
        <w:tc>
          <w:tcPr>
            <w:tcW w:w="8240" w:type="dxa"/>
            <w:vAlign w:val="bottom"/>
            <w:gridSpan w:val="20"/>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49</w:t>
            </w:r>
          </w:p>
        </w:tc>
      </w:tr>
      <w:tr>
        <w:trPr>
          <w:trHeight w:val="412"/>
        </w:trPr>
        <w:tc>
          <w:tcPr>
            <w:tcW w:w="92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85"/>
              </w:rPr>
              <w:t>Signatures</w:t>
            </w:r>
          </w:p>
        </w:tc>
        <w:tc>
          <w:tcPr>
            <w:tcW w:w="8780" w:type="dxa"/>
            <w:vAlign w:val="bottom"/>
            <w:gridSpan w:val="22"/>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440" w:type="dxa"/>
            <w:vAlign w:val="bottom"/>
          </w:tcPr>
          <w:p>
            <w:pPr>
              <w:jc w:val="center"/>
              <w:ind w:left="1350"/>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40" w:type="dxa"/>
            <w:vAlign w:val="bottom"/>
          </w:tcPr>
          <w:p>
            <w:pPr>
              <w:jc w:val="center"/>
              <w:ind w:left="1370"/>
              <w:spacing w:after="0"/>
              <w:rPr>
                <w:sz w:val="20"/>
                <w:szCs w:val="20"/>
                <w:color w:val="auto"/>
              </w:rPr>
            </w:pPr>
            <w:r>
              <w:rPr>
                <w:rFonts w:ascii="Arial" w:cs="Arial" w:eastAsia="Arial" w:hAnsi="Arial"/>
                <w:sz w:val="18"/>
                <w:szCs w:val="18"/>
                <w:color w:val="auto"/>
                <w:w w:val="90"/>
              </w:rPr>
              <w:t>iPower Inc. and Subsidiaries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440" w:type="dxa"/>
            <w:vAlign w:val="bottom"/>
          </w:tcPr>
          <w:p>
            <w:pPr>
              <w:jc w:val="center"/>
              <w:ind w:left="1350"/>
              <w:spacing w:after="0"/>
              <w:rPr>
                <w:sz w:val="20"/>
                <w:szCs w:val="20"/>
                <w:color w:val="auto"/>
              </w:rPr>
            </w:pPr>
            <w:r>
              <w:rPr>
                <w:rFonts w:ascii="Arial" w:cs="Arial" w:eastAsia="Arial" w:hAnsi="Arial"/>
                <w:sz w:val="18"/>
                <w:szCs w:val="18"/>
                <w:color w:val="auto"/>
                <w:w w:val="88"/>
              </w:rPr>
              <w:t>Unaudited Condensed Consolidated Balance Sheets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440" w:type="dxa"/>
            <w:vAlign w:val="bottom"/>
          </w:tcPr>
          <w:p>
            <w:pPr>
              <w:jc w:val="center"/>
              <w:ind w:left="1350"/>
              <w:spacing w:after="0"/>
              <w:rPr>
                <w:sz w:val="20"/>
                <w:szCs w:val="20"/>
                <w:color w:val="auto"/>
              </w:rPr>
            </w:pPr>
            <w:r>
              <w:rPr>
                <w:rFonts w:ascii="Arial" w:cs="Arial" w:eastAsia="Arial" w:hAnsi="Arial"/>
                <w:sz w:val="18"/>
                <w:szCs w:val="18"/>
                <w:color w:val="auto"/>
                <w:w w:val="89"/>
              </w:rPr>
              <w:t>As of December 31, 2022 and June 30, 2022</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1"/>
        </w:trPr>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December 31,</w:t>
            </w:r>
          </w:p>
        </w:tc>
        <w:tc>
          <w:tcPr>
            <w:tcW w:w="300" w:type="dxa"/>
            <w:vAlign w:val="bottom"/>
          </w:tcPr>
          <w:p>
            <w:pPr>
              <w:spacing w:after="0"/>
              <w:rPr>
                <w:sz w:val="24"/>
                <w:szCs w:val="24"/>
                <w:color w:val="auto"/>
              </w:rPr>
            </w:pPr>
          </w:p>
        </w:tc>
        <w:tc>
          <w:tcPr>
            <w:tcW w:w="1380" w:type="dxa"/>
            <w:vAlign w:val="bottom"/>
            <w:gridSpan w:val="3"/>
          </w:tcPr>
          <w:p>
            <w:pPr>
              <w:jc w:val="right"/>
              <w:ind w:right="600"/>
              <w:spacing w:after="0"/>
              <w:rPr>
                <w:sz w:val="20"/>
                <w:szCs w:val="20"/>
                <w:color w:val="auto"/>
              </w:rPr>
            </w:pPr>
            <w:r>
              <w:rPr>
                <w:rFonts w:ascii="Arial" w:cs="Arial" w:eastAsia="Arial" w:hAnsi="Arial"/>
                <w:sz w:val="18"/>
                <w:szCs w:val="18"/>
                <w:color w:val="auto"/>
              </w:rPr>
              <w:t>June 30,</w:t>
            </w:r>
          </w:p>
        </w:tc>
      </w:tr>
      <w:tr>
        <w:trPr>
          <w:trHeight w:val="230"/>
        </w:trPr>
        <w:tc>
          <w:tcPr>
            <w:tcW w:w="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ind w:right="9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660" w:type="dxa"/>
            <w:vAlign w:val="bottom"/>
            <w:tcBorders>
              <w:bottom w:val="single" w:sz="8" w:color="auto"/>
            </w:tcBorders>
            <w:shd w:val="clear" w:color="auto" w:fill="EEEEEE"/>
          </w:tcPr>
          <w:p>
            <w:pPr>
              <w:spacing w:after="0" w:line="176" w:lineRule="exact"/>
              <w:rPr>
                <w:sz w:val="20"/>
                <w:szCs w:val="20"/>
                <w:color w:val="auto"/>
              </w:rPr>
            </w:pPr>
            <w:r>
              <w:rPr>
                <w:rFonts w:ascii="Arial" w:cs="Arial" w:eastAsia="Arial" w:hAnsi="Arial"/>
                <w:sz w:val="18"/>
                <w:szCs w:val="18"/>
                <w:color w:val="auto"/>
                <w:w w:val="90"/>
              </w:rPr>
              <w:t>ASSETS</w:t>
            </w:r>
          </w:p>
        </w:tc>
        <w:tc>
          <w:tcPr>
            <w:tcW w:w="6960" w:type="dxa"/>
            <w:vAlign w:val="bottom"/>
            <w:tcBorders>
              <w:bottom w:val="single" w:sz="8" w:color="EEEEEE"/>
            </w:tcBorders>
            <w:gridSpan w:val="2"/>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138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128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r>
      <w:tr>
        <w:trPr>
          <w:trHeight w:val="216"/>
        </w:trPr>
        <w:tc>
          <w:tcPr>
            <w:tcW w:w="76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2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Cash and cash equivalent</w:t>
            </w:r>
          </w:p>
        </w:tc>
        <w:tc>
          <w:tcPr>
            <w:tcW w:w="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3,997,125</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1,821,947</w:t>
            </w:r>
          </w:p>
        </w:tc>
        <w:tc>
          <w:tcPr>
            <w:tcW w:w="80" w:type="dxa"/>
            <w:vAlign w:val="bottom"/>
            <w:shd w:val="clear" w:color="auto" w:fill="EEEEEE"/>
          </w:tcPr>
          <w:p>
            <w:pPr>
              <w:spacing w:after="0"/>
              <w:rPr>
                <w:sz w:val="18"/>
                <w:szCs w:val="18"/>
                <w:color w:val="auto"/>
              </w:rPr>
            </w:pPr>
          </w:p>
        </w:tc>
      </w:tr>
      <w:tr>
        <w:trPr>
          <w:trHeight w:val="216"/>
        </w:trPr>
        <w:tc>
          <w:tcPr>
            <w:tcW w:w="7620" w:type="dxa"/>
            <w:vAlign w:val="bottom"/>
            <w:gridSpan w:val="3"/>
          </w:tcPr>
          <w:p>
            <w:pPr>
              <w:ind w:left="1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11,646,757</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17,432,287</w:t>
            </w:r>
          </w:p>
        </w:tc>
        <w:tc>
          <w:tcPr>
            <w:tcW w:w="80" w:type="dxa"/>
            <w:vAlign w:val="bottom"/>
          </w:tcPr>
          <w:p>
            <w:pPr>
              <w:spacing w:after="0"/>
              <w:rPr>
                <w:sz w:val="18"/>
                <w:szCs w:val="18"/>
                <w:color w:val="auto"/>
              </w:rPr>
            </w:pPr>
          </w:p>
        </w:tc>
      </w:tr>
      <w:tr>
        <w:trPr>
          <w:trHeight w:val="216"/>
        </w:trPr>
        <w:tc>
          <w:tcPr>
            <w:tcW w:w="762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Inventories, net</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23,258,161</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30,433,766</w:t>
            </w:r>
          </w:p>
        </w:tc>
        <w:tc>
          <w:tcPr>
            <w:tcW w:w="80" w:type="dxa"/>
            <w:vAlign w:val="bottom"/>
            <w:shd w:val="clear" w:color="auto" w:fill="EEEEEE"/>
          </w:tcPr>
          <w:p>
            <w:pPr>
              <w:spacing w:after="0"/>
              <w:rPr>
                <w:sz w:val="18"/>
                <w:szCs w:val="18"/>
                <w:color w:val="auto"/>
              </w:rPr>
            </w:pPr>
          </w:p>
        </w:tc>
      </w:tr>
      <w:tr>
        <w:trPr>
          <w:trHeight w:val="216"/>
        </w:trPr>
        <w:tc>
          <w:tcPr>
            <w:tcW w:w="7620" w:type="dxa"/>
            <w:vAlign w:val="bottom"/>
            <w:gridSpan w:val="3"/>
          </w:tcPr>
          <w:p>
            <w:pPr>
              <w:ind w:left="180"/>
              <w:spacing w:after="0"/>
              <w:rPr>
                <w:sz w:val="20"/>
                <w:szCs w:val="20"/>
                <w:color w:val="auto"/>
              </w:rPr>
            </w:pPr>
            <w:r>
              <w:rPr>
                <w:rFonts w:ascii="Arial" w:cs="Arial" w:eastAsia="Arial" w:hAnsi="Arial"/>
                <w:sz w:val="18"/>
                <w:szCs w:val="18"/>
                <w:color w:val="auto"/>
              </w:rPr>
              <w:t>Other receivable - related party</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39,853</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51,762</w:t>
            </w:r>
          </w:p>
        </w:tc>
        <w:tc>
          <w:tcPr>
            <w:tcW w:w="80" w:type="dxa"/>
            <w:vAlign w:val="bottom"/>
          </w:tcPr>
          <w:p>
            <w:pPr>
              <w:spacing w:after="0"/>
              <w:rPr>
                <w:sz w:val="18"/>
                <w:szCs w:val="18"/>
                <w:color w:val="auto"/>
              </w:rPr>
            </w:pPr>
          </w:p>
        </w:tc>
      </w:tr>
      <w:tr>
        <w:trPr>
          <w:trHeight w:val="230"/>
        </w:trPr>
        <w:tc>
          <w:tcPr>
            <w:tcW w:w="762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Prepayments and other current assets</w:t>
            </w: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3,714,473</w:t>
            </w:r>
          </w:p>
        </w:tc>
        <w:tc>
          <w:tcPr>
            <w:tcW w:w="30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5,444,463</w:t>
            </w:r>
          </w:p>
        </w:tc>
        <w:tc>
          <w:tcPr>
            <w:tcW w:w="80" w:type="dxa"/>
            <w:vAlign w:val="bottom"/>
            <w:shd w:val="clear" w:color="auto" w:fill="EEEEEE"/>
          </w:tcPr>
          <w:p>
            <w:pPr>
              <w:spacing w:after="0"/>
              <w:rPr>
                <w:sz w:val="19"/>
                <w:szCs w:val="19"/>
                <w:color w:val="auto"/>
              </w:rPr>
            </w:pPr>
          </w:p>
        </w:tc>
      </w:tr>
      <w:tr>
        <w:trPr>
          <w:trHeight w:val="209"/>
        </w:trPr>
        <w:tc>
          <w:tcPr>
            <w:tcW w:w="7620" w:type="dxa"/>
            <w:vAlign w:val="bottom"/>
            <w:tcBorders>
              <w:bottom w:val="single" w:sz="8" w:color="EEEEEE"/>
            </w:tcBorders>
            <w:gridSpan w:val="3"/>
          </w:tcPr>
          <w:p>
            <w:pPr>
              <w:ind w:left="5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42,656,369</w:t>
            </w:r>
          </w:p>
        </w:tc>
        <w:tc>
          <w:tcPr>
            <w:tcW w:w="2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55,184,225</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09"/>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4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620" w:type="dxa"/>
            <w:vAlign w:val="bottom"/>
            <w:gridSpan w:val="3"/>
          </w:tcPr>
          <w:p>
            <w:pPr>
              <w:spacing w:after="0"/>
              <w:rPr>
                <w:sz w:val="20"/>
                <w:szCs w:val="20"/>
                <w:color w:val="auto"/>
              </w:rPr>
            </w:pPr>
            <w:r>
              <w:rPr>
                <w:rFonts w:ascii="Arial" w:cs="Arial" w:eastAsia="Arial" w:hAnsi="Arial"/>
                <w:sz w:val="18"/>
                <w:szCs w:val="18"/>
                <w:color w:val="auto"/>
              </w:rPr>
              <w:t>Non-current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2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Right of use - non-current</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9,161,836</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10,453,282</w:t>
            </w:r>
          </w:p>
        </w:tc>
        <w:tc>
          <w:tcPr>
            <w:tcW w:w="80" w:type="dxa"/>
            <w:vAlign w:val="bottom"/>
            <w:shd w:val="clear" w:color="auto" w:fill="EEEEEE"/>
          </w:tcPr>
          <w:p>
            <w:pPr>
              <w:spacing w:after="0"/>
              <w:rPr>
                <w:sz w:val="18"/>
                <w:szCs w:val="18"/>
                <w:color w:val="auto"/>
              </w:rPr>
            </w:pPr>
          </w:p>
        </w:tc>
      </w:tr>
      <w:tr>
        <w:trPr>
          <w:trHeight w:val="216"/>
        </w:trPr>
        <w:tc>
          <w:tcPr>
            <w:tcW w:w="7620" w:type="dxa"/>
            <w:vAlign w:val="bottom"/>
            <w:gridSpan w:val="3"/>
          </w:tcPr>
          <w:p>
            <w:pPr>
              <w:ind w:left="18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603,518</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544,633</w:t>
            </w:r>
          </w:p>
        </w:tc>
        <w:tc>
          <w:tcPr>
            <w:tcW w:w="80" w:type="dxa"/>
            <w:vAlign w:val="bottom"/>
          </w:tcPr>
          <w:p>
            <w:pPr>
              <w:spacing w:after="0"/>
              <w:rPr>
                <w:sz w:val="18"/>
                <w:szCs w:val="18"/>
                <w:color w:val="auto"/>
              </w:rPr>
            </w:pPr>
          </w:p>
        </w:tc>
      </w:tr>
      <w:tr>
        <w:trPr>
          <w:trHeight w:val="216"/>
        </w:trPr>
        <w:tc>
          <w:tcPr>
            <w:tcW w:w="762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849,579</w:t>
            </w:r>
          </w:p>
        </w:tc>
        <w:tc>
          <w:tcPr>
            <w:tcW w:w="30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20" w:type="dxa"/>
            <w:vAlign w:val="bottom"/>
            <w:gridSpan w:val="3"/>
          </w:tcPr>
          <w:p>
            <w:pPr>
              <w:ind w:left="180"/>
              <w:spacing w:after="0"/>
              <w:rPr>
                <w:sz w:val="20"/>
                <w:szCs w:val="20"/>
                <w:color w:val="auto"/>
              </w:rPr>
            </w:pPr>
            <w:r>
              <w:rPr>
                <w:rFonts w:ascii="Arial" w:cs="Arial" w:eastAsia="Arial" w:hAnsi="Arial"/>
                <w:sz w:val="18"/>
                <w:szCs w:val="18"/>
                <w:color w:val="auto"/>
              </w:rPr>
              <w:t>Non-current prepayments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709,790</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925,624</w:t>
            </w:r>
          </w:p>
        </w:tc>
        <w:tc>
          <w:tcPr>
            <w:tcW w:w="80" w:type="dxa"/>
            <w:vAlign w:val="bottom"/>
          </w:tcPr>
          <w:p>
            <w:pPr>
              <w:spacing w:after="0"/>
              <w:rPr>
                <w:sz w:val="18"/>
                <w:szCs w:val="18"/>
                <w:color w:val="auto"/>
              </w:rPr>
            </w:pPr>
          </w:p>
        </w:tc>
      </w:tr>
      <w:tr>
        <w:trPr>
          <w:trHeight w:val="216"/>
        </w:trPr>
        <w:tc>
          <w:tcPr>
            <w:tcW w:w="762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3,034,110</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6,094,144</w:t>
            </w:r>
          </w:p>
        </w:tc>
        <w:tc>
          <w:tcPr>
            <w:tcW w:w="80" w:type="dxa"/>
            <w:vAlign w:val="bottom"/>
            <w:shd w:val="clear" w:color="auto" w:fill="EEEEEE"/>
          </w:tcPr>
          <w:p>
            <w:pPr>
              <w:spacing w:after="0"/>
              <w:rPr>
                <w:sz w:val="18"/>
                <w:szCs w:val="18"/>
                <w:color w:val="auto"/>
              </w:rPr>
            </w:pPr>
          </w:p>
        </w:tc>
      </w:tr>
      <w:tr>
        <w:trPr>
          <w:trHeight w:val="216"/>
        </w:trPr>
        <w:tc>
          <w:tcPr>
            <w:tcW w:w="7620" w:type="dxa"/>
            <w:vAlign w:val="bottom"/>
            <w:gridSpan w:val="3"/>
          </w:tcPr>
          <w:p>
            <w:pPr>
              <w:ind w:left="180"/>
              <w:spacing w:after="0"/>
              <w:rPr>
                <w:sz w:val="20"/>
                <w:szCs w:val="20"/>
                <w:color w:val="auto"/>
              </w:rPr>
            </w:pPr>
            <w:r>
              <w:rPr>
                <w:rFonts w:ascii="Arial" w:cs="Arial" w:eastAsia="Arial" w:hAnsi="Arial"/>
                <w:sz w:val="18"/>
                <w:szCs w:val="18"/>
                <w:color w:val="auto"/>
              </w:rPr>
              <w:t>Investment in joint venture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36,057</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43,385</w:t>
            </w:r>
          </w:p>
        </w:tc>
        <w:tc>
          <w:tcPr>
            <w:tcW w:w="80" w:type="dxa"/>
            <w:vAlign w:val="bottom"/>
          </w:tcPr>
          <w:p>
            <w:pPr>
              <w:spacing w:after="0"/>
              <w:rPr>
                <w:sz w:val="18"/>
                <w:szCs w:val="18"/>
                <w:color w:val="auto"/>
              </w:rPr>
            </w:pPr>
          </w:p>
        </w:tc>
      </w:tr>
      <w:tr>
        <w:trPr>
          <w:trHeight w:val="216"/>
        </w:trPr>
        <w:tc>
          <w:tcPr>
            <w:tcW w:w="762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4,604,756</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4,929,442</w:t>
            </w:r>
          </w:p>
        </w:tc>
        <w:tc>
          <w:tcPr>
            <w:tcW w:w="80" w:type="dxa"/>
            <w:vAlign w:val="bottom"/>
            <w:shd w:val="clear" w:color="auto" w:fill="EEEEEE"/>
          </w:tcPr>
          <w:p>
            <w:pPr>
              <w:spacing w:after="0"/>
              <w:rPr>
                <w:sz w:val="18"/>
                <w:szCs w:val="18"/>
                <w:color w:val="auto"/>
              </w:rPr>
            </w:pPr>
          </w:p>
        </w:tc>
      </w:tr>
      <w:tr>
        <w:trPr>
          <w:trHeight w:val="229"/>
        </w:trPr>
        <w:tc>
          <w:tcPr>
            <w:tcW w:w="7620" w:type="dxa"/>
            <w:vAlign w:val="bottom"/>
            <w:gridSpan w:val="3"/>
          </w:tcPr>
          <w:p>
            <w:pPr>
              <w:ind w:left="18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401,312</w:t>
            </w:r>
          </w:p>
        </w:tc>
        <w:tc>
          <w:tcPr>
            <w:tcW w:w="3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406,732</w:t>
            </w:r>
          </w:p>
        </w:tc>
        <w:tc>
          <w:tcPr>
            <w:tcW w:w="80" w:type="dxa"/>
            <w:vAlign w:val="bottom"/>
          </w:tcPr>
          <w:p>
            <w:pPr>
              <w:spacing w:after="0"/>
              <w:rPr>
                <w:sz w:val="19"/>
                <w:szCs w:val="19"/>
                <w:color w:val="auto"/>
              </w:rPr>
            </w:pPr>
          </w:p>
        </w:tc>
      </w:tr>
      <w:tr>
        <w:trPr>
          <w:trHeight w:val="210"/>
        </w:trPr>
        <w:tc>
          <w:tcPr>
            <w:tcW w:w="7620" w:type="dxa"/>
            <w:vAlign w:val="bottom"/>
            <w:tcBorders>
              <w:top w:val="single" w:sz="8" w:color="EEEEEE"/>
            </w:tcBorders>
            <w:gridSpan w:val="3"/>
            <w:shd w:val="clear" w:color="auto" w:fill="EEEEEE"/>
          </w:tcPr>
          <w:p>
            <w:pPr>
              <w:ind w:left="540"/>
              <w:spacing w:after="0"/>
              <w:rPr>
                <w:sz w:val="20"/>
                <w:szCs w:val="20"/>
                <w:color w:val="auto"/>
              </w:rPr>
            </w:pPr>
            <w:r>
              <w:rPr>
                <w:rFonts w:ascii="Arial" w:cs="Arial" w:eastAsia="Arial" w:hAnsi="Arial"/>
                <w:sz w:val="18"/>
                <w:szCs w:val="18"/>
                <w:color w:val="auto"/>
              </w:rPr>
              <w:t>Total non-current assets</w:t>
            </w: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19,400,958</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23,397,242</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7620" w:type="dxa"/>
            <w:vAlign w:val="bottom"/>
            <w:gridSpan w:val="3"/>
            <w:shd w:val="clear" w:color="auto" w:fill="EEEEEE"/>
          </w:tcPr>
          <w:p>
            <w:pPr>
              <w:ind w:left="540"/>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62,057,327</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78,581,467</w:t>
            </w:r>
          </w:p>
        </w:tc>
        <w:tc>
          <w:tcPr>
            <w:tcW w:w="80" w:type="dxa"/>
            <w:vAlign w:val="bottom"/>
            <w:shd w:val="clear" w:color="auto" w:fill="EEEEEE"/>
          </w:tcPr>
          <w:p>
            <w:pPr>
              <w:spacing w:after="0"/>
              <w:rPr>
                <w:sz w:val="21"/>
                <w:szCs w:val="21"/>
                <w:color w:val="auto"/>
              </w:rPr>
            </w:pPr>
          </w:p>
        </w:tc>
      </w:tr>
      <w:tr>
        <w:trPr>
          <w:trHeight w:val="20"/>
        </w:trPr>
        <w:tc>
          <w:tcPr>
            <w:tcW w:w="660" w:type="dxa"/>
            <w:vAlign w:val="bottom"/>
            <w:tcBorders>
              <w:top w:val="single" w:sz="8" w:color="EEEEEE"/>
            </w:tcBorders>
          </w:tcPr>
          <w:p>
            <w:pPr>
              <w:spacing w:after="0" w:line="20" w:lineRule="exact"/>
              <w:rPr>
                <w:sz w:val="1"/>
                <w:szCs w:val="1"/>
                <w:color w:val="auto"/>
              </w:rPr>
            </w:pPr>
          </w:p>
        </w:tc>
        <w:tc>
          <w:tcPr>
            <w:tcW w:w="1520" w:type="dxa"/>
            <w:vAlign w:val="bottom"/>
            <w:tcBorders>
              <w:top w:val="single" w:sz="8" w:color="EEEEEE"/>
            </w:tcBorders>
          </w:tcPr>
          <w:p>
            <w:pPr>
              <w:spacing w:after="0" w:line="20" w:lineRule="exact"/>
              <w:rPr>
                <w:sz w:val="1"/>
                <w:szCs w:val="1"/>
                <w:color w:val="auto"/>
              </w:rPr>
            </w:pPr>
          </w:p>
        </w:tc>
        <w:tc>
          <w:tcPr>
            <w:tcW w:w="544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7620" w:type="dxa"/>
            <w:vAlign w:val="bottom"/>
            <w:gridSpan w:val="3"/>
            <w:shd w:val="clear" w:color="auto" w:fill="EEEEEE"/>
          </w:tcPr>
          <w:p>
            <w:pPr>
              <w:spacing w:after="0" w:line="176" w:lineRule="exact"/>
              <w:rPr>
                <w:sz w:val="20"/>
                <w:szCs w:val="20"/>
                <w:color w:val="auto"/>
              </w:rPr>
            </w:pPr>
            <w:r>
              <w:rPr>
                <w:rFonts w:ascii="Arial" w:cs="Arial" w:eastAsia="Arial" w:hAnsi="Arial"/>
                <w:sz w:val="18"/>
                <w:szCs w:val="18"/>
                <w:color w:val="auto"/>
              </w:rPr>
              <w:t>LIABILITIES AND EQUITY</w:t>
            </w: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2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liabilities</w:t>
            </w:r>
          </w:p>
        </w:tc>
        <w:tc>
          <w:tcPr>
            <w:tcW w:w="544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180" w:type="dxa"/>
            <w:vAlign w:val="bottom"/>
            <w:tcBorders>
              <w:top w:val="single" w:sz="8" w:color="EEEEEE"/>
            </w:tcBorders>
          </w:tcPr>
          <w:p>
            <w:pPr>
              <w:spacing w:after="0"/>
              <w:rPr>
                <w:sz w:val="18"/>
                <w:szCs w:val="18"/>
                <w:color w:val="auto"/>
              </w:rPr>
            </w:pPr>
          </w:p>
        </w:tc>
        <w:tc>
          <w:tcPr>
            <w:tcW w:w="1380" w:type="dxa"/>
            <w:vAlign w:val="bottom"/>
            <w:tcBorders>
              <w:top w:val="single" w:sz="8" w:color="EEEEEE"/>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300" w:type="dxa"/>
            <w:vAlign w:val="bottom"/>
            <w:tcBorders>
              <w:top w:val="single" w:sz="8" w:color="EEEEEE"/>
            </w:tcBorders>
          </w:tcPr>
          <w:p>
            <w:pPr>
              <w:spacing w:after="0"/>
              <w:rPr>
                <w:sz w:val="18"/>
                <w:szCs w:val="18"/>
                <w:color w:val="auto"/>
              </w:rPr>
            </w:pPr>
          </w:p>
        </w:tc>
        <w:tc>
          <w:tcPr>
            <w:tcW w:w="1280" w:type="dxa"/>
            <w:vAlign w:val="bottom"/>
            <w:tcBorders>
              <w:top w:val="single" w:sz="8" w:color="EEEEEE"/>
            </w:tcBorders>
          </w:tcPr>
          <w:p>
            <w:pPr>
              <w:spacing w:after="0"/>
              <w:rPr>
                <w:sz w:val="18"/>
                <w:szCs w:val="18"/>
                <w:color w:val="auto"/>
              </w:rPr>
            </w:pPr>
          </w:p>
        </w:tc>
        <w:tc>
          <w:tcPr>
            <w:tcW w:w="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r>
      <w:tr>
        <w:trPr>
          <w:trHeight w:val="216"/>
        </w:trPr>
        <w:tc>
          <w:tcPr>
            <w:tcW w:w="762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12,109,715</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9,533,408</w:t>
            </w:r>
          </w:p>
        </w:tc>
        <w:tc>
          <w:tcPr>
            <w:tcW w:w="80" w:type="dxa"/>
            <w:vAlign w:val="bottom"/>
            <w:shd w:val="clear" w:color="auto" w:fill="EEEEEE"/>
          </w:tcPr>
          <w:p>
            <w:pPr>
              <w:spacing w:after="0"/>
              <w:rPr>
                <w:sz w:val="18"/>
                <w:szCs w:val="18"/>
                <w:color w:val="auto"/>
              </w:rPr>
            </w:pPr>
          </w:p>
        </w:tc>
      </w:tr>
      <w:tr>
        <w:trPr>
          <w:trHeight w:val="216"/>
        </w:trPr>
        <w:tc>
          <w:tcPr>
            <w:tcW w:w="7620" w:type="dxa"/>
            <w:vAlign w:val="bottom"/>
            <w:gridSpan w:val="3"/>
          </w:tcPr>
          <w:p>
            <w:pPr>
              <w:ind w:left="180"/>
              <w:spacing w:after="0"/>
              <w:rPr>
                <w:sz w:val="20"/>
                <w:szCs w:val="20"/>
                <w:color w:val="auto"/>
              </w:rPr>
            </w:pPr>
            <w:r>
              <w:rPr>
                <w:rFonts w:ascii="Arial" w:cs="Arial" w:eastAsia="Arial" w:hAnsi="Arial"/>
                <w:sz w:val="18"/>
                <w:szCs w:val="18"/>
                <w:color w:val="auto"/>
              </w:rPr>
              <w:t>Credit cards payable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223,039</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807,687</w:t>
            </w:r>
          </w:p>
        </w:tc>
        <w:tc>
          <w:tcPr>
            <w:tcW w:w="80" w:type="dxa"/>
            <w:vAlign w:val="bottom"/>
          </w:tcPr>
          <w:p>
            <w:pPr>
              <w:spacing w:after="0"/>
              <w:rPr>
                <w:sz w:val="18"/>
                <w:szCs w:val="18"/>
                <w:color w:val="auto"/>
              </w:rPr>
            </w:pPr>
          </w:p>
        </w:tc>
      </w:tr>
      <w:tr>
        <w:trPr>
          <w:trHeight w:val="216"/>
        </w:trPr>
        <w:tc>
          <w:tcPr>
            <w:tcW w:w="762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Customer deposit</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368,717</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273,457</w:t>
            </w:r>
          </w:p>
        </w:tc>
        <w:tc>
          <w:tcPr>
            <w:tcW w:w="80" w:type="dxa"/>
            <w:vAlign w:val="bottom"/>
            <w:shd w:val="clear" w:color="auto" w:fill="EEEEEE"/>
          </w:tcPr>
          <w:p>
            <w:pPr>
              <w:spacing w:after="0"/>
              <w:rPr>
                <w:sz w:val="18"/>
                <w:szCs w:val="18"/>
                <w:color w:val="auto"/>
              </w:rPr>
            </w:pPr>
          </w:p>
        </w:tc>
      </w:tr>
      <w:tr>
        <w:trPr>
          <w:trHeight w:val="216"/>
        </w:trPr>
        <w:tc>
          <w:tcPr>
            <w:tcW w:w="7620" w:type="dxa"/>
            <w:vAlign w:val="bottom"/>
            <w:gridSpan w:val="3"/>
          </w:tcPr>
          <w:p>
            <w:pPr>
              <w:ind w:left="180"/>
              <w:spacing w:after="0"/>
              <w:rPr>
                <w:sz w:val="20"/>
                <w:szCs w:val="20"/>
                <w:color w:val="auto"/>
              </w:rPr>
            </w:pPr>
            <w:r>
              <w:rPr>
                <w:rFonts w:ascii="Arial" w:cs="Arial" w:eastAsia="Arial" w:hAnsi="Arial"/>
                <w:sz w:val="18"/>
                <w:szCs w:val="18"/>
                <w:color w:val="auto"/>
              </w:rPr>
              <w:t>Other payables and accrued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2,070,567</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5,915,220</w:t>
            </w:r>
          </w:p>
        </w:tc>
        <w:tc>
          <w:tcPr>
            <w:tcW w:w="80" w:type="dxa"/>
            <w:vAlign w:val="bottom"/>
          </w:tcPr>
          <w:p>
            <w:pPr>
              <w:spacing w:after="0"/>
              <w:rPr>
                <w:sz w:val="18"/>
                <w:szCs w:val="18"/>
                <w:color w:val="auto"/>
              </w:rPr>
            </w:pPr>
          </w:p>
        </w:tc>
      </w:tr>
      <w:tr>
        <w:trPr>
          <w:trHeight w:val="216"/>
        </w:trPr>
        <w:tc>
          <w:tcPr>
            <w:tcW w:w="762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Advance from shareholders</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89,592</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92,246</w:t>
            </w:r>
          </w:p>
        </w:tc>
        <w:tc>
          <w:tcPr>
            <w:tcW w:w="80" w:type="dxa"/>
            <w:vAlign w:val="bottom"/>
            <w:shd w:val="clear" w:color="auto" w:fill="EEEEEE"/>
          </w:tcPr>
          <w:p>
            <w:pPr>
              <w:spacing w:after="0"/>
              <w:rPr>
                <w:sz w:val="18"/>
                <w:szCs w:val="18"/>
                <w:color w:val="auto"/>
              </w:rPr>
            </w:pPr>
          </w:p>
        </w:tc>
      </w:tr>
      <w:tr>
        <w:trPr>
          <w:trHeight w:val="216"/>
        </w:trPr>
        <w:tc>
          <w:tcPr>
            <w:tcW w:w="7620" w:type="dxa"/>
            <w:vAlign w:val="bottom"/>
            <w:gridSpan w:val="3"/>
          </w:tcPr>
          <w:p>
            <w:pPr>
              <w:ind w:left="180"/>
              <w:spacing w:after="0"/>
              <w:rPr>
                <w:sz w:val="20"/>
                <w:szCs w:val="20"/>
                <w:color w:val="auto"/>
              </w:rPr>
            </w:pPr>
            <w:r>
              <w:rPr>
                <w:rFonts w:ascii="Arial" w:cs="Arial" w:eastAsia="Arial" w:hAnsi="Arial"/>
                <w:sz w:val="18"/>
                <w:szCs w:val="18"/>
                <w:color w:val="auto"/>
              </w:rPr>
              <w:t>Investment payable</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1,500,000</w:t>
            </w:r>
          </w:p>
        </w:tc>
        <w:tc>
          <w:tcPr>
            <w:tcW w:w="80" w:type="dxa"/>
            <w:vAlign w:val="bottom"/>
          </w:tcPr>
          <w:p>
            <w:pPr>
              <w:spacing w:after="0"/>
              <w:rPr>
                <w:sz w:val="18"/>
                <w:szCs w:val="18"/>
                <w:color w:val="auto"/>
              </w:rPr>
            </w:pPr>
          </w:p>
        </w:tc>
      </w:tr>
      <w:tr>
        <w:trPr>
          <w:trHeight w:val="216"/>
        </w:trPr>
        <w:tc>
          <w:tcPr>
            <w:tcW w:w="762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Lease liability - current</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2,563,468</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2,582,933</w:t>
            </w:r>
          </w:p>
        </w:tc>
        <w:tc>
          <w:tcPr>
            <w:tcW w:w="80" w:type="dxa"/>
            <w:vAlign w:val="bottom"/>
            <w:shd w:val="clear" w:color="auto" w:fill="EEEEEE"/>
          </w:tcPr>
          <w:p>
            <w:pPr>
              <w:spacing w:after="0"/>
              <w:rPr>
                <w:sz w:val="18"/>
                <w:szCs w:val="18"/>
                <w:color w:val="auto"/>
              </w:rPr>
            </w:pPr>
          </w:p>
        </w:tc>
      </w:tr>
      <w:tr>
        <w:trPr>
          <w:trHeight w:val="216"/>
        </w:trPr>
        <w:tc>
          <w:tcPr>
            <w:tcW w:w="7620" w:type="dxa"/>
            <w:vAlign w:val="bottom"/>
            <w:gridSpan w:val="3"/>
          </w:tcPr>
          <w:p>
            <w:pPr>
              <w:ind w:left="180"/>
              <w:spacing w:after="0"/>
              <w:rPr>
                <w:sz w:val="20"/>
                <w:szCs w:val="20"/>
                <w:color w:val="auto"/>
              </w:rPr>
            </w:pPr>
            <w:r>
              <w:rPr>
                <w:rFonts w:ascii="Arial" w:cs="Arial" w:eastAsia="Arial" w:hAnsi="Arial"/>
                <w:sz w:val="18"/>
                <w:szCs w:val="18"/>
                <w:color w:val="auto"/>
              </w:rPr>
              <w:t>Long-term promissory note payable - current portion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1,977,502</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1,879,065</w:t>
            </w:r>
          </w:p>
        </w:tc>
        <w:tc>
          <w:tcPr>
            <w:tcW w:w="80" w:type="dxa"/>
            <w:vAlign w:val="bottom"/>
          </w:tcPr>
          <w:p>
            <w:pPr>
              <w:spacing w:after="0"/>
              <w:rPr>
                <w:sz w:val="18"/>
                <w:szCs w:val="18"/>
                <w:color w:val="auto"/>
              </w:rPr>
            </w:pPr>
          </w:p>
        </w:tc>
      </w:tr>
      <w:tr>
        <w:trPr>
          <w:trHeight w:val="230"/>
        </w:trPr>
        <w:tc>
          <w:tcPr>
            <w:tcW w:w="762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Income taxes payable</w:t>
            </w: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290,946</w:t>
            </w:r>
          </w:p>
        </w:tc>
        <w:tc>
          <w:tcPr>
            <w:tcW w:w="30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299,563</w:t>
            </w:r>
          </w:p>
        </w:tc>
        <w:tc>
          <w:tcPr>
            <w:tcW w:w="80" w:type="dxa"/>
            <w:vAlign w:val="bottom"/>
            <w:shd w:val="clear" w:color="auto" w:fill="EEEEEE"/>
          </w:tcPr>
          <w:p>
            <w:pPr>
              <w:spacing w:after="0"/>
              <w:rPr>
                <w:sz w:val="19"/>
                <w:szCs w:val="19"/>
                <w:color w:val="auto"/>
              </w:rPr>
            </w:pPr>
          </w:p>
        </w:tc>
      </w:tr>
      <w:tr>
        <w:trPr>
          <w:trHeight w:val="210"/>
        </w:trPr>
        <w:tc>
          <w:tcPr>
            <w:tcW w:w="7620" w:type="dxa"/>
            <w:vAlign w:val="bottom"/>
            <w:tcBorders>
              <w:bottom w:val="single" w:sz="8" w:color="EEEEEE"/>
            </w:tcBorders>
            <w:gridSpan w:val="3"/>
          </w:tcPr>
          <w:p>
            <w:pPr>
              <w:ind w:left="5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19,693,546</w:t>
            </w:r>
          </w:p>
        </w:tc>
        <w:tc>
          <w:tcPr>
            <w:tcW w:w="2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22,883,579</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09"/>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4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62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2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Long-term revolving loan payable, net</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9,334,819</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12,314,627</w:t>
            </w:r>
          </w:p>
        </w:tc>
        <w:tc>
          <w:tcPr>
            <w:tcW w:w="80" w:type="dxa"/>
            <w:vAlign w:val="bottom"/>
            <w:shd w:val="clear" w:color="auto" w:fill="EEEEEE"/>
          </w:tcPr>
          <w:p>
            <w:pPr>
              <w:spacing w:after="0"/>
              <w:rPr>
                <w:sz w:val="18"/>
                <w:szCs w:val="18"/>
                <w:color w:val="auto"/>
              </w:rPr>
            </w:pPr>
          </w:p>
        </w:tc>
      </w:tr>
      <w:tr>
        <w:trPr>
          <w:trHeight w:val="216"/>
        </w:trPr>
        <w:tc>
          <w:tcPr>
            <w:tcW w:w="7620" w:type="dxa"/>
            <w:vAlign w:val="bottom"/>
            <w:gridSpan w:val="3"/>
          </w:tcPr>
          <w:p>
            <w:pPr>
              <w:ind w:left="180"/>
              <w:spacing w:after="0"/>
              <w:rPr>
                <w:sz w:val="20"/>
                <w:szCs w:val="20"/>
                <w:color w:val="auto"/>
              </w:rPr>
            </w:pPr>
            <w:r>
              <w:rPr>
                <w:rFonts w:ascii="Arial" w:cs="Arial" w:eastAsia="Arial" w:hAnsi="Arial"/>
                <w:sz w:val="18"/>
                <w:szCs w:val="18"/>
                <w:color w:val="auto"/>
              </w:rPr>
              <w:t>Long-term promissory note payable, net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881,445</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1,781,705</w:t>
            </w:r>
          </w:p>
        </w:tc>
        <w:tc>
          <w:tcPr>
            <w:tcW w:w="80" w:type="dxa"/>
            <w:vAlign w:val="bottom"/>
          </w:tcPr>
          <w:p>
            <w:pPr>
              <w:spacing w:after="0"/>
              <w:rPr>
                <w:sz w:val="18"/>
                <w:szCs w:val="18"/>
                <w:color w:val="auto"/>
              </w:rPr>
            </w:pPr>
          </w:p>
        </w:tc>
      </w:tr>
      <w:tr>
        <w:trPr>
          <w:trHeight w:val="216"/>
        </w:trPr>
        <w:tc>
          <w:tcPr>
            <w:tcW w:w="762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939,115</w:t>
            </w:r>
          </w:p>
        </w:tc>
        <w:tc>
          <w:tcPr>
            <w:tcW w:w="80" w:type="dxa"/>
            <w:vAlign w:val="bottom"/>
            <w:shd w:val="clear" w:color="auto" w:fill="EEEEEE"/>
          </w:tcPr>
          <w:p>
            <w:pPr>
              <w:spacing w:after="0"/>
              <w:rPr>
                <w:sz w:val="18"/>
                <w:szCs w:val="18"/>
                <w:color w:val="auto"/>
              </w:rPr>
            </w:pPr>
          </w:p>
        </w:tc>
      </w:tr>
      <w:tr>
        <w:trPr>
          <w:trHeight w:val="229"/>
        </w:trPr>
        <w:tc>
          <w:tcPr>
            <w:tcW w:w="7620" w:type="dxa"/>
            <w:vAlign w:val="bottom"/>
            <w:gridSpan w:val="3"/>
          </w:tcPr>
          <w:p>
            <w:pPr>
              <w:ind w:left="180"/>
              <w:spacing w:after="0"/>
              <w:rPr>
                <w:sz w:val="20"/>
                <w:szCs w:val="20"/>
                <w:color w:val="auto"/>
              </w:rPr>
            </w:pPr>
            <w:r>
              <w:rPr>
                <w:rFonts w:ascii="Arial" w:cs="Arial" w:eastAsia="Arial" w:hAnsi="Arial"/>
                <w:sz w:val="18"/>
                <w:szCs w:val="18"/>
                <w:color w:val="auto"/>
              </w:rPr>
              <w:t>Lease liability - non-current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7,023,320</w:t>
            </w:r>
          </w:p>
        </w:tc>
        <w:tc>
          <w:tcPr>
            <w:tcW w:w="30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8,265,611</w:t>
            </w:r>
          </w:p>
        </w:tc>
        <w:tc>
          <w:tcPr>
            <w:tcW w:w="80" w:type="dxa"/>
            <w:vAlign w:val="bottom"/>
          </w:tcPr>
          <w:p>
            <w:pPr>
              <w:spacing w:after="0"/>
              <w:rPr>
                <w:sz w:val="19"/>
                <w:szCs w:val="19"/>
                <w:color w:val="auto"/>
              </w:rPr>
            </w:pPr>
          </w:p>
        </w:tc>
      </w:tr>
      <w:tr>
        <w:trPr>
          <w:trHeight w:val="210"/>
        </w:trPr>
        <w:tc>
          <w:tcPr>
            <w:tcW w:w="7620" w:type="dxa"/>
            <w:vAlign w:val="bottom"/>
            <w:tcBorders>
              <w:top w:val="single" w:sz="8" w:color="EEEEEE"/>
            </w:tcBorders>
            <w:gridSpan w:val="3"/>
            <w:shd w:val="clear" w:color="auto" w:fill="EEEEEE"/>
          </w:tcPr>
          <w:p>
            <w:pPr>
              <w:ind w:left="540"/>
              <w:spacing w:after="0"/>
              <w:rPr>
                <w:sz w:val="20"/>
                <w:szCs w:val="20"/>
                <w:color w:val="auto"/>
              </w:rPr>
            </w:pPr>
            <w:r>
              <w:rPr>
                <w:rFonts w:ascii="Arial" w:cs="Arial" w:eastAsia="Arial" w:hAnsi="Arial"/>
                <w:sz w:val="18"/>
                <w:szCs w:val="18"/>
                <w:color w:val="auto"/>
              </w:rPr>
              <w:t>Total non-current liabilities</w:t>
            </w: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17,239,584</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23,301,058</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620" w:type="dxa"/>
            <w:vAlign w:val="bottom"/>
            <w:gridSpan w:val="3"/>
            <w:shd w:val="clear" w:color="auto" w:fill="EEEEEE"/>
          </w:tcPr>
          <w:p>
            <w:pPr>
              <w:ind w:left="54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36,933,130</w:t>
            </w:r>
          </w:p>
        </w:tc>
        <w:tc>
          <w:tcPr>
            <w:tcW w:w="30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46,184,637</w:t>
            </w:r>
          </w:p>
        </w:tc>
        <w:tc>
          <w:tcPr>
            <w:tcW w:w="80" w:type="dxa"/>
            <w:vAlign w:val="bottom"/>
            <w:shd w:val="clear" w:color="auto" w:fill="EEEEEE"/>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Commitments and contingency</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2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02"/>
        </w:trPr>
        <w:tc>
          <w:tcPr>
            <w:tcW w:w="762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2"/>
              </w:rPr>
              <w:t>Preferred stock, $0.001 par value; 20,000,000 shares authorized; 0 shares issued and outstanding at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620" w:type="dxa"/>
            <w:vAlign w:val="bottom"/>
            <w:gridSpan w:val="3"/>
          </w:tcPr>
          <w:p>
            <w:pPr>
              <w:ind w:left="360"/>
              <w:spacing w:after="0"/>
              <w:rPr>
                <w:sz w:val="20"/>
                <w:szCs w:val="20"/>
                <w:color w:val="auto"/>
              </w:rPr>
            </w:pPr>
            <w:r>
              <w:rPr>
                <w:rFonts w:ascii="Arial" w:cs="Arial" w:eastAsia="Arial" w:hAnsi="Arial"/>
                <w:sz w:val="18"/>
                <w:szCs w:val="18"/>
                <w:color w:val="auto"/>
              </w:rPr>
              <w:t>December 31, 2022 and 2021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620" w:type="dxa"/>
            <w:vAlign w:val="bottom"/>
            <w:gridSpan w:val="3"/>
            <w:shd w:val="clear" w:color="auto" w:fill="EEEEEE"/>
          </w:tcPr>
          <w:p>
            <w:pPr>
              <w:ind w:left="180"/>
              <w:spacing w:after="0" w:line="201" w:lineRule="exact"/>
              <w:rPr>
                <w:sz w:val="20"/>
                <w:szCs w:val="20"/>
                <w:color w:val="auto"/>
              </w:rPr>
            </w:pPr>
            <w:r>
              <w:rPr>
                <w:rFonts w:ascii="Arial" w:cs="Arial" w:eastAsia="Arial" w:hAnsi="Arial"/>
                <w:sz w:val="18"/>
                <w:szCs w:val="18"/>
                <w:color w:val="auto"/>
                <w:w w:val="91"/>
              </w:rPr>
              <w:t>Common stock, $0.001 par value; 180,000,000 shares authorized; 29,572,382 and 29,572,382 shares</w:t>
            </w: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0"/>
        </w:trPr>
        <w:tc>
          <w:tcPr>
            <w:tcW w:w="7620" w:type="dxa"/>
            <w:vAlign w:val="bottom"/>
            <w:gridSpan w:val="3"/>
            <w:shd w:val="clear" w:color="auto" w:fill="EEEEEE"/>
          </w:tcPr>
          <w:p>
            <w:pPr>
              <w:ind w:left="360"/>
              <w:spacing w:after="0"/>
              <w:rPr>
                <w:sz w:val="20"/>
                <w:szCs w:val="20"/>
                <w:color w:val="auto"/>
              </w:rPr>
            </w:pPr>
            <w:r>
              <w:rPr>
                <w:rFonts w:ascii="Arial" w:cs="Arial" w:eastAsia="Arial" w:hAnsi="Arial"/>
                <w:sz w:val="18"/>
                <w:szCs w:val="18"/>
                <w:color w:val="auto"/>
              </w:rPr>
              <w:t>issued and outstanding at December 31, 2022 and June 30, 2022</w:t>
            </w:r>
          </w:p>
        </w:tc>
        <w:tc>
          <w:tcPr>
            <w:tcW w:w="1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29,573</w:t>
            </w:r>
          </w:p>
        </w:tc>
        <w:tc>
          <w:tcPr>
            <w:tcW w:w="300" w:type="dxa"/>
            <w:vAlign w:val="bottom"/>
            <w:shd w:val="clear" w:color="auto" w:fill="EEEEEE"/>
          </w:tcPr>
          <w:p>
            <w:pPr>
              <w:spacing w:after="0"/>
              <w:rPr>
                <w:sz w:val="20"/>
                <w:szCs w:val="20"/>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29,573</w:t>
            </w:r>
          </w:p>
        </w:tc>
        <w:tc>
          <w:tcPr>
            <w:tcW w:w="80" w:type="dxa"/>
            <w:vAlign w:val="bottom"/>
            <w:shd w:val="clear" w:color="auto" w:fill="EEEEEE"/>
          </w:tcPr>
          <w:p>
            <w:pPr>
              <w:spacing w:after="0"/>
              <w:rPr>
                <w:sz w:val="20"/>
                <w:szCs w:val="20"/>
                <w:color w:val="auto"/>
              </w:rPr>
            </w:pPr>
          </w:p>
        </w:tc>
      </w:tr>
      <w:tr>
        <w:trPr>
          <w:trHeight w:val="216"/>
        </w:trPr>
        <w:tc>
          <w:tcPr>
            <w:tcW w:w="7620" w:type="dxa"/>
            <w:vAlign w:val="bottom"/>
            <w:gridSpan w:val="3"/>
          </w:tcPr>
          <w:p>
            <w:pPr>
              <w:ind w:left="180"/>
              <w:spacing w:after="0"/>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29,382,011</w:t>
            </w: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29,111,863</w:t>
            </w:r>
          </w:p>
        </w:tc>
        <w:tc>
          <w:tcPr>
            <w:tcW w:w="80" w:type="dxa"/>
            <w:vAlign w:val="bottom"/>
          </w:tcPr>
          <w:p>
            <w:pPr>
              <w:spacing w:after="0"/>
              <w:rPr>
                <w:sz w:val="18"/>
                <w:szCs w:val="18"/>
                <w:color w:val="auto"/>
              </w:rPr>
            </w:pPr>
          </w:p>
        </w:tc>
      </w:tr>
      <w:tr>
        <w:trPr>
          <w:trHeight w:val="216"/>
        </w:trPr>
        <w:tc>
          <w:tcPr>
            <w:tcW w:w="762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(Accumulated deficits) Retained earnings</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(4,209,867)</w:t>
            </w:r>
          </w:p>
        </w:tc>
        <w:tc>
          <w:tcPr>
            <w:tcW w:w="30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3,262,948</w:t>
            </w:r>
          </w:p>
        </w:tc>
        <w:tc>
          <w:tcPr>
            <w:tcW w:w="80" w:type="dxa"/>
            <w:vAlign w:val="bottom"/>
            <w:shd w:val="clear" w:color="auto" w:fill="EEEEEE"/>
          </w:tcPr>
          <w:p>
            <w:pPr>
              <w:spacing w:after="0"/>
              <w:rPr>
                <w:sz w:val="18"/>
                <w:szCs w:val="18"/>
                <w:color w:val="auto"/>
              </w:rPr>
            </w:pPr>
          </w:p>
        </w:tc>
      </w:tr>
      <w:tr>
        <w:trPr>
          <w:trHeight w:val="216"/>
        </w:trPr>
        <w:tc>
          <w:tcPr>
            <w:tcW w:w="7620" w:type="dxa"/>
            <w:vAlign w:val="bottom"/>
            <w:gridSpan w:val="3"/>
          </w:tcPr>
          <w:p>
            <w:pPr>
              <w:ind w:left="18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(18,872)</w:t>
            </w:r>
          </w:p>
        </w:tc>
        <w:tc>
          <w:tcPr>
            <w:tcW w:w="30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(13,232)</w:t>
            </w:r>
          </w:p>
        </w:tc>
      </w:tr>
      <w:tr>
        <w:trPr>
          <w:trHeight w:val="229"/>
        </w:trPr>
        <w:tc>
          <w:tcPr>
            <w:tcW w:w="762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(58,648)</w:t>
            </w:r>
          </w:p>
        </w:tc>
        <w:tc>
          <w:tcPr>
            <w:tcW w:w="30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5,678</w:t>
            </w:r>
          </w:p>
        </w:tc>
        <w:tc>
          <w:tcPr>
            <w:tcW w:w="80" w:type="dxa"/>
            <w:vAlign w:val="bottom"/>
            <w:shd w:val="clear" w:color="auto" w:fill="EEEEEE"/>
          </w:tcPr>
          <w:p>
            <w:pPr>
              <w:spacing w:after="0"/>
              <w:rPr>
                <w:sz w:val="19"/>
                <w:szCs w:val="19"/>
                <w:color w:val="auto"/>
              </w:rPr>
            </w:pPr>
          </w:p>
        </w:tc>
      </w:tr>
      <w:tr>
        <w:trPr>
          <w:trHeight w:val="209"/>
        </w:trPr>
        <w:tc>
          <w:tcPr>
            <w:tcW w:w="7620" w:type="dxa"/>
            <w:vAlign w:val="bottom"/>
            <w:tcBorders>
              <w:bottom w:val="single" w:sz="8" w:color="EEEEEE"/>
            </w:tcBorders>
            <w:gridSpan w:val="3"/>
          </w:tcPr>
          <w:p>
            <w:pPr>
              <w:ind w:left="54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25,124,197</w:t>
            </w:r>
          </w:p>
        </w:tc>
        <w:tc>
          <w:tcPr>
            <w:tcW w:w="2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32,396,830</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10"/>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4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43"/>
        </w:trPr>
        <w:tc>
          <w:tcPr>
            <w:tcW w:w="7620" w:type="dxa"/>
            <w:vAlign w:val="bottom"/>
            <w:gridSpan w:val="3"/>
          </w:tcPr>
          <w:p>
            <w:pPr>
              <w:ind w:left="540"/>
              <w:spacing w:after="0"/>
              <w:rPr>
                <w:sz w:val="20"/>
                <w:szCs w:val="20"/>
                <w:color w:val="auto"/>
              </w:rPr>
            </w:pPr>
            <w:r>
              <w:rPr>
                <w:rFonts w:ascii="Arial" w:cs="Arial" w:eastAsia="Arial" w:hAnsi="Arial"/>
                <w:sz w:val="18"/>
                <w:szCs w:val="18"/>
                <w:color w:val="auto"/>
              </w:rPr>
              <w:t>Total liabilities and equity</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62,057,327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78,581,467</w:t>
            </w:r>
          </w:p>
        </w:tc>
        <w:tc>
          <w:tcPr>
            <w:tcW w:w="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688" w:right="339" w:bottom="0" w:gutter="0" w:footer="0" w:header="0"/>
        </w:sectPr>
      </w:pPr>
    </w:p>
    <w:bookmarkStart w:id="3" w:name="page4"/>
    <w:bookmarkEnd w:id="3"/>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22225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TOTAL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GROSS PROFIT</w:t>
      </w:r>
    </w:p>
    <w:p>
      <w:pPr>
        <w:spacing w:after="0" w:line="252"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OPERATING EXPENSES: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Selling and fulfillment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General and administrative</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Impairment loss - goodwill</w:t>
      </w:r>
    </w:p>
    <w:p>
      <w:pPr>
        <w:spacing w:after="0" w:line="20" w:lineRule="exact"/>
        <w:rPr>
          <w:sz w:val="20"/>
          <w:szCs w:val="20"/>
          <w:color w:val="auto"/>
        </w:rPr>
      </w:pPr>
      <w:r>
        <w:rPr>
          <w:sz w:val="20"/>
          <w:szCs w:val="20"/>
          <w:color w:val="auto"/>
        </w:rPr>
        <w:br w:type="column"/>
      </w:r>
    </w:p>
    <w:p>
      <w:pPr>
        <w:jc w:val="center"/>
        <w:ind w:right="3200"/>
        <w:spacing w:after="0"/>
        <w:rPr>
          <w:sz w:val="20"/>
          <w:szCs w:val="20"/>
          <w:color w:val="auto"/>
        </w:rPr>
      </w:pPr>
      <w:r>
        <w:rPr>
          <w:rFonts w:ascii="Arial" w:cs="Arial" w:eastAsia="Arial" w:hAnsi="Arial"/>
          <w:sz w:val="18"/>
          <w:szCs w:val="18"/>
          <w:color w:val="auto"/>
        </w:rPr>
        <w:t>iPower Inc. and Subsidiaries</w:t>
      </w:r>
    </w:p>
    <w:p>
      <w:pPr>
        <w:spacing w:after="0" w:line="23" w:lineRule="exact"/>
        <w:rPr>
          <w:sz w:val="20"/>
          <w:szCs w:val="20"/>
          <w:color w:val="auto"/>
        </w:rPr>
      </w:pPr>
    </w:p>
    <w:p>
      <w:pPr>
        <w:jc w:val="center"/>
        <w:ind w:right="3200"/>
        <w:spacing w:after="0"/>
        <w:rPr>
          <w:sz w:val="20"/>
          <w:szCs w:val="20"/>
          <w:color w:val="auto"/>
        </w:rPr>
      </w:pPr>
      <w:r>
        <w:rPr>
          <w:rFonts w:ascii="Arial" w:cs="Arial" w:eastAsia="Arial" w:hAnsi="Arial"/>
          <w:sz w:val="17"/>
          <w:szCs w:val="17"/>
          <w:color w:val="auto"/>
        </w:rPr>
        <w:t>Unaudited Condensed Consolidated Statements of Operations</w:t>
      </w:r>
    </w:p>
    <w:p>
      <w:pPr>
        <w:spacing w:after="0" w:line="21" w:lineRule="exact"/>
        <w:rPr>
          <w:sz w:val="20"/>
          <w:szCs w:val="20"/>
          <w:color w:val="auto"/>
        </w:rPr>
      </w:pPr>
    </w:p>
    <w:p>
      <w:pPr>
        <w:jc w:val="center"/>
        <w:ind w:right="3200"/>
        <w:spacing w:after="0"/>
        <w:rPr>
          <w:sz w:val="20"/>
          <w:szCs w:val="20"/>
          <w:color w:val="auto"/>
        </w:rPr>
      </w:pPr>
      <w:r>
        <w:rPr>
          <w:rFonts w:ascii="Arial" w:cs="Arial" w:eastAsia="Arial" w:hAnsi="Arial"/>
          <w:sz w:val="16"/>
          <w:szCs w:val="16"/>
          <w:color w:val="auto"/>
        </w:rPr>
        <w:t>For the Three and Six Months Ended December 31, 2022 and 2021</w:t>
      </w:r>
    </w:p>
    <w:p>
      <w:pPr>
        <w:spacing w:after="0" w:line="200" w:lineRule="exact"/>
        <w:rPr>
          <w:sz w:val="20"/>
          <w:szCs w:val="20"/>
          <w:color w:val="auto"/>
        </w:rPr>
      </w:pPr>
    </w:p>
    <w:p>
      <w:pPr>
        <w:spacing w:after="0" w:line="250"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2980" w:type="dxa"/>
            <w:vAlign w:val="bottom"/>
            <w:gridSpan w:val="6"/>
          </w:tcPr>
          <w:p>
            <w:pPr>
              <w:jc w:val="right"/>
              <w:ind w:right="640"/>
              <w:spacing w:after="0"/>
              <w:rPr>
                <w:sz w:val="20"/>
                <w:szCs w:val="20"/>
                <w:color w:val="auto"/>
              </w:rPr>
            </w:pPr>
            <w:r>
              <w:rPr>
                <w:rFonts w:ascii="Arial" w:cs="Arial" w:eastAsia="Arial" w:hAnsi="Arial"/>
                <w:sz w:val="18"/>
                <w:szCs w:val="18"/>
                <w:color w:val="auto"/>
              </w:rPr>
              <w:t>For the Three Months Ended</w:t>
            </w:r>
          </w:p>
        </w:tc>
        <w:tc>
          <w:tcPr>
            <w:tcW w:w="160" w:type="dxa"/>
            <w:vAlign w:val="bottom"/>
          </w:tcPr>
          <w:p>
            <w:pPr>
              <w:spacing w:after="0"/>
              <w:rPr>
                <w:sz w:val="18"/>
                <w:szCs w:val="18"/>
                <w:color w:val="auto"/>
              </w:rPr>
            </w:pPr>
          </w:p>
        </w:tc>
        <w:tc>
          <w:tcPr>
            <w:tcW w:w="2760" w:type="dxa"/>
            <w:vAlign w:val="bottom"/>
            <w:gridSpan w:val="6"/>
          </w:tcPr>
          <w:p>
            <w:pPr>
              <w:ind w:left="340"/>
              <w:spacing w:after="0"/>
              <w:rPr>
                <w:sz w:val="20"/>
                <w:szCs w:val="20"/>
                <w:color w:val="auto"/>
              </w:rPr>
            </w:pPr>
            <w:r>
              <w:rPr>
                <w:rFonts w:ascii="Arial" w:cs="Arial" w:eastAsia="Arial" w:hAnsi="Arial"/>
                <w:sz w:val="18"/>
                <w:szCs w:val="18"/>
                <w:color w:val="auto"/>
              </w:rPr>
              <w:t>For the Six Months Ended</w:t>
            </w:r>
          </w:p>
        </w:tc>
      </w:tr>
      <w:tr>
        <w:trPr>
          <w:trHeight w:val="230"/>
        </w:trPr>
        <w:tc>
          <w:tcPr>
            <w:tcW w:w="180" w:type="dxa"/>
            <w:vAlign w:val="bottom"/>
          </w:tcPr>
          <w:p>
            <w:pPr>
              <w:spacing w:after="0"/>
              <w:rPr>
                <w:sz w:val="20"/>
                <w:szCs w:val="20"/>
                <w:color w:val="auto"/>
              </w:rPr>
            </w:pPr>
          </w:p>
        </w:tc>
        <w:tc>
          <w:tcPr>
            <w:tcW w:w="2980" w:type="dxa"/>
            <w:vAlign w:val="bottom"/>
            <w:gridSpan w:val="6"/>
          </w:tcPr>
          <w:p>
            <w:pPr>
              <w:jc w:val="right"/>
              <w:ind w:right="1220"/>
              <w:spacing w:after="0"/>
              <w:rPr>
                <w:sz w:val="20"/>
                <w:szCs w:val="20"/>
                <w:color w:val="auto"/>
              </w:rPr>
            </w:pPr>
            <w:r>
              <w:rPr>
                <w:rFonts w:ascii="Arial" w:cs="Arial" w:eastAsia="Arial" w:hAnsi="Arial"/>
                <w:sz w:val="18"/>
                <w:szCs w:val="18"/>
                <w:color w:val="auto"/>
              </w:rPr>
              <w:t>December 31,</w:t>
            </w:r>
          </w:p>
        </w:tc>
        <w:tc>
          <w:tcPr>
            <w:tcW w:w="160" w:type="dxa"/>
            <w:vAlign w:val="bottom"/>
          </w:tcPr>
          <w:p>
            <w:pPr>
              <w:spacing w:after="0"/>
              <w:rPr>
                <w:sz w:val="20"/>
                <w:szCs w:val="20"/>
                <w:color w:val="auto"/>
              </w:rPr>
            </w:pPr>
          </w:p>
        </w:tc>
        <w:tc>
          <w:tcPr>
            <w:tcW w:w="2760" w:type="dxa"/>
            <w:vAlign w:val="bottom"/>
            <w:gridSpan w:val="6"/>
          </w:tcPr>
          <w:p>
            <w:pPr>
              <w:ind w:left="740"/>
              <w:spacing w:after="0"/>
              <w:rPr>
                <w:sz w:val="20"/>
                <w:szCs w:val="20"/>
                <w:color w:val="auto"/>
              </w:rPr>
            </w:pPr>
            <w:r>
              <w:rPr>
                <w:rFonts w:ascii="Arial" w:cs="Arial" w:eastAsia="Arial" w:hAnsi="Arial"/>
                <w:sz w:val="18"/>
                <w:szCs w:val="18"/>
                <w:color w:val="auto"/>
              </w:rPr>
              <w:t>December 31,</w:t>
            </w:r>
          </w:p>
        </w:tc>
      </w:tr>
      <w:tr>
        <w:trPr>
          <w:trHeight w:val="223"/>
        </w:trPr>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2022</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9"/>
                <w:szCs w:val="19"/>
                <w:color w:val="auto"/>
              </w:rPr>
            </w:pPr>
          </w:p>
        </w:tc>
      </w:tr>
      <w:tr>
        <w:trPr>
          <w:trHeight w:val="224"/>
        </w:trPr>
        <w:tc>
          <w:tcPr>
            <w:tcW w:w="180" w:type="dxa"/>
            <w:vAlign w:val="bottom"/>
          </w:tcPr>
          <w:p>
            <w:pPr>
              <w:spacing w:after="0"/>
              <w:rPr>
                <w:sz w:val="19"/>
                <w:szCs w:val="19"/>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w w:val="97"/>
              </w:rPr>
              <w:t>(Unaudited)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7"/>
              </w:rPr>
              <w:t>(Unaudited)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w w:val="97"/>
              </w:rPr>
              <w:t>(Unaudited)</w:t>
            </w:r>
          </w:p>
        </w:tc>
        <w:tc>
          <w:tcPr>
            <w:tcW w:w="20" w:type="dxa"/>
            <w:vAlign w:val="bottom"/>
          </w:tcPr>
          <w:p>
            <w:pPr>
              <w:spacing w:after="0"/>
              <w:rPr>
                <w:sz w:val="19"/>
                <w:szCs w:val="19"/>
                <w:color w:val="auto"/>
              </w:rPr>
            </w:pPr>
          </w:p>
        </w:tc>
      </w:tr>
      <w:tr>
        <w:trPr>
          <w:trHeight w:val="431"/>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19,254,590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17,125,663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45,277,263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34,492,428</w:t>
            </w:r>
          </w:p>
        </w:tc>
      </w:tr>
      <w:tr>
        <w:trPr>
          <w:trHeight w:val="20"/>
        </w:trPr>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425"/>
        </w:trPr>
        <w:tc>
          <w:tcPr>
            <w:tcW w:w="180" w:type="dxa"/>
            <w:vAlign w:val="bottom"/>
          </w:tcPr>
          <w:p>
            <w:pPr>
              <w:spacing w:after="0"/>
              <w:rPr>
                <w:sz w:val="24"/>
                <w:szCs w:val="2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19,254,590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17,125,663</w:t>
            </w:r>
          </w:p>
        </w:tc>
        <w:tc>
          <w:tcPr>
            <w:tcW w:w="16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45,277,263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34,492,428</w:t>
            </w:r>
          </w:p>
        </w:tc>
      </w:tr>
      <w:tr>
        <w:trPr>
          <w:trHeight w:val="446"/>
        </w:trPr>
        <w:tc>
          <w:tcPr>
            <w:tcW w:w="180" w:type="dxa"/>
            <w:vAlign w:val="bottom"/>
          </w:tcPr>
          <w:p>
            <w:pPr>
              <w:spacing w:after="0"/>
              <w:rPr>
                <w:sz w:val="24"/>
                <w:szCs w:val="2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11,285,064</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9,568,051</w:t>
            </w:r>
          </w:p>
        </w:tc>
        <w:tc>
          <w:tcPr>
            <w:tcW w:w="16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27,322,021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19,621,114</w:t>
            </w:r>
          </w:p>
        </w:tc>
      </w:tr>
      <w:tr>
        <w:trPr>
          <w:trHeight w:val="20"/>
        </w:trPr>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439"/>
        </w:trPr>
        <w:tc>
          <w:tcPr>
            <w:tcW w:w="180" w:type="dxa"/>
            <w:vAlign w:val="bottom"/>
          </w:tcPr>
          <w:p>
            <w:pPr>
              <w:spacing w:after="0"/>
              <w:rPr>
                <w:sz w:val="24"/>
                <w:szCs w:val="2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7,969,526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7,557,612</w:t>
            </w:r>
          </w:p>
        </w:tc>
        <w:tc>
          <w:tcPr>
            <w:tcW w:w="16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17,955,242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14,871,314</w:t>
            </w:r>
          </w:p>
        </w:tc>
      </w:tr>
      <w:tr>
        <w:trPr>
          <w:trHeight w:val="20"/>
        </w:trPr>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627"/>
        </w:trPr>
        <w:tc>
          <w:tcPr>
            <w:tcW w:w="180" w:type="dxa"/>
            <w:vAlign w:val="bottom"/>
          </w:tcPr>
          <w:p>
            <w:pPr>
              <w:spacing w:after="0"/>
              <w:rPr>
                <w:sz w:val="24"/>
                <w:szCs w:val="2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9,338,737</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3,641,839</w:t>
            </w:r>
          </w:p>
        </w:tc>
        <w:tc>
          <w:tcPr>
            <w:tcW w:w="160" w:type="dxa"/>
            <w:vAlign w:val="bottom"/>
          </w:tcPr>
          <w:p>
            <w:pPr>
              <w:spacing w:after="0"/>
              <w:rPr>
                <w:sz w:val="24"/>
                <w:szCs w:val="24"/>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17,757,549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7,307,760</w:t>
            </w:r>
          </w:p>
        </w:tc>
        <w:tc>
          <w:tcPr>
            <w:tcW w:w="20" w:type="dxa"/>
            <w:vAlign w:val="bottom"/>
          </w:tcPr>
          <w:p>
            <w:pPr>
              <w:spacing w:after="0"/>
              <w:rPr>
                <w:sz w:val="24"/>
                <w:szCs w:val="24"/>
                <w:color w:val="auto"/>
              </w:rPr>
            </w:pPr>
          </w:p>
        </w:tc>
      </w:tr>
      <w:tr>
        <w:trPr>
          <w:trHeight w:val="229"/>
        </w:trPr>
        <w:tc>
          <w:tcPr>
            <w:tcW w:w="1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2,713,355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2,780,488</w:t>
            </w:r>
          </w:p>
        </w:tc>
        <w:tc>
          <w:tcPr>
            <w:tcW w:w="1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5,813,531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5,137,954</w:t>
            </w:r>
          </w:p>
        </w:tc>
        <w:tc>
          <w:tcPr>
            <w:tcW w:w="20" w:type="dxa"/>
            <w:vAlign w:val="bottom"/>
          </w:tcPr>
          <w:p>
            <w:pPr>
              <w:spacing w:after="0"/>
              <w:rPr>
                <w:sz w:val="19"/>
                <w:szCs w:val="19"/>
                <w:color w:val="auto"/>
              </w:rPr>
            </w:pPr>
          </w:p>
        </w:tc>
      </w:tr>
      <w:tr>
        <w:trPr>
          <w:trHeight w:val="228"/>
        </w:trPr>
        <w:tc>
          <w:tcPr>
            <w:tcW w:w="18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3,060,034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-1704340</wp:posOffset>
            </wp:positionV>
            <wp:extent cx="7132320"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-1412875</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-1138555</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-847090</wp:posOffset>
            </wp:positionV>
            <wp:extent cx="713232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-555625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-2026285</wp:posOffset>
            </wp:positionH>
            <wp:positionV relativeFrom="paragraph">
              <wp:posOffset>-281305</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480" w:space="720"/>
            <w:col w:w="8040"/>
          </w:cols>
          <w:pgMar w:left="320" w:top="692" w:right="339" w:bottom="1440" w:gutter="0" w:footer="0" w:header="0"/>
        </w:sectPr>
      </w:pPr>
    </w:p>
    <w:tbl>
      <w:tblPr>
        <w:tblLayout w:type="fixed"/>
        <w:tblInd w:w="0" w:type="dxa"/>
        <w:tblCellMar>
          <w:top w:w="0" w:type="dxa"/>
          <w:left w:w="0" w:type="dxa"/>
          <w:bottom w:w="0" w:type="dxa"/>
          <w:right w:w="0" w:type="dxa"/>
        </w:tblCellMar>
      </w:tblPr>
      <w:tr>
        <w:trPr>
          <w:trHeight w:val="211"/>
        </w:trPr>
        <w:tc>
          <w:tcPr>
            <w:tcW w:w="5080" w:type="dxa"/>
            <w:vAlign w:val="bottom"/>
            <w:tcBorders>
              <w:top w:val="single" w:sz="8" w:color="EEEEEE"/>
            </w:tcBorders>
            <w:shd w:val="clear" w:color="auto" w:fill="EEEEEE"/>
          </w:tcPr>
          <w:p>
            <w:pPr>
              <w:ind w:left="3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12,052,092</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6,422,327</w:t>
            </w:r>
          </w:p>
        </w:tc>
        <w:tc>
          <w:tcPr>
            <w:tcW w:w="2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26,631,114</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12,445,714</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(LOSS) INCOME FROM OPERATIONS</w:t>
            </w: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(4,082,566)</w:t>
            </w:r>
          </w:p>
        </w:tc>
        <w:tc>
          <w:tcPr>
            <w:tcW w:w="1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1,135,285</w:t>
            </w:r>
          </w:p>
        </w:tc>
        <w:tc>
          <w:tcPr>
            <w:tcW w:w="32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
              <w:spacing w:after="0"/>
              <w:rPr>
                <w:sz w:val="20"/>
                <w:szCs w:val="20"/>
                <w:color w:val="auto"/>
              </w:rPr>
            </w:pPr>
            <w:r>
              <w:rPr>
                <w:rFonts w:ascii="Arial" w:cs="Arial" w:eastAsia="Arial" w:hAnsi="Arial"/>
                <w:sz w:val="18"/>
                <w:szCs w:val="18"/>
                <w:color w:val="auto"/>
              </w:rPr>
              <w:t>(8,675,872)</w:t>
            </w:r>
          </w:p>
        </w:tc>
        <w:tc>
          <w:tcPr>
            <w:tcW w:w="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2,425,600</w:t>
            </w:r>
          </w:p>
        </w:tc>
      </w:tr>
      <w:tr>
        <w:trPr>
          <w:trHeight w:val="209"/>
        </w:trPr>
        <w:tc>
          <w:tcPr>
            <w:tcW w:w="50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Interest expenses</w:t>
            </w:r>
          </w:p>
        </w:tc>
        <w:tc>
          <w:tcPr>
            <w:tcW w:w="3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(314,119)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(75,112)</w:t>
            </w:r>
          </w:p>
        </w:tc>
        <w:tc>
          <w:tcPr>
            <w:tcW w:w="3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(562,160)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(75,112)</w:t>
            </w:r>
          </w:p>
        </w:tc>
      </w:tr>
      <w:tr>
        <w:trPr>
          <w:trHeight w:val="216"/>
        </w:trPr>
        <w:tc>
          <w:tcPr>
            <w:tcW w:w="50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 financing expenses</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(9,000)</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Loss on equity method investment</w:t>
            </w:r>
          </w:p>
        </w:tc>
        <w:tc>
          <w:tcPr>
            <w:tcW w:w="3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(3,938)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(7,328)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 non-operating income</w:t>
            </w: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59,600</w:t>
            </w:r>
          </w:p>
        </w:tc>
        <w:tc>
          <w:tcPr>
            <w:tcW w:w="1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60,403</w:t>
            </w:r>
          </w:p>
        </w:tc>
        <w:tc>
          <w:tcPr>
            <w:tcW w:w="32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271,360</w:t>
            </w:r>
          </w:p>
        </w:tc>
        <w:tc>
          <w:tcPr>
            <w:tcW w:w="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9,591</w:t>
            </w:r>
          </w:p>
        </w:tc>
      </w:tr>
      <w:tr>
        <w:trPr>
          <w:trHeight w:val="209"/>
        </w:trPr>
        <w:tc>
          <w:tcPr>
            <w:tcW w:w="5080" w:type="dxa"/>
            <w:vAlign w:val="bottom"/>
            <w:tcBorders>
              <w:bottom w:val="single" w:sz="8" w:color="EEEEEE"/>
            </w:tcBorders>
          </w:tcPr>
          <w:p>
            <w:pPr>
              <w:ind w:left="360"/>
              <w:spacing w:after="0"/>
              <w:rPr>
                <w:sz w:val="20"/>
                <w:szCs w:val="20"/>
                <w:color w:val="auto"/>
              </w:rPr>
            </w:pPr>
            <w:r>
              <w:rPr>
                <w:rFonts w:ascii="Arial" w:cs="Arial" w:eastAsia="Arial" w:hAnsi="Arial"/>
                <w:sz w:val="18"/>
                <w:szCs w:val="18"/>
                <w:color w:val="auto"/>
              </w:rPr>
              <w:t>Total other expenses, net</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(258,457</w:t>
            </w:r>
          </w:p>
        </w:tc>
        <w:tc>
          <w:tcPr>
            <w:tcW w:w="160" w:type="dxa"/>
            <w:vAlign w:val="bottom"/>
            <w:tcBorders>
              <w:bottom w:val="single" w:sz="8" w:color="EEEEEE"/>
            </w:tcBorders>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(14,709</w:t>
            </w:r>
          </w:p>
        </w:tc>
        <w:tc>
          <w:tcPr>
            <w:tcW w:w="220" w:type="dxa"/>
            <w:vAlign w:val="bottom"/>
            <w:tcBorders>
              <w:bottom w:val="single" w:sz="8" w:color="EEEEEE"/>
            </w:tcBorders>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(298,128</w:t>
            </w:r>
          </w:p>
        </w:tc>
        <w:tc>
          <w:tcPr>
            <w:tcW w:w="140" w:type="dxa"/>
            <w:vAlign w:val="bottom"/>
            <w:tcBorders>
              <w:bottom w:val="single" w:sz="8" w:color="EEEEEE"/>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(74,521</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5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3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(4,341,023)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1,120,576</w:t>
            </w:r>
          </w:p>
        </w:tc>
        <w:tc>
          <w:tcPr>
            <w:tcW w:w="320" w:type="dxa"/>
            <w:vAlign w:val="bottom"/>
          </w:tcPr>
          <w:p>
            <w:pPr>
              <w:spacing w:after="0"/>
              <w:rPr>
                <w:sz w:val="18"/>
                <w:szCs w:val="18"/>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(8,974,000)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2,351,079</w:t>
            </w:r>
          </w:p>
        </w:tc>
      </w:tr>
      <w:tr>
        <w:trPr>
          <w:trHeight w:val="216"/>
        </w:trPr>
        <w:tc>
          <w:tcPr>
            <w:tcW w:w="5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PROVISION FOR INCOME TAX (BENEFIT) EXPENSE</w:t>
            </w:r>
          </w:p>
        </w:tc>
        <w:tc>
          <w:tcPr>
            <w:tcW w:w="30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(1,047,749)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322,715</w:t>
            </w:r>
          </w:p>
        </w:tc>
        <w:tc>
          <w:tcPr>
            <w:tcW w:w="320" w:type="dxa"/>
            <w:vAlign w:val="bottom"/>
          </w:tcPr>
          <w:p>
            <w:pPr>
              <w:spacing w:after="0"/>
              <w:rPr>
                <w:sz w:val="19"/>
                <w:szCs w:val="19"/>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(1,495,545)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665,690</w:t>
            </w:r>
          </w:p>
        </w:tc>
      </w:tr>
      <w:tr>
        <w:trPr>
          <w:trHeight w:val="209"/>
        </w:trPr>
        <w:tc>
          <w:tcPr>
            <w:tcW w:w="50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30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(3,293,274)</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797,861</w:t>
            </w:r>
          </w:p>
        </w:tc>
        <w:tc>
          <w:tcPr>
            <w:tcW w:w="2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(7,478,455)</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1,685,389</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Non-controlling interest</w:t>
            </w: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(2,835)</w:t>
            </w:r>
          </w:p>
        </w:tc>
        <w:tc>
          <w:tcPr>
            <w:tcW w:w="10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
              <w:spacing w:after="0"/>
              <w:rPr>
                <w:sz w:val="20"/>
                <w:szCs w:val="20"/>
                <w:color w:val="auto"/>
              </w:rPr>
            </w:pPr>
            <w:r>
              <w:rPr>
                <w:rFonts w:ascii="Arial" w:cs="Arial" w:eastAsia="Arial" w:hAnsi="Arial"/>
                <w:sz w:val="18"/>
                <w:szCs w:val="18"/>
                <w:color w:val="auto"/>
              </w:rPr>
              <w:t>(5,640)</w:t>
            </w:r>
          </w:p>
        </w:tc>
        <w:tc>
          <w:tcPr>
            <w:tcW w:w="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r>
      <w:tr>
        <w:trPr>
          <w:trHeight w:val="209"/>
        </w:trPr>
        <w:tc>
          <w:tcPr>
            <w:tcW w:w="50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NET (LOSS) INCOME ATTRIBUTABLE TO IPOWER INC.</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(3,290,439)</w:t>
            </w:r>
          </w:p>
        </w:tc>
        <w:tc>
          <w:tcPr>
            <w:tcW w:w="4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797,861</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
              <w:spacing w:after="0"/>
              <w:rPr>
                <w:sz w:val="20"/>
                <w:szCs w:val="20"/>
                <w:color w:val="auto"/>
              </w:rPr>
            </w:pPr>
            <w:r>
              <w:rPr>
                <w:rFonts w:ascii="Arial" w:cs="Arial" w:eastAsia="Arial" w:hAnsi="Arial"/>
                <w:sz w:val="18"/>
                <w:szCs w:val="18"/>
                <w:color w:val="auto"/>
              </w:rPr>
              <w:t>(7,472,815)</w:t>
            </w:r>
          </w:p>
        </w:tc>
        <w:tc>
          <w:tcPr>
            <w:tcW w:w="3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1,685,389</w:t>
            </w:r>
          </w:p>
        </w:tc>
      </w:tr>
      <w:tr>
        <w:trPr>
          <w:trHeight w:val="216"/>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OTHER COMPREHENSIVE LOSS</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47,149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(64,326)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508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6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02"/>
        </w:trPr>
        <w:tc>
          <w:tcPr>
            <w:tcW w:w="5080" w:type="dxa"/>
            <w:vAlign w:val="bottom"/>
          </w:tcPr>
          <w:p>
            <w:pPr>
              <w:spacing w:after="0" w:line="201" w:lineRule="exact"/>
              <w:rPr>
                <w:sz w:val="20"/>
                <w:szCs w:val="20"/>
                <w:color w:val="auto"/>
              </w:rPr>
            </w:pPr>
            <w:r>
              <w:rPr>
                <w:rFonts w:ascii="Arial" w:cs="Arial" w:eastAsia="Arial" w:hAnsi="Arial"/>
                <w:sz w:val="18"/>
                <w:szCs w:val="18"/>
                <w:color w:val="auto"/>
              </w:rPr>
              <w:t>COMPREHENSIVE (LOSS) INCOME ATTRIBUTABLE TO</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97"/>
        </w:trPr>
        <w:tc>
          <w:tcPr>
            <w:tcW w:w="5080" w:type="dxa"/>
            <w:vAlign w:val="bottom"/>
          </w:tcPr>
          <w:p>
            <w:pPr>
              <w:spacing w:after="0"/>
              <w:rPr>
                <w:sz w:val="20"/>
                <w:szCs w:val="20"/>
                <w:color w:val="auto"/>
              </w:rPr>
            </w:pPr>
            <w:r>
              <w:rPr>
                <w:rFonts w:ascii="Arial" w:cs="Arial" w:eastAsia="Arial" w:hAnsi="Arial"/>
                <w:sz w:val="18"/>
                <w:szCs w:val="18"/>
                <w:color w:val="auto"/>
              </w:rPr>
              <w:t>IPOWER INC.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(3,243,290)</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797,861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(7,537,141)</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1,685,389</w:t>
            </w:r>
          </w:p>
        </w:tc>
      </w:tr>
      <w:tr>
        <w:trPr>
          <w:trHeight w:val="197"/>
        </w:trPr>
        <w:tc>
          <w:tcPr>
            <w:tcW w:w="508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060" w:type="dxa"/>
            <w:vAlign w:val="bottom"/>
            <w:tcBorders>
              <w:top w:val="single" w:sz="8" w:color="auto"/>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02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320" w:type="dxa"/>
            <w:vAlign w:val="bottom"/>
            <w:tcBorders>
              <w:top w:val="single" w:sz="8" w:color="auto"/>
            </w:tcBorders>
            <w:shd w:val="clear" w:color="auto" w:fill="EEEEEE"/>
          </w:tcPr>
          <w:p>
            <w:pPr>
              <w:spacing w:after="0"/>
              <w:rPr>
                <w:sz w:val="17"/>
                <w:szCs w:val="17"/>
                <w:color w:val="auto"/>
              </w:rPr>
            </w:pPr>
          </w:p>
        </w:tc>
        <w:tc>
          <w:tcPr>
            <w:tcW w:w="1020" w:type="dxa"/>
            <w:vAlign w:val="bottom"/>
            <w:tcBorders>
              <w:top w:val="single" w:sz="8" w:color="auto"/>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04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WEIGHTED AVERAGE NUMBER OF COMMON STOCK</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EEEEEE"/>
          </w:tcPr>
          <w:p>
            <w:pPr>
              <w:spacing w:after="0"/>
              <w:rPr>
                <w:sz w:val="21"/>
                <w:szCs w:val="21"/>
                <w:color w:val="auto"/>
              </w:rPr>
            </w:pPr>
          </w:p>
        </w:tc>
        <w:tc>
          <w:tcPr>
            <w:tcW w:w="122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29,742,620</w:t>
            </w:r>
          </w:p>
        </w:tc>
        <w:tc>
          <w:tcPr>
            <w:tcW w:w="10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24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26,491,103</w:t>
            </w:r>
          </w:p>
        </w:tc>
        <w:tc>
          <w:tcPr>
            <w:tcW w:w="32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29,687,878</w:t>
            </w:r>
          </w:p>
        </w:tc>
        <w:tc>
          <w:tcPr>
            <w:tcW w:w="8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1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26,487,816</w:t>
            </w:r>
          </w:p>
        </w:tc>
      </w:tr>
      <w:tr>
        <w:trPr>
          <w:trHeight w:val="20"/>
        </w:trPr>
        <w:tc>
          <w:tcPr>
            <w:tcW w:w="50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96"/>
        </w:trPr>
        <w:tc>
          <w:tcPr>
            <w:tcW w:w="5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0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EEEEEE"/>
          </w:tcPr>
          <w:p>
            <w:pPr>
              <w:spacing w:after="0"/>
              <w:rPr>
                <w:sz w:val="21"/>
                <w:szCs w:val="21"/>
                <w:color w:val="auto"/>
              </w:rPr>
            </w:pPr>
          </w:p>
        </w:tc>
        <w:tc>
          <w:tcPr>
            <w:tcW w:w="122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29,742,620</w:t>
            </w:r>
          </w:p>
        </w:tc>
        <w:tc>
          <w:tcPr>
            <w:tcW w:w="10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24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26,491,103</w:t>
            </w:r>
          </w:p>
        </w:tc>
        <w:tc>
          <w:tcPr>
            <w:tcW w:w="32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29,687,878</w:t>
            </w:r>
          </w:p>
        </w:tc>
        <w:tc>
          <w:tcPr>
            <w:tcW w:w="80" w:type="dxa"/>
            <w:vAlign w:val="bottom"/>
            <w:shd w:val="clear" w:color="auto" w:fill="EEEEEE"/>
          </w:tcPr>
          <w:p>
            <w:pPr>
              <w:spacing w:after="0"/>
              <w:rPr>
                <w:sz w:val="21"/>
                <w:szCs w:val="21"/>
                <w:color w:val="auto"/>
              </w:rPr>
            </w:pPr>
          </w:p>
        </w:tc>
        <w:tc>
          <w:tcPr>
            <w:tcW w:w="300" w:type="dxa"/>
            <w:vAlign w:val="bottom"/>
            <w:shd w:val="clear" w:color="auto" w:fill="EEEEEE"/>
          </w:tcPr>
          <w:p>
            <w:pPr>
              <w:spacing w:after="0"/>
              <w:rPr>
                <w:sz w:val="21"/>
                <w:szCs w:val="21"/>
                <w:color w:val="auto"/>
              </w:rPr>
            </w:pPr>
          </w:p>
        </w:tc>
        <w:tc>
          <w:tcPr>
            <w:tcW w:w="11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26,487,816</w:t>
            </w:r>
          </w:p>
        </w:tc>
      </w:tr>
      <w:tr>
        <w:trPr>
          <w:trHeight w:val="20"/>
        </w:trPr>
        <w:tc>
          <w:tcPr>
            <w:tcW w:w="50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96"/>
        </w:trPr>
        <w:tc>
          <w:tcPr>
            <w:tcW w:w="5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(LOSSES) EARNINGS PER SHARE</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5080" w:type="dxa"/>
            <w:vAlign w:val="bottom"/>
          </w:tcPr>
          <w:p>
            <w:pPr>
              <w:ind w:left="1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(0.11)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0.03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(0.25)</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0.06</w:t>
            </w:r>
          </w:p>
        </w:tc>
      </w:tr>
      <w:tr>
        <w:trPr>
          <w:trHeight w:val="197"/>
        </w:trPr>
        <w:tc>
          <w:tcPr>
            <w:tcW w:w="508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060" w:type="dxa"/>
            <w:vAlign w:val="bottom"/>
            <w:tcBorders>
              <w:top w:val="single" w:sz="8" w:color="auto"/>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020" w:type="dxa"/>
            <w:vAlign w:val="bottom"/>
            <w:tcBorders>
              <w:top w:val="single" w:sz="8" w:color="auto"/>
            </w:tcBorders>
            <w:shd w:val="clear" w:color="auto" w:fill="EEEEEE"/>
          </w:tcPr>
          <w:p>
            <w:pPr>
              <w:spacing w:after="0"/>
              <w:rPr>
                <w:sz w:val="17"/>
                <w:szCs w:val="17"/>
                <w:color w:val="auto"/>
              </w:rPr>
            </w:pPr>
          </w:p>
        </w:tc>
        <w:tc>
          <w:tcPr>
            <w:tcW w:w="220" w:type="dxa"/>
            <w:vAlign w:val="bottom"/>
            <w:tcBorders>
              <w:top w:val="single" w:sz="8" w:color="EEEEEE"/>
            </w:tcBorders>
            <w:shd w:val="clear" w:color="auto" w:fill="EEEEEE"/>
          </w:tcPr>
          <w:p>
            <w:pPr>
              <w:spacing w:after="0"/>
              <w:rPr>
                <w:sz w:val="17"/>
                <w:szCs w:val="17"/>
                <w:color w:val="auto"/>
              </w:rPr>
            </w:pPr>
          </w:p>
        </w:tc>
        <w:tc>
          <w:tcPr>
            <w:tcW w:w="320" w:type="dxa"/>
            <w:vAlign w:val="bottom"/>
            <w:tcBorders>
              <w:top w:val="single" w:sz="8" w:color="auto"/>
            </w:tcBorders>
            <w:shd w:val="clear" w:color="auto" w:fill="EEEEEE"/>
          </w:tcPr>
          <w:p>
            <w:pPr>
              <w:spacing w:after="0"/>
              <w:rPr>
                <w:sz w:val="17"/>
                <w:szCs w:val="17"/>
                <w:color w:val="auto"/>
              </w:rPr>
            </w:pPr>
          </w:p>
        </w:tc>
        <w:tc>
          <w:tcPr>
            <w:tcW w:w="1020" w:type="dxa"/>
            <w:vAlign w:val="bottom"/>
            <w:tcBorders>
              <w:top w:val="single" w:sz="8" w:color="auto"/>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04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243"/>
        </w:trPr>
        <w:tc>
          <w:tcPr>
            <w:tcW w:w="5080" w:type="dxa"/>
            <w:vAlign w:val="bottom"/>
          </w:tcPr>
          <w:p>
            <w:pPr>
              <w:ind w:left="18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(0.11)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0.03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
              <w:spacing w:after="0"/>
              <w:rPr>
                <w:sz w:val="20"/>
                <w:szCs w:val="20"/>
                <w:color w:val="auto"/>
              </w:rPr>
            </w:pPr>
            <w:r>
              <w:rPr>
                <w:rFonts w:ascii="Arial" w:cs="Arial" w:eastAsia="Arial" w:hAnsi="Arial"/>
                <w:sz w:val="18"/>
                <w:szCs w:val="18"/>
                <w:color w:val="auto"/>
              </w:rPr>
              <w:t>(0.25)</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1"/>
              <w:spacing w:after="0"/>
              <w:rPr>
                <w:sz w:val="20"/>
                <w:szCs w:val="20"/>
                <w:color w:val="auto"/>
              </w:rPr>
            </w:pPr>
            <w:r>
              <w:rPr>
                <w:rFonts w:ascii="Arial" w:cs="Arial" w:eastAsia="Arial" w:hAnsi="Arial"/>
                <w:sz w:val="18"/>
                <w:szCs w:val="18"/>
                <w:color w:val="auto"/>
              </w:rPr>
              <w:t>0.06</w:t>
            </w:r>
          </w:p>
        </w:tc>
      </w:tr>
      <w:tr>
        <w:trPr>
          <w:trHeight w:val="20"/>
        </w:trPr>
        <w:tc>
          <w:tcPr>
            <w:tcW w:w="50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9720" w:type="dxa"/>
            <w:vAlign w:val="bottom"/>
            <w:gridSpan w:val="11"/>
          </w:tcPr>
          <w:p>
            <w:pPr>
              <w:ind w:left="1700"/>
              <w:spacing w:after="0"/>
              <w:rPr>
                <w:sz w:val="20"/>
                <w:szCs w:val="20"/>
                <w:color w:val="auto"/>
              </w:rPr>
            </w:pPr>
            <w:r>
              <w:rPr>
                <w:rFonts w:ascii="Arial" w:cs="Arial" w:eastAsia="Arial" w:hAnsi="Arial"/>
                <w:sz w:val="18"/>
                <w:szCs w:val="18"/>
                <w:color w:val="auto"/>
                <w:w w:val="91"/>
              </w:rPr>
              <w:t>The accompanying notes are an integral part of these unaudited condensed consolidated financial statements.</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64"/>
        </w:trPr>
        <w:tc>
          <w:tcPr>
            <w:tcW w:w="5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t>iPower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and Six Months Ended December 31, 2022 and 2021</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3"/>
          </w:tcPr>
          <w:p>
            <w:pPr>
              <w:jc w:val="center"/>
              <w:ind w:right="139"/>
              <w:spacing w:after="0"/>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59"/>
              <w:spacing w:after="0"/>
              <w:rPr>
                <w:sz w:val="20"/>
                <w:szCs w:val="20"/>
                <w:color w:val="auto"/>
              </w:rPr>
            </w:pPr>
            <w:r>
              <w:rPr>
                <w:rFonts w:ascii="Arial" w:cs="Arial" w:eastAsia="Arial" w:hAnsi="Arial"/>
                <w:sz w:val="16"/>
                <w:szCs w:val="16"/>
                <w:color w:val="auto"/>
                <w:w w:val="90"/>
              </w:rPr>
              <w:t>Retained</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99"/>
              <w:spacing w:after="0"/>
              <w:rPr>
                <w:sz w:val="20"/>
                <w:szCs w:val="20"/>
                <w:color w:val="auto"/>
              </w:rPr>
            </w:pPr>
            <w:r>
              <w:rPr>
                <w:rFonts w:ascii="Arial" w:cs="Arial" w:eastAsia="Arial" w:hAnsi="Arial"/>
                <w:sz w:val="16"/>
                <w:szCs w:val="16"/>
                <w:color w:val="auto"/>
                <w:w w:val="87"/>
              </w:rPr>
              <w:t>other</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3"/>
          </w:tcPr>
          <w:p>
            <w:pPr>
              <w:jc w:val="right"/>
              <w:ind w:right="340"/>
              <w:spacing w:after="0"/>
              <w:rPr>
                <w:sz w:val="20"/>
                <w:szCs w:val="20"/>
                <w:color w:val="auto"/>
              </w:rPr>
            </w:pPr>
            <w:r>
              <w:rPr>
                <w:rFonts w:ascii="Arial" w:cs="Arial" w:eastAsia="Arial" w:hAnsi="Arial"/>
                <w:sz w:val="16"/>
                <w:szCs w:val="16"/>
                <w:color w:val="auto"/>
              </w:rPr>
              <w:t>Additional</w:t>
            </w:r>
          </w:p>
        </w:tc>
        <w:tc>
          <w:tcPr>
            <w:tcW w:w="120" w:type="dxa"/>
            <w:vAlign w:val="bottom"/>
          </w:tcPr>
          <w:p>
            <w:pPr>
              <w:spacing w:after="0"/>
              <w:rPr>
                <w:sz w:val="17"/>
                <w:szCs w:val="17"/>
                <w:color w:val="auto"/>
              </w:rPr>
            </w:pPr>
          </w:p>
        </w:tc>
        <w:tc>
          <w:tcPr>
            <w:tcW w:w="1000" w:type="dxa"/>
            <w:vAlign w:val="bottom"/>
            <w:gridSpan w:val="2"/>
          </w:tcPr>
          <w:p>
            <w:pPr>
              <w:jc w:val="center"/>
              <w:ind w:right="259"/>
              <w:spacing w:after="0"/>
              <w:rPr>
                <w:sz w:val="20"/>
                <w:szCs w:val="20"/>
                <w:color w:val="auto"/>
              </w:rPr>
            </w:pPr>
            <w:r>
              <w:rPr>
                <w:rFonts w:ascii="Arial" w:cs="Arial" w:eastAsia="Arial" w:hAnsi="Arial"/>
                <w:sz w:val="16"/>
                <w:szCs w:val="16"/>
                <w:color w:val="auto"/>
                <w:w w:val="91"/>
              </w:rPr>
              <w:t>Earnings</w:t>
            </w:r>
          </w:p>
        </w:tc>
        <w:tc>
          <w:tcPr>
            <w:tcW w:w="160" w:type="dxa"/>
            <w:vAlign w:val="bottom"/>
          </w:tcPr>
          <w:p>
            <w:pPr>
              <w:spacing w:after="0"/>
              <w:rPr>
                <w:sz w:val="17"/>
                <w:szCs w:val="17"/>
                <w:color w:val="auto"/>
              </w:rPr>
            </w:pPr>
          </w:p>
        </w:tc>
        <w:tc>
          <w:tcPr>
            <w:tcW w:w="880" w:type="dxa"/>
            <w:vAlign w:val="bottom"/>
            <w:gridSpan w:val="2"/>
          </w:tcPr>
          <w:p>
            <w:pPr>
              <w:jc w:val="center"/>
              <w:ind w:right="219"/>
              <w:spacing w:after="0"/>
              <w:rPr>
                <w:sz w:val="20"/>
                <w:szCs w:val="20"/>
                <w:color w:val="auto"/>
              </w:rPr>
            </w:pPr>
            <w:r>
              <w:rPr>
                <w:rFonts w:ascii="Arial" w:cs="Arial" w:eastAsia="Arial" w:hAnsi="Arial"/>
                <w:sz w:val="16"/>
                <w:szCs w:val="16"/>
                <w:color w:val="auto"/>
                <w:w w:val="97"/>
              </w:rPr>
              <w:t>Non-</w:t>
            </w:r>
          </w:p>
        </w:tc>
        <w:tc>
          <w:tcPr>
            <w:tcW w:w="1300" w:type="dxa"/>
            <w:vAlign w:val="bottom"/>
            <w:gridSpan w:val="4"/>
          </w:tcPr>
          <w:p>
            <w:pPr>
              <w:jc w:val="center"/>
              <w:ind w:right="59"/>
              <w:spacing w:after="0"/>
              <w:rPr>
                <w:sz w:val="20"/>
                <w:szCs w:val="20"/>
                <w:color w:val="auto"/>
              </w:rPr>
            </w:pPr>
            <w:r>
              <w:rPr>
                <w:rFonts w:ascii="Arial" w:cs="Arial" w:eastAsia="Arial" w:hAnsi="Arial"/>
                <w:sz w:val="16"/>
                <w:szCs w:val="16"/>
                <w:color w:val="auto"/>
                <w:w w:val="89"/>
              </w:rPr>
              <w:t>Comprehensive</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460" w:type="dxa"/>
            <w:vAlign w:val="bottom"/>
          </w:tcPr>
          <w:p>
            <w:pPr>
              <w:spacing w:after="0"/>
              <w:rPr>
                <w:sz w:val="19"/>
                <w:szCs w:val="19"/>
                <w:color w:val="auto"/>
              </w:rPr>
            </w:pPr>
          </w:p>
        </w:tc>
        <w:tc>
          <w:tcPr>
            <w:tcW w:w="200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6"/>
                <w:szCs w:val="16"/>
                <w:color w:val="auto"/>
              </w:rPr>
              <w:t>Common Stock *</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6"/>
                <w:szCs w:val="16"/>
                <w:color w:val="auto"/>
              </w:rPr>
              <w:t>Paid in</w:t>
            </w:r>
          </w:p>
        </w:tc>
        <w:tc>
          <w:tcPr>
            <w:tcW w:w="1120" w:type="dxa"/>
            <w:vAlign w:val="bottom"/>
            <w:gridSpan w:val="3"/>
          </w:tcPr>
          <w:p>
            <w:pPr>
              <w:spacing w:after="0"/>
              <w:rPr>
                <w:sz w:val="20"/>
                <w:szCs w:val="20"/>
                <w:color w:val="auto"/>
              </w:rPr>
            </w:pPr>
            <w:r>
              <w:rPr>
                <w:rFonts w:ascii="Arial" w:cs="Arial" w:eastAsia="Arial" w:hAnsi="Arial"/>
                <w:sz w:val="16"/>
                <w:szCs w:val="16"/>
                <w:color w:val="auto"/>
              </w:rPr>
              <w:t>(Accumulated</w:t>
            </w:r>
          </w:p>
        </w:tc>
        <w:tc>
          <w:tcPr>
            <w:tcW w:w="1040" w:type="dxa"/>
            <w:vAlign w:val="bottom"/>
            <w:gridSpan w:val="3"/>
          </w:tcPr>
          <w:p>
            <w:pPr>
              <w:jc w:val="center"/>
              <w:ind w:right="59"/>
              <w:spacing w:after="0"/>
              <w:rPr>
                <w:sz w:val="20"/>
                <w:szCs w:val="20"/>
                <w:color w:val="auto"/>
              </w:rPr>
            </w:pPr>
            <w:r>
              <w:rPr>
                <w:rFonts w:ascii="Arial" w:cs="Arial" w:eastAsia="Arial" w:hAnsi="Arial"/>
                <w:sz w:val="16"/>
                <w:szCs w:val="16"/>
                <w:color w:val="auto"/>
                <w:w w:val="95"/>
              </w:rPr>
              <w:t>controlling</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299"/>
              <w:spacing w:after="0"/>
              <w:rPr>
                <w:sz w:val="20"/>
                <w:szCs w:val="20"/>
                <w:color w:val="auto"/>
              </w:rPr>
            </w:pPr>
            <w:r>
              <w:rPr>
                <w:rFonts w:ascii="Arial" w:cs="Arial" w:eastAsia="Arial" w:hAnsi="Arial"/>
                <w:sz w:val="16"/>
                <w:szCs w:val="16"/>
                <w:color w:val="auto"/>
                <w:w w:val="92"/>
              </w:rPr>
              <w:t>income</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60" w:type="dxa"/>
            <w:vAlign w:val="bottom"/>
          </w:tcPr>
          <w:p>
            <w:pPr>
              <w:spacing w:after="0"/>
              <w:rPr>
                <w:sz w:val="18"/>
                <w:szCs w:val="18"/>
                <w:color w:val="auto"/>
              </w:rPr>
            </w:pPr>
          </w:p>
        </w:tc>
        <w:tc>
          <w:tcPr>
            <w:tcW w:w="1120" w:type="dxa"/>
            <w:vAlign w:val="bottom"/>
            <w:gridSpan w:val="2"/>
          </w:tcPr>
          <w:p>
            <w:pPr>
              <w:ind w:left="24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6"/>
                <w:szCs w:val="16"/>
                <w:color w:val="auto"/>
              </w:rPr>
              <w:t>Amount</w:t>
            </w:r>
          </w:p>
        </w:tc>
        <w:tc>
          <w:tcPr>
            <w:tcW w:w="12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6"/>
                <w:szCs w:val="16"/>
                <w:color w:val="auto"/>
              </w:rPr>
              <w:t>Capital</w:t>
            </w:r>
          </w:p>
        </w:tc>
        <w:tc>
          <w:tcPr>
            <w:tcW w:w="120" w:type="dxa"/>
            <w:vAlign w:val="bottom"/>
          </w:tcPr>
          <w:p>
            <w:pPr>
              <w:spacing w:after="0"/>
              <w:rPr>
                <w:sz w:val="18"/>
                <w:szCs w:val="18"/>
                <w:color w:val="auto"/>
              </w:rPr>
            </w:pPr>
          </w:p>
        </w:tc>
        <w:tc>
          <w:tcPr>
            <w:tcW w:w="1000" w:type="dxa"/>
            <w:vAlign w:val="bottom"/>
            <w:gridSpan w:val="2"/>
          </w:tcPr>
          <w:p>
            <w:pPr>
              <w:jc w:val="center"/>
              <w:ind w:right="259"/>
              <w:spacing w:after="0"/>
              <w:rPr>
                <w:sz w:val="20"/>
                <w:szCs w:val="20"/>
                <w:color w:val="auto"/>
              </w:rPr>
            </w:pPr>
            <w:r>
              <w:rPr>
                <w:rFonts w:ascii="Arial" w:cs="Arial" w:eastAsia="Arial" w:hAnsi="Arial"/>
                <w:sz w:val="16"/>
                <w:szCs w:val="16"/>
                <w:color w:val="auto"/>
              </w:rPr>
              <w:t>Deficit)</w:t>
            </w:r>
          </w:p>
        </w:tc>
        <w:tc>
          <w:tcPr>
            <w:tcW w:w="160" w:type="dxa"/>
            <w:vAlign w:val="bottom"/>
          </w:tcPr>
          <w:p>
            <w:pPr>
              <w:spacing w:after="0"/>
              <w:rPr>
                <w:sz w:val="18"/>
                <w:szCs w:val="18"/>
                <w:color w:val="auto"/>
              </w:rPr>
            </w:pPr>
          </w:p>
        </w:tc>
        <w:tc>
          <w:tcPr>
            <w:tcW w:w="880" w:type="dxa"/>
            <w:vAlign w:val="bottom"/>
            <w:gridSpan w:val="2"/>
          </w:tcPr>
          <w:p>
            <w:pPr>
              <w:jc w:val="center"/>
              <w:ind w:right="219"/>
              <w:spacing w:after="0"/>
              <w:rPr>
                <w:sz w:val="20"/>
                <w:szCs w:val="20"/>
                <w:color w:val="auto"/>
              </w:rPr>
            </w:pPr>
            <w:r>
              <w:rPr>
                <w:rFonts w:ascii="Arial" w:cs="Arial" w:eastAsia="Arial" w:hAnsi="Arial"/>
                <w:sz w:val="16"/>
                <w:szCs w:val="16"/>
                <w:color w:val="auto"/>
                <w:w w:val="87"/>
              </w:rPr>
              <w:t>interest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299"/>
              <w:spacing w:after="0"/>
              <w:rPr>
                <w:sz w:val="20"/>
                <w:szCs w:val="20"/>
                <w:color w:val="auto"/>
              </w:rPr>
            </w:pPr>
            <w:r>
              <w:rPr>
                <w:rFonts w:ascii="Arial" w:cs="Arial" w:eastAsia="Arial" w:hAnsi="Arial"/>
                <w:sz w:val="16"/>
                <w:szCs w:val="16"/>
                <w:color w:val="auto"/>
                <w:w w:val="91"/>
              </w:rPr>
              <w:t>(loss)</w:t>
            </w:r>
          </w:p>
        </w:tc>
        <w:tc>
          <w:tcPr>
            <w:tcW w:w="1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99"/>
        </w:trPr>
        <w:tc>
          <w:tcPr>
            <w:tcW w:w="34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6"/>
                <w:szCs w:val="16"/>
                <w:color w:val="auto"/>
              </w:rPr>
              <w:t>Balance, June 30, 2022</w:t>
            </w: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29,572,382</w:t>
            </w:r>
          </w:p>
        </w:tc>
        <w:tc>
          <w:tcPr>
            <w:tcW w:w="22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29,573</w:t>
            </w:r>
          </w:p>
        </w:tc>
        <w:tc>
          <w:tcPr>
            <w:tcW w:w="22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w w:val="92"/>
              </w:rPr>
              <w:t>29,111,863</w:t>
            </w:r>
          </w:p>
        </w:tc>
        <w:tc>
          <w:tcPr>
            <w:tcW w:w="22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3,262,948</w:t>
            </w:r>
          </w:p>
        </w:tc>
        <w:tc>
          <w:tcPr>
            <w:tcW w:w="22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(13,232)</w:t>
            </w:r>
          </w:p>
        </w:tc>
        <w:tc>
          <w:tcPr>
            <w:tcW w:w="14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5,678</w:t>
            </w:r>
          </w:p>
        </w:tc>
        <w:tc>
          <w:tcPr>
            <w:tcW w:w="22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w w:val="94"/>
              </w:rPr>
              <w:t>32,396,830</w:t>
            </w:r>
          </w:p>
        </w:tc>
        <w:tc>
          <w:tcPr>
            <w:tcW w:w="100" w:type="dxa"/>
            <w:vAlign w:val="bottom"/>
            <w:tcBorders>
              <w:top w:val="single" w:sz="8" w:color="EEEEEE"/>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00"/>
              <w:spacing w:after="0"/>
              <w:rPr>
                <w:sz w:val="20"/>
                <w:szCs w:val="20"/>
                <w:color w:val="auto"/>
              </w:rPr>
            </w:pPr>
            <w:r>
              <w:rPr>
                <w:rFonts w:ascii="Arial" w:cs="Arial" w:eastAsia="Arial" w:hAnsi="Arial"/>
                <w:sz w:val="16"/>
                <w:szCs w:val="16"/>
                <w:color w:val="auto"/>
              </w:rPr>
              <w:t>Net loss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(4,182,376)</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(2,805)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(4,185,181)</w:t>
            </w:r>
          </w:p>
        </w:tc>
        <w:tc>
          <w:tcPr>
            <w:tcW w:w="0" w:type="dxa"/>
            <w:vAlign w:val="bottom"/>
          </w:tcPr>
          <w:p>
            <w:pPr>
              <w:spacing w:after="0"/>
              <w:rPr>
                <w:sz w:val="1"/>
                <w:szCs w:val="1"/>
                <w:color w:val="auto"/>
              </w:rPr>
            </w:pPr>
          </w:p>
        </w:tc>
      </w:tr>
      <w:tr>
        <w:trPr>
          <w:trHeight w:val="216"/>
        </w:trPr>
        <w:tc>
          <w:tcPr>
            <w:tcW w:w="3460" w:type="dxa"/>
            <w:vAlign w:val="bottom"/>
            <w:shd w:val="clear" w:color="auto" w:fill="EEEEEE"/>
          </w:tcPr>
          <w:p>
            <w:pPr>
              <w:ind w:left="10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137,882</w:t>
            </w:r>
          </w:p>
        </w:tc>
        <w:tc>
          <w:tcPr>
            <w:tcW w:w="1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39"/>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59"/>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39"/>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137,882</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100"/>
              <w:spacing w:after="0"/>
              <w:rPr>
                <w:sz w:val="20"/>
                <w:szCs w:val="20"/>
                <w:color w:val="auto"/>
              </w:rPr>
            </w:pPr>
            <w:r>
              <w:rPr>
                <w:rFonts w:ascii="Arial" w:cs="Arial" w:eastAsia="Arial" w:hAnsi="Arial"/>
                <w:sz w:val="16"/>
                <w:szCs w:val="16"/>
                <w:color w:val="auto"/>
              </w:rPr>
              <w:t>Foreign currency translation adjustments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(111,475)</w:t>
            </w:r>
          </w:p>
        </w:tc>
        <w:tc>
          <w:tcPr>
            <w:tcW w:w="12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(111,475)</w:t>
            </w:r>
          </w:p>
        </w:tc>
        <w:tc>
          <w:tcPr>
            <w:tcW w:w="0" w:type="dxa"/>
            <w:vAlign w:val="bottom"/>
          </w:tcPr>
          <w:p>
            <w:pPr>
              <w:spacing w:after="0"/>
              <w:rPr>
                <w:sz w:val="1"/>
                <w:szCs w:val="1"/>
                <w:color w:val="auto"/>
              </w:rPr>
            </w:pPr>
          </w:p>
        </w:tc>
      </w:tr>
      <w:tr>
        <w:trPr>
          <w:trHeight w:val="196"/>
        </w:trPr>
        <w:tc>
          <w:tcPr>
            <w:tcW w:w="34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6"/>
                <w:szCs w:val="16"/>
                <w:color w:val="auto"/>
              </w:rPr>
              <w:t>Balance, September 30, 2022, unaudited</w:t>
            </w: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29,572,382</w:t>
            </w:r>
          </w:p>
        </w:tc>
        <w:tc>
          <w:tcPr>
            <w:tcW w:w="22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spacing w:after="0"/>
              <w:rPr>
                <w:sz w:val="17"/>
                <w:szCs w:val="17"/>
                <w:color w:val="auto"/>
              </w:rPr>
            </w:pPr>
          </w:p>
        </w:tc>
        <w:tc>
          <w:tcPr>
            <w:tcW w:w="7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29,573</w:t>
            </w:r>
          </w:p>
        </w:tc>
        <w:tc>
          <w:tcPr>
            <w:tcW w:w="22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spacing w:after="0"/>
              <w:rPr>
                <w:sz w:val="17"/>
                <w:szCs w:val="17"/>
                <w:color w:val="auto"/>
              </w:rPr>
            </w:pPr>
          </w:p>
        </w:tc>
        <w:tc>
          <w:tcPr>
            <w:tcW w:w="7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w w:val="92"/>
              </w:rPr>
              <w:t>29,249,745</w:t>
            </w:r>
          </w:p>
        </w:tc>
        <w:tc>
          <w:tcPr>
            <w:tcW w:w="22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spacing w:after="0"/>
              <w:rPr>
                <w:sz w:val="17"/>
                <w:szCs w:val="17"/>
                <w:color w:val="auto"/>
              </w:rPr>
            </w:pPr>
          </w:p>
        </w:tc>
        <w:tc>
          <w:tcPr>
            <w:tcW w:w="7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(919,428)</w:t>
            </w:r>
          </w:p>
        </w:tc>
        <w:tc>
          <w:tcPr>
            <w:tcW w:w="22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7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(16,037)</w:t>
            </w:r>
          </w:p>
        </w:tc>
        <w:tc>
          <w:tcPr>
            <w:tcW w:w="14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8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(105,797)</w:t>
            </w:r>
          </w:p>
        </w:tc>
        <w:tc>
          <w:tcPr>
            <w:tcW w:w="22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spacing w:after="0"/>
              <w:rPr>
                <w:sz w:val="17"/>
                <w:szCs w:val="17"/>
                <w:color w:val="auto"/>
              </w:rPr>
            </w:pPr>
          </w:p>
        </w:tc>
        <w:tc>
          <w:tcPr>
            <w:tcW w:w="7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w w:val="94"/>
              </w:rPr>
              <w:t>28,238,056</w:t>
            </w:r>
          </w:p>
        </w:tc>
        <w:tc>
          <w:tcPr>
            <w:tcW w:w="100" w:type="dxa"/>
            <w:vAlign w:val="bottom"/>
            <w:tcBorders>
              <w:top w:val="single" w:sz="8" w:color="EEEEEE"/>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00"/>
              <w:spacing w:after="0"/>
              <w:rPr>
                <w:sz w:val="20"/>
                <w:szCs w:val="20"/>
                <w:color w:val="auto"/>
              </w:rPr>
            </w:pPr>
            <w:r>
              <w:rPr>
                <w:rFonts w:ascii="Arial" w:cs="Arial" w:eastAsia="Arial" w:hAnsi="Arial"/>
                <w:sz w:val="16"/>
                <w:szCs w:val="16"/>
                <w:color w:val="auto"/>
              </w:rPr>
              <w:t>Net loss</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6"/>
                <w:szCs w:val="16"/>
                <w:color w:val="auto"/>
              </w:rPr>
              <w:t>(3,290,439)</w:t>
            </w: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(2,835)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(3,293,274)</w:t>
            </w:r>
          </w:p>
        </w:tc>
        <w:tc>
          <w:tcPr>
            <w:tcW w:w="0" w:type="dxa"/>
            <w:vAlign w:val="bottom"/>
          </w:tcPr>
          <w:p>
            <w:pPr>
              <w:spacing w:after="0"/>
              <w:rPr>
                <w:sz w:val="1"/>
                <w:szCs w:val="1"/>
                <w:color w:val="auto"/>
              </w:rPr>
            </w:pPr>
          </w:p>
        </w:tc>
      </w:tr>
      <w:tr>
        <w:trPr>
          <w:trHeight w:val="216"/>
        </w:trPr>
        <w:tc>
          <w:tcPr>
            <w:tcW w:w="3460" w:type="dxa"/>
            <w:vAlign w:val="bottom"/>
            <w:shd w:val="clear" w:color="auto" w:fill="EEEEEE"/>
          </w:tcPr>
          <w:p>
            <w:pPr>
              <w:ind w:left="100"/>
              <w:spacing w:after="0"/>
              <w:rPr>
                <w:sz w:val="20"/>
                <w:szCs w:val="20"/>
                <w:color w:val="auto"/>
              </w:rPr>
            </w:pPr>
            <w:r>
              <w:rPr>
                <w:rFonts w:ascii="Arial" w:cs="Arial" w:eastAsia="Arial" w:hAnsi="Arial"/>
                <w:sz w:val="16"/>
                <w:szCs w:val="16"/>
                <w:color w:val="auto"/>
              </w:rPr>
              <w:t>Stock-based compensation</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132,266</w:t>
            </w:r>
          </w:p>
        </w:tc>
        <w:tc>
          <w:tcPr>
            <w:tcW w:w="1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39"/>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59"/>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39"/>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132,266</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60" w:type="dxa"/>
            <w:vAlign w:val="bottom"/>
          </w:tcPr>
          <w:p>
            <w:pPr>
              <w:ind w:left="100"/>
              <w:spacing w:after="0"/>
              <w:rPr>
                <w:sz w:val="20"/>
                <w:szCs w:val="20"/>
                <w:color w:val="auto"/>
              </w:rPr>
            </w:pPr>
            <w:r>
              <w:rPr>
                <w:rFonts w:ascii="Arial" w:cs="Arial" w:eastAsia="Arial" w:hAnsi="Arial"/>
                <w:sz w:val="16"/>
                <w:szCs w:val="16"/>
                <w:color w:val="auto"/>
              </w:rPr>
              <w:t>Foreign currency translation adjustments</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39"/>
              <w:spacing w:after="0"/>
              <w:rPr>
                <w:sz w:val="20"/>
                <w:szCs w:val="20"/>
                <w:color w:val="auto"/>
              </w:rPr>
            </w:pPr>
            <w:r>
              <w:rPr>
                <w:rFonts w:ascii="Arial" w:cs="Arial" w:eastAsia="Arial" w:hAnsi="Arial"/>
                <w:sz w:val="16"/>
                <w:szCs w:val="16"/>
                <w:color w:val="auto"/>
              </w:rPr>
              <w:t>47,149</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shd w:val="clear" w:color="auto" w:fill="EEEEEE"/>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jc w:val="right"/>
              <w:ind w:right="79"/>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EEEE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jc w:val="right"/>
              <w:ind w:right="79"/>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Borders>
              <w:left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60" w:type="dxa"/>
            <w:vAlign w:val="bottom"/>
            <w:shd w:val="clear" w:color="auto" w:fill="EEEEEE"/>
          </w:tcPr>
          <w:p>
            <w:pPr>
              <w:spacing w:after="0"/>
              <w:rPr>
                <w:sz w:val="20"/>
                <w:szCs w:val="20"/>
                <w:color w:val="auto"/>
              </w:rPr>
            </w:pPr>
            <w:r>
              <w:rPr>
                <w:rFonts w:ascii="Arial" w:cs="Arial" w:eastAsia="Arial" w:hAnsi="Arial"/>
                <w:sz w:val="16"/>
                <w:szCs w:val="16"/>
                <w:color w:val="auto"/>
              </w:rPr>
              <w:t>Balance, December 31, 2022, unaudited</w:t>
            </w:r>
          </w:p>
        </w:tc>
        <w:tc>
          <w:tcPr>
            <w:tcW w:w="9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29,572,382</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29,573</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w w:val="92"/>
              </w:rPr>
              <w:t>29,382,011</w:t>
            </w:r>
          </w:p>
        </w:tc>
        <w:tc>
          <w:tcPr>
            <w:tcW w:w="120" w:type="dxa"/>
            <w:vAlign w:val="bottom"/>
            <w:shd w:val="clear" w:color="auto" w:fill="EEEEEE"/>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6"/>
                <w:szCs w:val="16"/>
                <w:color w:val="auto"/>
                <w:w w:val="99"/>
              </w:rPr>
              <w:t>(4,209,867</w:t>
            </w:r>
          </w:p>
        </w:tc>
        <w:tc>
          <w:tcPr>
            <w:tcW w:w="220" w:type="dxa"/>
            <w:vAlign w:val="bottom"/>
            <w:vMerge w:val="continue"/>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(18,872</w:t>
            </w:r>
          </w:p>
        </w:tc>
        <w:tc>
          <w:tcPr>
            <w:tcW w:w="140" w:type="dxa"/>
            <w:vAlign w:val="bottom"/>
            <w:vMerge w:val="continue"/>
            <w:shd w:val="clear" w:color="auto" w:fill="EEEEEE"/>
          </w:tcPr>
          <w:p>
            <w:pPr>
              <w:spacing w:after="0"/>
              <w:rPr>
                <w:sz w:val="18"/>
                <w:szCs w:val="18"/>
                <w:color w:val="auto"/>
              </w:rPr>
            </w:pP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(58,648</w:t>
            </w:r>
          </w:p>
        </w:tc>
        <w:tc>
          <w:tcPr>
            <w:tcW w:w="220" w:type="dxa"/>
            <w:vAlign w:val="bottom"/>
            <w:vMerge w:val="continue"/>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6"/>
                <w:szCs w:val="16"/>
                <w:color w:val="auto"/>
                <w:w w:val="94"/>
              </w:rPr>
              <w:t>25,124,197</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EEEEEE"/>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EEEEEE"/>
          </w:tcPr>
          <w:p>
            <w:pPr>
              <w:spacing w:after="0"/>
              <w:rPr>
                <w:sz w:val="20"/>
                <w:szCs w:val="20"/>
                <w:color w:val="auto"/>
              </w:rPr>
            </w:pPr>
            <w:r>
              <w:rPr>
                <w:rFonts w:ascii="Arial" w:cs="Arial" w:eastAsia="Arial" w:hAnsi="Arial"/>
                <w:sz w:val="16"/>
                <w:szCs w:val="16"/>
                <w:color w:val="auto"/>
              </w:rPr>
              <w:t>Balance, June 30, 2021</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26,448,663</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26,449</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w w:val="92"/>
              </w:rPr>
              <w:t>23,214,263</w:t>
            </w:r>
          </w:p>
        </w:tc>
        <w:tc>
          <w:tcPr>
            <w:tcW w:w="120" w:type="dxa"/>
            <w:vAlign w:val="bottom"/>
            <w:shd w:val="clear" w:color="auto" w:fill="EEEEEE"/>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1,745,073</w:t>
            </w: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EEEEEE"/>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EEEEEE"/>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EEEEEE"/>
          </w:tcPr>
          <w:p>
            <w:pPr>
              <w:jc w:val="right"/>
              <w:spacing w:after="0"/>
              <w:rPr>
                <w:sz w:val="20"/>
                <w:szCs w:val="20"/>
                <w:color w:val="auto"/>
              </w:rPr>
            </w:pPr>
            <w:r>
              <w:rPr>
                <w:rFonts w:ascii="Arial" w:cs="Arial" w:eastAsia="Arial" w:hAnsi="Arial"/>
                <w:sz w:val="16"/>
                <w:szCs w:val="16"/>
                <w:color w:val="auto"/>
                <w:w w:val="94"/>
              </w:rPr>
              <w:t>24,985,785</w:t>
            </w:r>
          </w:p>
        </w:tc>
        <w:tc>
          <w:tcPr>
            <w:tcW w:w="10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887,528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887,528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EEEEEE"/>
          </w:tcPr>
          <w:p>
            <w:pPr>
              <w:ind w:left="100"/>
              <w:spacing w:after="0"/>
              <w:rPr>
                <w:sz w:val="20"/>
                <w:szCs w:val="20"/>
                <w:color w:val="auto"/>
              </w:rPr>
            </w:pPr>
            <w:r>
              <w:rPr>
                <w:rFonts w:ascii="Arial" w:cs="Arial" w:eastAsia="Arial" w:hAnsi="Arial"/>
                <w:sz w:val="16"/>
                <w:szCs w:val="16"/>
                <w:color w:val="auto"/>
              </w:rPr>
              <w:t>Restricted stock units vested</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103,054</w:t>
            </w:r>
          </w:p>
        </w:tc>
        <w:tc>
          <w:tcPr>
            <w:tcW w:w="12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39"/>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59"/>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39"/>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103,054</w:t>
            </w:r>
          </w:p>
        </w:tc>
        <w:tc>
          <w:tcPr>
            <w:tcW w:w="10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20"/>
                <w:szCs w:val="20"/>
                <w:color w:val="auto"/>
              </w:rPr>
            </w:pPr>
            <w:r>
              <w:rPr>
                <w:rFonts w:ascii="Arial" w:cs="Arial" w:eastAsia="Arial" w:hAnsi="Arial"/>
                <w:sz w:val="16"/>
                <w:szCs w:val="16"/>
                <w:color w:val="auto"/>
              </w:rPr>
              <w:t>Balance, September 30, 2021, unaudited</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26,448,663</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26,449</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23,317,317</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2,632,601</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4"/>
              </w:rPr>
              <w:t>25,976,367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EEEEEE"/>
          </w:tcPr>
          <w:p>
            <w:pPr>
              <w:ind w:left="100"/>
              <w:spacing w:after="0"/>
              <w:rPr>
                <w:sz w:val="20"/>
                <w:szCs w:val="20"/>
                <w:color w:val="auto"/>
              </w:rPr>
            </w:pPr>
            <w:r>
              <w:rPr>
                <w:rFonts w:ascii="Arial" w:cs="Arial" w:eastAsia="Arial" w:hAnsi="Arial"/>
                <w:sz w:val="16"/>
                <w:szCs w:val="16"/>
                <w:color w:val="auto"/>
              </w:rPr>
              <w:t>Net income</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797,861</w:t>
            </w: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59"/>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39"/>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797,861</w:t>
            </w:r>
          </w:p>
        </w:tc>
        <w:tc>
          <w:tcPr>
            <w:tcW w:w="10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ind w:left="100"/>
              <w:spacing w:after="0"/>
              <w:rPr>
                <w:sz w:val="20"/>
                <w:szCs w:val="20"/>
                <w:color w:val="auto"/>
              </w:rPr>
            </w:pPr>
            <w:r>
              <w:rPr>
                <w:rFonts w:ascii="Arial" w:cs="Arial" w:eastAsia="Arial" w:hAnsi="Arial"/>
                <w:sz w:val="16"/>
                <w:szCs w:val="16"/>
                <w:color w:val="auto"/>
              </w:rPr>
              <w:t>Restricted shares issued for vested RSUs</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40,019</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00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5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3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3460" w:type="dxa"/>
            <w:vAlign w:val="bottom"/>
            <w:shd w:val="clear" w:color="auto" w:fill="EEEEEE"/>
          </w:tcPr>
          <w:p>
            <w:pPr>
              <w:ind w:left="100"/>
              <w:spacing w:after="0"/>
              <w:rPr>
                <w:sz w:val="20"/>
                <w:szCs w:val="20"/>
                <w:color w:val="auto"/>
              </w:rPr>
            </w:pPr>
            <w:r>
              <w:rPr>
                <w:rFonts w:ascii="Arial" w:cs="Arial" w:eastAsia="Arial" w:hAnsi="Arial"/>
                <w:sz w:val="16"/>
                <w:szCs w:val="16"/>
                <w:color w:val="auto"/>
              </w:rPr>
              <w:t>Restricted stock units vested</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54,435</w:t>
            </w:r>
          </w:p>
        </w:tc>
        <w:tc>
          <w:tcPr>
            <w:tcW w:w="12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39"/>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59"/>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139"/>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7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54,435</w:t>
            </w:r>
          </w:p>
        </w:tc>
        <w:tc>
          <w:tcPr>
            <w:tcW w:w="10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tcPr>
          <w:p>
            <w:pPr>
              <w:spacing w:after="0"/>
              <w:rPr>
                <w:sz w:val="20"/>
                <w:szCs w:val="20"/>
                <w:color w:val="auto"/>
              </w:rPr>
            </w:pPr>
            <w:r>
              <w:rPr>
                <w:rFonts w:ascii="Arial" w:cs="Arial" w:eastAsia="Arial" w:hAnsi="Arial"/>
                <w:sz w:val="16"/>
                <w:szCs w:val="16"/>
                <w:color w:val="auto"/>
              </w:rPr>
              <w:t>Balance, December 31, 2021, unaudited</w:t>
            </w:r>
          </w:p>
        </w:tc>
        <w:tc>
          <w:tcPr>
            <w:tcW w:w="900" w:type="dxa"/>
            <w:vAlign w:val="bottom"/>
          </w:tcPr>
          <w:p>
            <w:pPr>
              <w:jc w:val="right"/>
              <w:spacing w:after="0"/>
              <w:rPr>
                <w:sz w:val="20"/>
                <w:szCs w:val="20"/>
                <w:color w:val="auto"/>
              </w:rPr>
            </w:pPr>
            <w:r>
              <w:rPr>
                <w:rFonts w:ascii="Arial" w:cs="Arial" w:eastAsia="Arial" w:hAnsi="Arial"/>
                <w:sz w:val="16"/>
                <w:szCs w:val="16"/>
                <w:color w:val="auto"/>
              </w:rPr>
              <w:t>26,488,682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26,489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w w:val="92"/>
              </w:rPr>
              <w:t>23,371,712</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3,430,462</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26,828,663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iPower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Six Months Ended December 31, 2022 and 2021</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320" w:type="dxa"/>
            <w:vAlign w:val="bottom"/>
            <w:gridSpan w:val="5"/>
          </w:tcPr>
          <w:p>
            <w:pPr>
              <w:jc w:val="right"/>
              <w:ind w:right="320"/>
              <w:spacing w:after="0"/>
              <w:rPr>
                <w:sz w:val="20"/>
                <w:szCs w:val="20"/>
                <w:color w:val="auto"/>
              </w:rPr>
            </w:pPr>
            <w:r>
              <w:rPr>
                <w:rFonts w:ascii="Arial" w:cs="Arial" w:eastAsia="Arial" w:hAnsi="Arial"/>
                <w:sz w:val="18"/>
                <w:szCs w:val="18"/>
                <w:color w:val="auto"/>
                <w:w w:val="91"/>
              </w:rPr>
              <w:t>For the Six Months Ended December 31,</w:t>
            </w:r>
          </w:p>
        </w:tc>
      </w:tr>
      <w:tr>
        <w:trPr>
          <w:trHeight w:val="223"/>
        </w:trPr>
        <w:tc>
          <w:tcPr>
            <w:tcW w:w="7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r>
      <w:tr>
        <w:trPr>
          <w:trHeight w:val="224"/>
        </w:trPr>
        <w:tc>
          <w:tcPr>
            <w:tcW w:w="7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250"/>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9"/>
                <w:szCs w:val="19"/>
                <w:color w:val="auto"/>
              </w:rPr>
            </w:pPr>
          </w:p>
        </w:tc>
      </w:tr>
      <w:tr>
        <w:trPr>
          <w:trHeight w:val="202"/>
        </w:trPr>
        <w:tc>
          <w:tcPr>
            <w:tcW w:w="7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Net (loss) income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(7,478,455)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1,685,389</w:t>
            </w:r>
          </w:p>
        </w:tc>
      </w:tr>
      <w:tr>
        <w:trPr>
          <w:trHeight w:val="216"/>
        </w:trPr>
        <w:tc>
          <w:tcPr>
            <w:tcW w:w="732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7"/>
              </w:rPr>
              <w:t>Adjustments to reconcile net (loss) income to cash provided by (used in) operating activities:</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320" w:type="dxa"/>
            <w:vAlign w:val="bottom"/>
          </w:tcPr>
          <w:p>
            <w:pPr>
              <w:ind w:left="540"/>
              <w:spacing w:after="0"/>
              <w:rPr>
                <w:sz w:val="20"/>
                <w:szCs w:val="20"/>
                <w:color w:val="auto"/>
              </w:rPr>
            </w:pPr>
            <w:r>
              <w:rPr>
                <w:rFonts w:ascii="Arial" w:cs="Arial" w:eastAsia="Arial" w:hAnsi="Arial"/>
                <w:sz w:val="18"/>
                <w:szCs w:val="18"/>
                <w:color w:val="auto"/>
              </w:rPr>
              <w:t>Depreciation and amortization expense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393,168</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8,894</w:t>
            </w:r>
          </w:p>
        </w:tc>
      </w:tr>
      <w:tr>
        <w:trPr>
          <w:trHeight w:val="216"/>
        </w:trPr>
        <w:tc>
          <w:tcPr>
            <w:tcW w:w="73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Inventory reserve</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74,998</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55,958</w:t>
            </w:r>
          </w:p>
        </w:tc>
      </w:tr>
      <w:tr>
        <w:trPr>
          <w:trHeight w:val="216"/>
        </w:trPr>
        <w:tc>
          <w:tcPr>
            <w:tcW w:w="7320" w:type="dxa"/>
            <w:vAlign w:val="bottom"/>
          </w:tcPr>
          <w:p>
            <w:pPr>
              <w:ind w:left="540"/>
              <w:spacing w:after="0"/>
              <w:rPr>
                <w:sz w:val="20"/>
                <w:szCs w:val="20"/>
                <w:color w:val="auto"/>
              </w:rPr>
            </w:pPr>
            <w:r>
              <w:rPr>
                <w:rFonts w:ascii="Arial" w:cs="Arial" w:eastAsia="Arial" w:hAnsi="Arial"/>
                <w:sz w:val="18"/>
                <w:szCs w:val="18"/>
                <w:color w:val="auto"/>
              </w:rPr>
              <w:t>Credit loss reserve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70,000</w:t>
            </w:r>
          </w:p>
        </w:tc>
      </w:tr>
      <w:tr>
        <w:trPr>
          <w:trHeight w:val="216"/>
        </w:trPr>
        <w:tc>
          <w:tcPr>
            <w:tcW w:w="73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Loss on equity method investment</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7,328</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540"/>
              <w:spacing w:after="0"/>
              <w:rPr>
                <w:sz w:val="20"/>
                <w:szCs w:val="20"/>
                <w:color w:val="auto"/>
              </w:rPr>
            </w:pPr>
            <w:r>
              <w:rPr>
                <w:rFonts w:ascii="Arial" w:cs="Arial" w:eastAsia="Arial" w:hAnsi="Arial"/>
                <w:sz w:val="18"/>
                <w:szCs w:val="18"/>
                <w:color w:val="auto"/>
              </w:rPr>
              <w:t>Impairment loss - goodwill</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3,060,034</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Stock-based compensation expense</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270,148</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157,489</w:t>
            </w:r>
          </w:p>
        </w:tc>
      </w:tr>
      <w:tr>
        <w:trPr>
          <w:trHeight w:val="216"/>
        </w:trPr>
        <w:tc>
          <w:tcPr>
            <w:tcW w:w="7320" w:type="dxa"/>
            <w:vAlign w:val="bottom"/>
          </w:tcPr>
          <w:p>
            <w:pPr>
              <w:ind w:left="540"/>
              <w:spacing w:after="0"/>
              <w:rPr>
                <w:sz w:val="20"/>
                <w:szCs w:val="20"/>
                <w:color w:val="auto"/>
              </w:rPr>
            </w:pPr>
            <w:r>
              <w:rPr>
                <w:rFonts w:ascii="Arial" w:cs="Arial" w:eastAsia="Arial" w:hAnsi="Arial"/>
                <w:sz w:val="18"/>
                <w:szCs w:val="18"/>
                <w:color w:val="auto"/>
              </w:rPr>
              <w:t>Non-cash operating lease expense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30,023</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(11,425)</w:t>
            </w:r>
          </w:p>
        </w:tc>
      </w:tr>
      <w:tr>
        <w:trPr>
          <w:trHeight w:val="216"/>
        </w:trPr>
        <w:tc>
          <w:tcPr>
            <w:tcW w:w="73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Amortization of debt premium / discount and non-cash financing costs</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107,349</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44,203</w:t>
            </w:r>
          </w:p>
        </w:tc>
      </w:tr>
      <w:tr>
        <w:trPr>
          <w:trHeight w:val="216"/>
        </w:trPr>
        <w:tc>
          <w:tcPr>
            <w:tcW w:w="7320" w:type="dxa"/>
            <w:vAlign w:val="bottom"/>
          </w:tcPr>
          <w:p>
            <w:pPr>
              <w:ind w:left="360"/>
              <w:spacing w:after="0"/>
              <w:rPr>
                <w:sz w:val="20"/>
                <w:szCs w:val="20"/>
                <w:color w:val="auto"/>
              </w:rPr>
            </w:pPr>
            <w:r>
              <w:rPr>
                <w:rFonts w:ascii="Arial" w:cs="Arial" w:eastAsia="Arial" w:hAnsi="Arial"/>
                <w:sz w:val="18"/>
                <w:szCs w:val="18"/>
                <w:color w:val="auto"/>
              </w:rPr>
              <w:t>Change in operating assets and liabilities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Accounts receivable</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5,785,530</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(7,727,169)</w:t>
            </w:r>
          </w:p>
        </w:tc>
      </w:tr>
      <w:tr>
        <w:trPr>
          <w:trHeight w:val="216"/>
        </w:trPr>
        <w:tc>
          <w:tcPr>
            <w:tcW w:w="7320" w:type="dxa"/>
            <w:vAlign w:val="bottom"/>
          </w:tcPr>
          <w:p>
            <w:pPr>
              <w:ind w:left="540"/>
              <w:spacing w:after="0"/>
              <w:rPr>
                <w:sz w:val="20"/>
                <w:szCs w:val="20"/>
                <w:color w:val="auto"/>
              </w:rPr>
            </w:pPr>
            <w:r>
              <w:rPr>
                <w:rFonts w:ascii="Arial" w:cs="Arial" w:eastAsia="Arial" w:hAnsi="Arial"/>
                <w:sz w:val="18"/>
                <w:szCs w:val="18"/>
                <w:color w:val="auto"/>
              </w:rPr>
              <w:t>Inventories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7,100,607</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(6,898,717)</w:t>
            </w:r>
          </w:p>
        </w:tc>
      </w:tr>
      <w:tr>
        <w:trPr>
          <w:trHeight w:val="216"/>
        </w:trPr>
        <w:tc>
          <w:tcPr>
            <w:tcW w:w="73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Deferred tax assets/liabilities</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(1,788,694)</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540"/>
              <w:spacing w:after="0"/>
              <w:rPr>
                <w:sz w:val="20"/>
                <w:szCs w:val="20"/>
                <w:color w:val="auto"/>
              </w:rPr>
            </w:pPr>
            <w:r>
              <w:rPr>
                <w:rFonts w:ascii="Arial" w:cs="Arial" w:eastAsia="Arial" w:hAnsi="Arial"/>
                <w:sz w:val="18"/>
                <w:szCs w:val="18"/>
                <w:color w:val="auto"/>
              </w:rPr>
              <w:t>Prepayments and other current assets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1,729,990</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(2,111,371)</w:t>
            </w:r>
          </w:p>
        </w:tc>
      </w:tr>
      <w:tr>
        <w:trPr>
          <w:trHeight w:val="216"/>
        </w:trPr>
        <w:tc>
          <w:tcPr>
            <w:tcW w:w="73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Non-current prepayments</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215,834</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215,834</w:t>
            </w:r>
          </w:p>
        </w:tc>
      </w:tr>
      <w:tr>
        <w:trPr>
          <w:trHeight w:val="216"/>
        </w:trPr>
        <w:tc>
          <w:tcPr>
            <w:tcW w:w="7320" w:type="dxa"/>
            <w:vAlign w:val="bottom"/>
          </w:tcPr>
          <w:p>
            <w:pPr>
              <w:ind w:left="540"/>
              <w:spacing w:after="0"/>
              <w:rPr>
                <w:sz w:val="20"/>
                <w:szCs w:val="20"/>
                <w:color w:val="auto"/>
              </w:rPr>
            </w:pPr>
            <w:r>
              <w:rPr>
                <w:rFonts w:ascii="Arial" w:cs="Arial" w:eastAsia="Arial" w:hAnsi="Arial"/>
                <w:sz w:val="18"/>
                <w:szCs w:val="18"/>
                <w:color w:val="auto"/>
              </w:rPr>
              <w:t>Other non-current assets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5,420</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(229,599)</w:t>
            </w:r>
          </w:p>
        </w:tc>
      </w:tr>
      <w:tr>
        <w:trPr>
          <w:trHeight w:val="216"/>
        </w:trPr>
        <w:tc>
          <w:tcPr>
            <w:tcW w:w="73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Accounts payable</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2,607,691</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604,965</w:t>
            </w:r>
          </w:p>
        </w:tc>
      </w:tr>
      <w:tr>
        <w:trPr>
          <w:trHeight w:val="216"/>
        </w:trPr>
        <w:tc>
          <w:tcPr>
            <w:tcW w:w="7320" w:type="dxa"/>
            <w:vAlign w:val="bottom"/>
          </w:tcPr>
          <w:p>
            <w:pPr>
              <w:ind w:left="540"/>
              <w:spacing w:after="0"/>
              <w:rPr>
                <w:sz w:val="20"/>
                <w:szCs w:val="20"/>
                <w:color w:val="auto"/>
              </w:rPr>
            </w:pPr>
            <w:r>
              <w:rPr>
                <w:rFonts w:ascii="Arial" w:cs="Arial" w:eastAsia="Arial" w:hAnsi="Arial"/>
                <w:sz w:val="18"/>
                <w:szCs w:val="18"/>
                <w:color w:val="auto"/>
              </w:rPr>
              <w:t>Credit cards payable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(584,648)</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(34,001)</w:t>
            </w:r>
          </w:p>
        </w:tc>
      </w:tr>
      <w:tr>
        <w:trPr>
          <w:trHeight w:val="216"/>
        </w:trPr>
        <w:tc>
          <w:tcPr>
            <w:tcW w:w="73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Customer deposit</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95,260</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(69,246)</w:t>
            </w:r>
          </w:p>
        </w:tc>
      </w:tr>
      <w:tr>
        <w:trPr>
          <w:trHeight w:val="216"/>
        </w:trPr>
        <w:tc>
          <w:tcPr>
            <w:tcW w:w="7320" w:type="dxa"/>
            <w:vAlign w:val="bottom"/>
          </w:tcPr>
          <w:p>
            <w:pPr>
              <w:ind w:left="540"/>
              <w:spacing w:after="0"/>
              <w:rPr>
                <w:sz w:val="20"/>
                <w:szCs w:val="20"/>
                <w:color w:val="auto"/>
              </w:rPr>
            </w:pPr>
            <w:r>
              <w:rPr>
                <w:rFonts w:ascii="Arial" w:cs="Arial" w:eastAsia="Arial" w:hAnsi="Arial"/>
                <w:sz w:val="18"/>
                <w:szCs w:val="18"/>
                <w:color w:val="auto"/>
              </w:rPr>
              <w:t>Other payables and accrued liabilities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(3,844,758)</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2,412,063</w:t>
            </w:r>
          </w:p>
        </w:tc>
      </w:tr>
      <w:tr>
        <w:trPr>
          <w:trHeight w:val="230"/>
        </w:trPr>
        <w:tc>
          <w:tcPr>
            <w:tcW w:w="7320" w:type="dxa"/>
            <w:vAlign w:val="bottom"/>
            <w:shd w:val="clear" w:color="auto" w:fill="EEEEEE"/>
          </w:tcPr>
          <w:p>
            <w:pPr>
              <w:ind w:left="540"/>
              <w:spacing w:after="0"/>
              <w:rPr>
                <w:sz w:val="20"/>
                <w:szCs w:val="20"/>
                <w:color w:val="auto"/>
              </w:rPr>
            </w:pPr>
            <w:r>
              <w:rPr>
                <w:rFonts w:ascii="Arial" w:cs="Arial" w:eastAsia="Arial" w:hAnsi="Arial"/>
                <w:sz w:val="18"/>
                <w:szCs w:val="18"/>
                <w:color w:val="auto"/>
              </w:rPr>
              <w:t>Income taxes payable</w:t>
            </w:r>
          </w:p>
        </w:tc>
        <w:tc>
          <w:tcPr>
            <w:tcW w:w="4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(8,617)</w:t>
            </w:r>
          </w:p>
        </w:tc>
        <w:tc>
          <w:tcPr>
            <w:tcW w:w="22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(416,310)</w:t>
            </w:r>
          </w:p>
        </w:tc>
      </w:tr>
      <w:tr>
        <w:trPr>
          <w:trHeight w:val="210"/>
        </w:trPr>
        <w:tc>
          <w:tcPr>
            <w:tcW w:w="7320" w:type="dxa"/>
            <w:vAlign w:val="bottom"/>
          </w:tcPr>
          <w:p>
            <w:pPr>
              <w:ind w:left="540"/>
              <w:spacing w:after="0"/>
              <w:rPr>
                <w:sz w:val="20"/>
                <w:szCs w:val="20"/>
                <w:color w:val="auto"/>
              </w:rPr>
            </w:pPr>
            <w:r>
              <w:rPr>
                <w:rFonts w:ascii="Arial" w:cs="Arial" w:eastAsia="Arial" w:hAnsi="Arial"/>
                <w:sz w:val="18"/>
                <w:szCs w:val="18"/>
                <w:color w:val="auto"/>
              </w:rPr>
              <w:t>Net cash provided by (used in) operating activities</w:t>
            </w: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7,778,208</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(12,243,043)</w:t>
            </w:r>
          </w:p>
        </w:tc>
        <w:tc>
          <w:tcPr>
            <w:tcW w:w="100" w:type="dxa"/>
            <w:vAlign w:val="bottom"/>
          </w:tcPr>
          <w:p>
            <w:pPr>
              <w:spacing w:after="0"/>
              <w:rPr>
                <w:sz w:val="18"/>
                <w:szCs w:val="18"/>
                <w:color w:val="auto"/>
              </w:rPr>
            </w:pPr>
          </w:p>
        </w:tc>
      </w:tr>
      <w:tr>
        <w:trPr>
          <w:trHeight w:val="216"/>
        </w:trPr>
        <w:tc>
          <w:tcPr>
            <w:tcW w:w="7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3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equipment</w:t>
            </w:r>
          </w:p>
        </w:tc>
        <w:tc>
          <w:tcPr>
            <w:tcW w:w="4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(127,367)</w:t>
            </w:r>
          </w:p>
        </w:tc>
        <w:tc>
          <w:tcPr>
            <w:tcW w:w="22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(56,424)</w:t>
            </w:r>
          </w:p>
        </w:tc>
      </w:tr>
      <w:tr>
        <w:trPr>
          <w:trHeight w:val="210"/>
        </w:trPr>
        <w:tc>
          <w:tcPr>
            <w:tcW w:w="732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(127,367)</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(56,424)</w:t>
            </w:r>
          </w:p>
        </w:tc>
        <w:tc>
          <w:tcPr>
            <w:tcW w:w="100" w:type="dxa"/>
            <w:vAlign w:val="bottom"/>
          </w:tcPr>
          <w:p>
            <w:pPr>
              <w:spacing w:after="0"/>
              <w:rPr>
                <w:sz w:val="18"/>
                <w:szCs w:val="18"/>
                <w:color w:val="auto"/>
              </w:rPr>
            </w:pPr>
          </w:p>
        </w:tc>
      </w:tr>
      <w:tr>
        <w:trPr>
          <w:trHeight w:val="216"/>
        </w:trPr>
        <w:tc>
          <w:tcPr>
            <w:tcW w:w="73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related parties</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94,409</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Payments to related parties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(82,500)</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short-term loans</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31,385</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1,604,292</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Payments of financing fees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(796,035)</w:t>
            </w:r>
          </w:p>
        </w:tc>
      </w:tr>
      <w:tr>
        <w:trPr>
          <w:trHeight w:val="216"/>
        </w:trPr>
        <w:tc>
          <w:tcPr>
            <w:tcW w:w="73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 on investment payable</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(1,500,000)</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Payments on short-term loans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(906,385)</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(1,767,061)</w:t>
            </w:r>
          </w:p>
        </w:tc>
      </w:tr>
      <w:tr>
        <w:trPr>
          <w:trHeight w:val="216"/>
        </w:trPr>
        <w:tc>
          <w:tcPr>
            <w:tcW w:w="73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long-term loans</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3,022,655</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7,715,383</w:t>
            </w: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color w:val="auto"/>
              </w:rPr>
              <w:t>Payments on long-term loans</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(6,200,000)</w:t>
            </w:r>
          </w:p>
        </w:tc>
        <w:tc>
          <w:tcPr>
            <w:tcW w:w="2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(17,059)</w:t>
            </w:r>
          </w:p>
        </w:tc>
      </w:tr>
      <w:tr>
        <w:trPr>
          <w:trHeight w:val="210"/>
        </w:trPr>
        <w:tc>
          <w:tcPr>
            <w:tcW w:w="732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Net cash (used in) provided by financing activities</w:t>
            </w:r>
          </w:p>
        </w:tc>
        <w:tc>
          <w:tcPr>
            <w:tcW w:w="4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(5,540,436)</w:t>
            </w: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6,739,520</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EEEEEE"/>
          </w:tcPr>
          <w:p>
            <w:pPr>
              <w:spacing w:after="0"/>
              <w:rPr>
                <w:sz w:val="20"/>
                <w:szCs w:val="20"/>
                <w:color w:val="auto"/>
              </w:rPr>
            </w:pPr>
            <w:r>
              <w:rPr>
                <w:rFonts w:ascii="Arial" w:cs="Arial" w:eastAsia="Arial" w:hAnsi="Arial"/>
                <w:sz w:val="18"/>
                <w:szCs w:val="18"/>
                <w:color w:val="auto"/>
              </w:rPr>
              <w:t>EFFECT OF EXCHANGE RATE ON CASH</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64,773</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EEEEEE"/>
          </w:tcPr>
          <w:p>
            <w:pPr>
              <w:spacing w:after="0"/>
              <w:rPr>
                <w:sz w:val="20"/>
                <w:szCs w:val="20"/>
                <w:color w:val="auto"/>
              </w:rPr>
            </w:pPr>
            <w:r>
              <w:rPr>
                <w:rFonts w:ascii="Arial" w:cs="Arial" w:eastAsia="Arial" w:hAnsi="Arial"/>
                <w:sz w:val="18"/>
                <w:szCs w:val="18"/>
                <w:color w:val="auto"/>
              </w:rPr>
              <w:t>CHANGES IN CASH</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2,175,178</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(5,559,947)</w:t>
            </w:r>
          </w:p>
        </w:tc>
      </w:tr>
      <w:tr>
        <w:trPr>
          <w:trHeight w:val="216"/>
        </w:trPr>
        <w:tc>
          <w:tcPr>
            <w:tcW w:w="7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3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 beginning of period</w:t>
            </w:r>
          </w:p>
        </w:tc>
        <w:tc>
          <w:tcPr>
            <w:tcW w:w="4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1,821,947</w:t>
            </w:r>
          </w:p>
        </w:tc>
        <w:tc>
          <w:tcPr>
            <w:tcW w:w="22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6,651,705</w:t>
            </w:r>
          </w:p>
        </w:tc>
      </w:tr>
      <w:tr>
        <w:trPr>
          <w:trHeight w:val="210"/>
        </w:trPr>
        <w:tc>
          <w:tcPr>
            <w:tcW w:w="7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3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 end of period</w:t>
            </w: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3,997,125</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1,091,758</w:t>
            </w:r>
          </w:p>
        </w:tc>
      </w:tr>
      <w:tr>
        <w:trPr>
          <w:trHeight w:val="20"/>
        </w:trPr>
        <w:tc>
          <w:tcPr>
            <w:tcW w:w="732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96"/>
        </w:trPr>
        <w:tc>
          <w:tcPr>
            <w:tcW w:w="7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shd w:val="clear" w:color="auto" w:fill="EEEEEE"/>
          </w:tcPr>
          <w:p>
            <w:pPr>
              <w:spacing w:after="0"/>
              <w:rPr>
                <w:sz w:val="20"/>
                <w:szCs w:val="20"/>
                <w:color w:val="auto"/>
              </w:rPr>
            </w:pPr>
            <w:r>
              <w:rPr>
                <w:rFonts w:ascii="Arial" w:cs="Arial" w:eastAsia="Arial" w:hAnsi="Arial"/>
                <w:sz w:val="18"/>
                <w:szCs w:val="18"/>
                <w:color w:val="auto"/>
              </w:rPr>
              <w:t>SUPPLEMENTAL CASH FLOW INFORMATION:</w:t>
            </w:r>
          </w:p>
        </w:tc>
        <w:tc>
          <w:tcPr>
            <w:tcW w:w="4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7320" w:type="dxa"/>
            <w:vAlign w:val="bottom"/>
          </w:tcPr>
          <w:p>
            <w:pPr>
              <w:ind w:left="180"/>
              <w:spacing w:after="0"/>
              <w:rPr>
                <w:sz w:val="20"/>
                <w:szCs w:val="20"/>
                <w:color w:val="auto"/>
              </w:rPr>
            </w:pPr>
            <w:r>
              <w:rPr>
                <w:rFonts w:ascii="Arial" w:cs="Arial" w:eastAsia="Arial" w:hAnsi="Arial"/>
                <w:sz w:val="18"/>
                <w:szCs w:val="18"/>
                <w:color w:val="auto"/>
              </w:rPr>
              <w:t>Cash paid for income tax</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55,000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1,082,000</w:t>
            </w:r>
          </w:p>
        </w:tc>
      </w:tr>
      <w:tr>
        <w:trPr>
          <w:trHeight w:val="196"/>
        </w:trPr>
        <w:tc>
          <w:tcPr>
            <w:tcW w:w="7320" w:type="dxa"/>
            <w:vAlign w:val="bottom"/>
            <w:tcBorders>
              <w:top w:val="single" w:sz="8" w:color="EEEEEE"/>
              <w:bottom w:val="single" w:sz="8" w:color="EEEEEE"/>
            </w:tcBorders>
            <w:shd w:val="clear" w:color="auto" w:fill="EEEEEE"/>
          </w:tcPr>
          <w:p>
            <w:pPr>
              <w:ind w:left="180"/>
              <w:spacing w:after="0" w:line="190" w:lineRule="exact"/>
              <w:rPr>
                <w:sz w:val="20"/>
                <w:szCs w:val="20"/>
                <w:color w:val="auto"/>
              </w:rPr>
            </w:pPr>
            <w:r>
              <w:rPr>
                <w:rFonts w:ascii="Arial" w:cs="Arial" w:eastAsia="Arial" w:hAnsi="Arial"/>
                <w:sz w:val="18"/>
                <w:szCs w:val="18"/>
                <w:color w:val="auto"/>
              </w:rPr>
              <w:t>Cash paid for interest</w:t>
            </w:r>
          </w:p>
        </w:tc>
        <w:tc>
          <w:tcPr>
            <w:tcW w:w="460" w:type="dxa"/>
            <w:vAlign w:val="bottom"/>
            <w:tcBorders>
              <w:top w:val="single" w:sz="8" w:color="EEEEEE"/>
              <w:bottom w:val="single" w:sz="8" w:color="EEEEEE"/>
            </w:tcBorders>
            <w:shd w:val="clear" w:color="auto" w:fill="EEEEEE"/>
          </w:tcPr>
          <w:p>
            <w:pPr>
              <w:spacing w:after="0"/>
              <w:rPr>
                <w:sz w:val="17"/>
                <w:szCs w:val="17"/>
                <w:color w:val="auto"/>
              </w:rPr>
            </w:pP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EEEEEE"/>
              <w:bottom w:val="single" w:sz="8" w:color="EEEEEE"/>
            </w:tcBorders>
            <w:shd w:val="clear" w:color="auto" w:fill="EEEEEE"/>
          </w:tcPr>
          <w:p>
            <w:pPr>
              <w:spacing w:after="0"/>
              <w:rPr>
                <w:sz w:val="17"/>
                <w:szCs w:val="17"/>
                <w:color w:val="auto"/>
              </w:rPr>
            </w:pPr>
          </w:p>
        </w:tc>
        <w:tc>
          <w:tcPr>
            <w:tcW w:w="220" w:type="dxa"/>
            <w:vAlign w:val="bottom"/>
            <w:tcBorders>
              <w:top w:val="single" w:sz="8" w:color="auto"/>
              <w:bottom w:val="single" w:sz="8" w:color="auto"/>
            </w:tcBorders>
            <w:shd w:val="clear" w:color="auto" w:fill="EEEEEE"/>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EEEEEE"/>
              <w:bottom w:val="single" w:sz="8" w:color="EEEEEE"/>
            </w:tcBorders>
            <w:shd w:val="clear" w:color="auto" w:fill="EEEEEE"/>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997"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iPower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2022 and June 30, 2022 and for the Three and Six Months Ended December 31, 2022 and 2021</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organization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iPower Inc., formerly known as BZRTH Inc., a Nevada corporation (the “Company”), was incorporated on April 11, 2018. The Company is a U.S.-based online seller and supplier of consumer home, garden and pet products.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Effective on March 1, 2020, as amended and restated pursuant to an agreement dated October 26, 2020, the Company entered into an agreement with E Marketing Solution Inc. (“E Marketing”), an entity incorporated in California and owned by one of the shareholders of the Company. Pursuant to the terms of the agreement, the Company agreed to provide technical support, management services and other services on an exclusive basis in relation to E Marketing’s business during the term of the agreement. The Company also agreed to fund E Marketing for operational cash flow needs and bear the risk of E Marketing’s losses from operations and E Marketing agreed that iPower has rights to E Marketing’s net profits, if any. Under the terms of the agreement, the Company may at any time, at its option, acquire for nominal consideration 100% of either the equity of E Marketing or its assets subject to assumption of all of its liabilities. E Marketing was considered a variable interest entity (“VIE”). On May 18, 2021, the Company acquired 100% of the equity ownership of E Marketing. As a result, E Marketing has become the Company’s wholly owned subsidiary.</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4, 2020, the Company entered into an agreement with Global Product Marketing Inc. (“GPM”), an entity incorporated in the State of Nevada on September 4, 2020. GPM was then wholly owned by Chenlong Tan, the Chairman, CEO and President and one of the majority shareholders of the Company. Pursuant to the terms of the agreement, the Company was to provide technical support, management services and other services on an exclusive basis in relation to GPM’s business during the term of the Agreement. In addition, the Company agreed to fund GPM for operational cash flow needs and bear the risk of GPM’s losses from operations and GPM agreed that the Company has the right to GPM’s net profits, if any. Under the terms of the agreement, the Company may at any time, at its option, acquire for nominal consideration 100% of either the equity of GPM or its assets subject to assumption of all of its liabilities. GPM was considered a variable interest entity (“VIE”). On May 18, 2021, the Company acquired 100% of the equity ownership of GPM. As a result, GPM has become the Company’s wholly owned subsidiary.</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13, 2022, the Company entered into a joint venture agreement and formed a Nevada limited liability company, Box Harmony, LLC (“Box Harmony”), for the principal purpose of providing logistics services primarily for foreign-based manufacturers or distributors who desire to sell their products online in the United States, with such logistics services to include, without limitation, receiving, storing and transporting such products. The Company owns 40% of the equity interest in Box Harmony, retaining significant influence, but does not own a majority equity interest or otherwise control of Box Harmony. See details on Note 3 below.</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10, 2022, the Company entered into another joint venture agreement and formed a Nevada limited liability company, Global Social Media, LLC (“GSM”), for the principal purpose of providing a social media platform, with contents and services, to assist businesses, including the Company and other businesses, in marketing their products. The Company owns 60% of the equity interest in GSM and controls its operations. See details on Note 3 below.</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and Daheshou (Shenzhen) Information Technology Co., Ltd. Anivia owns 100% of the equity of Fly Elephant Limited, which in turn owns 100% of the equity of Dayourenzai (Shenzhen) Technology Co., Ltd., a corporation located in the People’s Republic of China (“PRC”) and which is a wholly foreign-owned enterprise (“WFOE”) of Fly Elephant Limited. The WFOE controls, through contractual arrangements summarized in Note 4 below, the business, revenues and profits of Daheshou (Shenzhen) Information Technology Co., Ltd., a company organized under the Laws of the PRC (“DHS” or “VIE”) and located in Shenzhen, China. See details on Note 4 below.</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unaudited condensed consolidated financial statements include the accounts of the Company and its subsidiaries and VIE and have been prepared in accordance with accounting principles generally accepted in the United States of America (“U.S. GAAP”) and the requirements of the U.S. Securities and Exchange Commission (“SEC”) for interim reporting. As permitted under those rules, certain footnotes or other financial information that are normally required by U.S. GAAP can be condensed or omitted. These unaudited condensed consolidated financial statements have been prepared on the same basis as its annual consolidated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June 30, 2023, or for any other interim period or for any other future year. All intercompany balances and transactions have been eliminated in consolidation.</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unaudited condensed consolidated financial statements should be read in conjunction with the Company’s audited consolidated financial statements and the notes thereto included in the Company’s Annual Report for the year ended June 30, 2022, which are included in the Form 10-K filed with the SEC on September 28,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subsidiaries, E Marketing Solution Inc., Global Product Marketing Inc., Global Social Media, LLC, and Anivia Limited and its subsidiaries and VIE, including Fly Elephant Limited, Dayourenzai (Shenzhen) Technology Co., Ltd., and Daheshou (Shenzhen) Information Technology Co., Ltd. All inter-company balances and transactions have been eliminated.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Emerging Growth Company Status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utilizing the emerging growth company reduced reporting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 and assumptions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of assets and liabilities reported and disclosures of contingent assets and liabilities as of the date of the financial statements and the reported amounts of revenues and expenses during the periods presented.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Foreign currency translation and transactions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reporting and functional currency of iPower and subsidiaries is the U.S. dollar (USD). iPower’s WFOE and VIE in China uses the local currency, Renminbi (“RMB”), as its functional currency. Assets and liabilities of the VIE are translated at the current exchange rate as quoted by the People’s Bank of China (the “PBOC”) at the end of the period. Income and expense accounts are translated at the average translation rates and the equity accounts are translated at historical rates. Translation adjustments resulting from this process are included in accumulated other comprehensive income (loss) in the statement of changes in stockholders’ equity. Transaction gains and losses that arise from exchange rate fluctuations on transactions denominated in a currency other than the functional currency are included in the results of operations as incurred.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balance sheet amounts of the VIE, with the exception of equity, on December 31, 2022, were translated at 6.8979 RMB to $1.00. The equity accounts were stated at their historical rates. The average translation rates applied to statements of operations and comprehensive income (loss) accounts for the six months ended December 31, 2022 was 6.978613 RMB to $1.00. Cash flows were also translated at average translation rates for the period and, therefore, amounts reported on the statement of cash flows would not necessarily agree with changes in the corresponding balances on the unaudited condensed consolidated balance sheet.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consist of amounts held as cash on hand and bank deposits.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may maintain bank balances in interest bearing accounts in excess of the $250,000, which is currently the maximum amount insured by the Federal Deposit Insurance Corporation for interest bearing accounts (there is currently no insurance limit for deposits in noninterest bearing accounts). To date, the Company has not experienced any losses with respect to cash. Management believes the Company is not exposed to any significant credit risk with respect to its cash.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ordinary course of business, the Company extends unsecured credit to its customers. Accounts receivable are stated at the amount the Company expects to collect from customers. Management reviews its accounts receivable balances each reporting period to determine if an allowance for credit loss is required.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2020, the Company adopted ASU 2016-13, Topics 326 - Credit Loss, Measurement of Credit Losses on Financial Instruments, which replaces the incurred loss methodology with an expected loss methodology that is referred to as the current expected credit loss (CECL) methodology, for its accounting standard for its trade accounts receivable.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spacing w:after="0" w:line="18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fails to comply with its payment schedule;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is in serious financial difficulty;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dispute with the customer has occurred regarding job progress or other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breaches any of its contractual obligations;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customer appears to be financially distressed due to economic or legal factors;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business between the customer and the Company is not active;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objective evidence indicates non-collectability of the accounts receivable.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both"/>
        <w:spacing w:after="0" w:line="254" w:lineRule="auto"/>
        <w:rPr>
          <w:sz w:val="20"/>
          <w:szCs w:val="20"/>
          <w:color w:val="auto"/>
        </w:rPr>
      </w:pPr>
      <w:r>
        <w:rPr>
          <w:rFonts w:ascii="Arial" w:cs="Arial" w:eastAsia="Arial" w:hAnsi="Arial"/>
          <w:sz w:val="18"/>
          <w:szCs w:val="18"/>
          <w:color w:val="auto"/>
        </w:rPr>
        <w:t>The adoption of the credit loss accounting standard has no material impact on the Company’s consolidated financial statements. 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COVID-19 pandemic on our customers’ businesses and their ability to pay their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COVID-19 pandemic. In the event we recover amounts previously written off, we will reduce the specific allowance for credit losses.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method investment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its ownership interest in Box Harmony, a 40% owned joint venture, following the equity method of accounting, in accordance with ASC 323, Investments — Equity Method and Joint Ventures. Under this method, the carrying cost is initially recorded at cost and then increased or decreased by recording its percentage of gain or loss in Box Harmony’s statement of operations and a corresponding charge or credit to the carrying value of the asset.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15, 2022, the Company acquired 100% of the ordinary shares of Anivia Limited (“Anivia”) and its subsidiaries, including its variable interest entity (“VIE”), Daheshou (Shenzhen) Information Technology Co., Ltd., a company organized under the laws of the People’s Republic of China (“DHS”). The Company applies the acquisition method of accounting for business combinations. Under the acquisition method, the acquiring entity in a business combination recognizes 100% of the assets acquired and liabilities assumed at their acquisition date fair values. Management utilizes valuation techniques appropriate for the asset or liability being measured in determining these fair values. Any excess of the purchase price paid over amounts allocated to assets acquired, including identifiable intangible assets, and liabilities assumed is recorded as goodwill. Where amounts allocated to assets acquired and liabilities assumed is greater than the purchase price, a bargain purchase gain is recognized. Acquisition-related costs are expensed as incurred. See Note 4 for details on acquisition.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Variable interest entities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15, 2022, the Company acquired 100% of the ordinary shares of Anivia Limited (“Anivia”) and its subsidiaries, including DHS. Pursuant to the terms of the Agreements for the Company’s acquisition of Anivia and its subsidiaries, including DHS, the Company does not have direct ownership in DHS but is actively involved in DHS’s operations as the sole manager to direct the activities and significantly impact DHS’s economic performance. DHS’s operational funding has been provided by the Company following the February 15, 2022 acquisition. During the term of the Agreements, the Company bears all the risk of loss and has the right to receive all of the benefits from DHS. As such, based on the determination that the Company is the primary beneficiary of DHS, in accordance with ASC 810-10-25-38A through 25-38J, DHS is considered a VIE of the Company and the financial statements of DHS have been consolidated from the date such control existed, February 15, 2022. See Note 4 and Note 5 for details on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Goodwill represents the excess of the purchase price over the fair value of assets acquired and liabilities assumed. The Company accounts for goodwill under </w:t>
      </w:r>
      <w:r>
        <w:rPr>
          <w:rFonts w:ascii="Arial" w:cs="Arial" w:eastAsia="Arial" w:hAnsi="Arial"/>
          <w:sz w:val="18"/>
          <w:szCs w:val="18"/>
          <w:i w:val="1"/>
          <w:iCs w:val="1"/>
          <w:color w:val="auto"/>
        </w:rPr>
        <w:t>ASC Topic 350, Intangibles-Goodwill and Other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jc w:val="both"/>
        <w:spacing w:after="0" w:line="268" w:lineRule="auto"/>
        <w:rPr>
          <w:sz w:val="20"/>
          <w:szCs w:val="20"/>
          <w:color w:val="auto"/>
        </w:rPr>
      </w:pPr>
      <w:r>
        <w:rPr>
          <w:rFonts w:ascii="Arial" w:cs="Arial" w:eastAsia="Arial" w:hAnsi="Arial"/>
          <w:sz w:val="17"/>
          <w:szCs w:val="17"/>
          <w:color w:val="auto"/>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will be recognized in an amount equal to that excess, limited to the total amount of goodwill allocated to that reporting unit. The Company engaged an independent third-party valuation firm in August 2022 to conduct an evaluation of goodwill impairment for the Company as a whole at the consolidated reporting unit level as of June 30, 2022, which evaluation was conducted prior to the Company’s filing of its Annual Report on Form 10-K. Due to the decrease in the Company’s share price subsequent to the filing of the Form 10-K and the net loss incurred during the quarter ended September 30, 2022, the Company engaged the same valuation firm to review goodwill for impairment. Based on this review, the Company concluded an impairment loss of $3,060,034 as of September 30, 2022 was required. The impairment amount was determined based on the discounted cash flows with the revised projections reflecting the increase in freight and storage costs in the current interim quarter. The Company also considered the Market Capital Method, which is an alternative market approach, suggested the Company’s goodwill is partially impaired.</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three months ended December 31, 2022, the Company performed a qualitative goodwill impairment analysis following the steps laid out in ASC 350-20-35-3C and noted no goodwill impairment. As of December 31, 2022, the remaining goodwill balance amounted to $3,034,110.</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 net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Finite life intangible assets at December 31, 2022 included a covenant not to compete, supplier relationships, and software recognized as part of the acquisition of Anivia Limited. Intangible assets are recorded at the estimated fair value of these items at the date of acquisition, February 15, 2022. Intangible assets are amortized on a straight-line basis over their estimated useful life as followings: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Borders>
              <w:bottom w:val="single" w:sz="8" w:color="EEEEEE"/>
            </w:tcBorders>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Useful Life</w:t>
            </w:r>
          </w:p>
        </w:tc>
      </w:tr>
      <w:tr>
        <w:trPr>
          <w:trHeight w:val="210"/>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Covenant Not to Compete</w:t>
            </w:r>
          </w:p>
        </w:tc>
        <w:tc>
          <w:tcPr>
            <w:tcW w:w="2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10 years</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Supplier relationships</w:t>
            </w:r>
          </w:p>
        </w:tc>
        <w:tc>
          <w:tcPr>
            <w:tcW w:w="2020" w:type="dxa"/>
            <w:vAlign w:val="bottom"/>
          </w:tcPr>
          <w:p>
            <w:pPr>
              <w:jc w:val="center"/>
              <w:spacing w:after="0"/>
              <w:rPr>
                <w:sz w:val="20"/>
                <w:szCs w:val="20"/>
                <w:color w:val="auto"/>
              </w:rPr>
            </w:pPr>
            <w:r>
              <w:rPr>
                <w:rFonts w:ascii="Arial" w:cs="Arial" w:eastAsia="Arial" w:hAnsi="Arial"/>
                <w:sz w:val="18"/>
                <w:szCs w:val="18"/>
                <w:color w:val="auto"/>
                <w:w w:val="88"/>
              </w:rPr>
              <w:t>6 years</w:t>
            </w:r>
          </w:p>
        </w:tc>
      </w:tr>
      <w:tr>
        <w:trPr>
          <w:trHeight w:val="216"/>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Software</w:t>
            </w:r>
          </w:p>
        </w:tc>
        <w:tc>
          <w:tcPr>
            <w:tcW w:w="2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5 years</w:t>
            </w: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reviews the recoverability of long-lived assets, including intangible assets, when events or changes in circumstances occur that indicate the carrying value of the asset may not be recoverable. The assessment of possible impairment on asset group level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As of December 31, 2022, there were no indicators of impairment.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financial instruments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825, “Disclosures about Fair Value of Financial Instruments,” requires disclosure of fair value information about financial instruments. ASC 820, “Fair Value Measurements” defines fair value, establishes a framework for measuring fair value in generally accepted accounting principles, and expands disclosures about fair value measurements.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and all other current assets and liabilities approximate fair values due to their short-term nature.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jc w:val="both"/>
        <w:spacing w:after="0" w:line="311" w:lineRule="auto"/>
        <w:rPr>
          <w:sz w:val="20"/>
          <w:szCs w:val="20"/>
          <w:color w:val="auto"/>
        </w:rPr>
      </w:pPr>
      <w:r>
        <w:rPr>
          <w:rFonts w:ascii="Arial" w:cs="Arial" w:eastAsia="Arial" w:hAnsi="Arial"/>
          <w:sz w:val="16"/>
          <w:szCs w:val="16"/>
          <w:color w:val="auto"/>
        </w:rPr>
        <w:t>On February 15, 2022, as part of the consideration for the acquisition of Anivia Limited, the Company issued a two-year unsecured 6% subordinated promissory note, payable in equal semi-annual installments commencing August 15, 2022 (the “Purchase Note”). The principal amount of the Purchase Note was $3.5 million. On February 15, 2022, the Company evaluated the fair value of the Purchase Note to be $3.6 million using the following inputs: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shd w:val="clear" w:color="auto" w:fill="EEEEEE"/>
          </w:tcPr>
          <w:p>
            <w:pPr>
              <w:spacing w:after="0"/>
              <w:rPr>
                <w:sz w:val="20"/>
                <w:szCs w:val="20"/>
                <w:color w:val="auto"/>
              </w:rPr>
            </w:pPr>
            <w:r>
              <w:rPr>
                <w:rFonts w:ascii="Arial" w:cs="Arial" w:eastAsia="Arial" w:hAnsi="Arial"/>
                <w:sz w:val="18"/>
                <w:szCs w:val="18"/>
                <w:color w:val="auto"/>
              </w:rPr>
              <w:t>Corporate bond yield</w:t>
            </w:r>
          </w:p>
        </w:tc>
        <w:tc>
          <w:tcPr>
            <w:tcW w:w="2920" w:type="dxa"/>
            <w:vAlign w:val="bottom"/>
            <w:shd w:val="clear" w:color="auto" w:fill="EEEEEE"/>
          </w:tcPr>
          <w:p>
            <w:pPr>
              <w:jc w:val="right"/>
              <w:ind w:right="730"/>
              <w:spacing w:after="0"/>
              <w:rPr>
                <w:sz w:val="20"/>
                <w:szCs w:val="20"/>
                <w:color w:val="auto"/>
              </w:rPr>
            </w:pPr>
            <w:r>
              <w:rPr>
                <w:rFonts w:ascii="Arial" w:cs="Arial" w:eastAsia="Arial" w:hAnsi="Arial"/>
                <w:sz w:val="18"/>
                <w:szCs w:val="18"/>
                <w:color w:val="auto"/>
              </w:rPr>
              <w:t>3.1%</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Risk-free rate</w:t>
            </w:r>
          </w:p>
        </w:tc>
        <w:tc>
          <w:tcPr>
            <w:tcW w:w="2920" w:type="dxa"/>
            <w:vAlign w:val="bottom"/>
          </w:tcPr>
          <w:p>
            <w:pPr>
              <w:jc w:val="right"/>
              <w:ind w:right="730"/>
              <w:spacing w:after="0"/>
              <w:rPr>
                <w:sz w:val="20"/>
                <w:szCs w:val="20"/>
                <w:color w:val="auto"/>
              </w:rPr>
            </w:pPr>
            <w:r>
              <w:rPr>
                <w:rFonts w:ascii="Arial" w:cs="Arial" w:eastAsia="Arial" w:hAnsi="Arial"/>
                <w:sz w:val="18"/>
                <w:szCs w:val="18"/>
                <w:color w:val="auto"/>
              </w:rPr>
              <w:t>1.6%</w:t>
            </w:r>
          </w:p>
        </w:tc>
      </w:tr>
      <w:tr>
        <w:trPr>
          <w:trHeight w:val="216"/>
        </w:trPr>
        <w:tc>
          <w:tcPr>
            <w:tcW w:w="3260" w:type="dxa"/>
            <w:vAlign w:val="bottom"/>
            <w:shd w:val="clear" w:color="auto" w:fill="EEEEEE"/>
          </w:tcPr>
          <w:p>
            <w:pPr>
              <w:spacing w:after="0"/>
              <w:rPr>
                <w:sz w:val="20"/>
                <w:szCs w:val="20"/>
                <w:color w:val="auto"/>
              </w:rPr>
            </w:pPr>
            <w:r>
              <w:rPr>
                <w:rFonts w:ascii="Arial" w:cs="Arial" w:eastAsia="Arial" w:hAnsi="Arial"/>
                <w:sz w:val="18"/>
                <w:szCs w:val="18"/>
                <w:color w:val="auto"/>
              </w:rPr>
              <w:t>Liquidity premium</w:t>
            </w:r>
          </w:p>
        </w:tc>
        <w:tc>
          <w:tcPr>
            <w:tcW w:w="2920" w:type="dxa"/>
            <w:vAlign w:val="bottom"/>
            <w:shd w:val="clear" w:color="auto" w:fill="EEEEEE"/>
          </w:tcPr>
          <w:p>
            <w:pPr>
              <w:jc w:val="right"/>
              <w:ind w:right="730"/>
              <w:spacing w:after="0"/>
              <w:rPr>
                <w:sz w:val="20"/>
                <w:szCs w:val="20"/>
                <w:color w:val="auto"/>
              </w:rPr>
            </w:pPr>
            <w:r>
              <w:rPr>
                <w:rFonts w:ascii="Arial" w:cs="Arial" w:eastAsia="Arial" w:hAnsi="Arial"/>
                <w:sz w:val="18"/>
                <w:szCs w:val="18"/>
                <w:color w:val="auto"/>
              </w:rPr>
              <w:t>0.4%</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Discount rate</w:t>
            </w:r>
          </w:p>
        </w:tc>
        <w:tc>
          <w:tcPr>
            <w:tcW w:w="2920" w:type="dxa"/>
            <w:vAlign w:val="bottom"/>
          </w:tcPr>
          <w:p>
            <w:pPr>
              <w:jc w:val="right"/>
              <w:ind w:right="730"/>
              <w:spacing w:after="0"/>
              <w:rPr>
                <w:sz w:val="20"/>
                <w:szCs w:val="20"/>
                <w:color w:val="auto"/>
              </w:rPr>
            </w:pPr>
            <w:r>
              <w:rPr>
                <w:rFonts w:ascii="Arial" w:cs="Arial" w:eastAsia="Arial" w:hAnsi="Arial"/>
                <w:sz w:val="18"/>
                <w:szCs w:val="18"/>
                <w:color w:val="auto"/>
              </w:rPr>
              <w:t>3.5%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the outstanding balance of the Purchase Note was $2,858,947, including a premium of $56,759 and $177,188 of accrued interest.</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other financial instruments to be reported at fair value, 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 Unobservable inputs that are significant to the measurement of the fair value of the assets or liabilities that are supported by little or no market data.</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does not have any assets or liabilities measured at fair value on a recurring basis. We measure certain non-financial assets on a non-recurring basis, including goodwill. As a result of those measurements, we recognized an impairment charge of $0 and $3.1 million during the three and six months ended December 31, 2022,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4"/>
          </w:tcPr>
          <w:p>
            <w:pPr>
              <w:jc w:val="center"/>
              <w:ind w:right="140"/>
              <w:spacing w:after="0"/>
              <w:rPr>
                <w:sz w:val="20"/>
                <w:szCs w:val="20"/>
                <w:color w:val="auto"/>
              </w:rPr>
            </w:pPr>
            <w:r>
              <w:rPr>
                <w:rFonts w:ascii="Arial" w:cs="Arial" w:eastAsia="Arial" w:hAnsi="Arial"/>
                <w:sz w:val="18"/>
                <w:szCs w:val="18"/>
                <w:color w:val="auto"/>
                <w:w w:val="91"/>
              </w:rPr>
              <w:t>Total Impairment</w:t>
            </w:r>
          </w:p>
        </w:tc>
      </w:tr>
      <w:tr>
        <w:trPr>
          <w:trHeight w:val="230"/>
        </w:trPr>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Total Fair Value</w:t>
            </w:r>
          </w:p>
        </w:tc>
        <w:tc>
          <w:tcPr>
            <w:tcW w:w="1100" w:type="dxa"/>
            <w:vAlign w:val="bottom"/>
          </w:tcPr>
          <w:p>
            <w:pPr>
              <w:jc w:val="right"/>
              <w:ind w:right="81"/>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8"/>
                <w:szCs w:val="18"/>
                <w:color w:val="auto"/>
              </w:rPr>
              <w:t>Level 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color w:val="auto"/>
              </w:rPr>
              <w:t>Level 3</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8"/>
                <w:szCs w:val="18"/>
                <w:color w:val="auto"/>
                <w:w w:val="89"/>
              </w:rPr>
              <w:t>Loss</w:t>
            </w:r>
          </w:p>
        </w:tc>
      </w:tr>
      <w:tr>
        <w:trPr>
          <w:trHeight w:val="210"/>
        </w:trPr>
        <w:tc>
          <w:tcPr>
            <w:tcW w:w="35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Goodwill</w:t>
            </w: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3,034,110</w:t>
            </w:r>
          </w:p>
        </w:tc>
        <w:tc>
          <w:tcPr>
            <w:tcW w:w="26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bottom w:val="single" w:sz="8" w:color="auto"/>
            </w:tcBorders>
            <w:shd w:val="clear" w:color="auto" w:fill="EEEEEE"/>
          </w:tcPr>
          <w:p>
            <w:pPr>
              <w:jc w:val="right"/>
              <w:ind w:right="941"/>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shd w:val="clear" w:color="auto" w:fill="EEEEEE"/>
          </w:tcPr>
          <w:p>
            <w:pPr>
              <w:ind w:left="16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EEEEEE"/>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ind w:right="921"/>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EEEEEE"/>
          </w:tcPr>
          <w:p>
            <w:pPr>
              <w:ind w:left="16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3,034,110</w:t>
            </w:r>
          </w:p>
        </w:tc>
        <w:tc>
          <w:tcPr>
            <w:tcW w:w="2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bottom w:val="single" w:sz="8" w:color="auto"/>
            </w:tcBorders>
            <w:shd w:val="clear" w:color="auto" w:fill="EEEEEE"/>
          </w:tcPr>
          <w:p>
            <w:pPr>
              <w:jc w:val="right"/>
              <w:ind w:right="136"/>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3,060,034</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0"/>
        </w:trPr>
        <w:tc>
          <w:tcPr>
            <w:tcW w:w="350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3,034,110</w:t>
            </w:r>
          </w:p>
        </w:tc>
        <w:tc>
          <w:tcPr>
            <w:tcW w:w="260" w:type="dxa"/>
            <w:vAlign w:val="bottom"/>
          </w:tcPr>
          <w:p>
            <w:pPr>
              <w:spacing w:after="0"/>
              <w:rPr>
                <w:sz w:val="18"/>
                <w:szCs w:val="18"/>
                <w:color w:val="auto"/>
              </w:rPr>
            </w:pPr>
          </w:p>
        </w:tc>
        <w:tc>
          <w:tcPr>
            <w:tcW w:w="1100" w:type="dxa"/>
            <w:vAlign w:val="bottom"/>
            <w:tcBorders>
              <w:bottom w:val="single" w:sz="8" w:color="auto"/>
            </w:tcBorders>
          </w:tcPr>
          <w:p>
            <w:pPr>
              <w:jc w:val="right"/>
              <w:ind w:right="941"/>
              <w:spacing w:after="0"/>
              <w:rPr>
                <w:sz w:val="20"/>
                <w:szCs w:val="20"/>
                <w:color w:val="auto"/>
              </w:rPr>
            </w:pPr>
            <w:r>
              <w:rPr>
                <w:rFonts w:ascii="Arial" w:cs="Arial" w:eastAsia="Arial" w:hAnsi="Arial"/>
                <w:sz w:val="15"/>
                <w:szCs w:val="15"/>
                <w:color w:val="auto"/>
                <w:w w:val="71"/>
              </w:rPr>
              <w:t>$</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ind w:right="921"/>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3,034,110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3,060,034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with a total carrying value of $6.1 million was written down to its fair value of $3.0 million, resulting in an impairment charge of $3,060,034, which was recorded in earnings for the six months ended December 31, 2022. The fair value of goodwill was determined based on the discounted cash flow method, which is an income approach, which required the use of inputs that were unobservable in the marketplace (Level 3), including a discount rate that would be used by a market participant, projections of revenues and cash flows with the revised projections reflecting the increase in freight and storage costs in the current interim quarter, among others.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adopted Accounting Standards Codification (“ASC”) 606 since its inception on April 11, 2018 and recognizes revenue from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Payments received prior to the delivery of goods to customers are recorded as customer deposits.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Advertising costs are expensed as incurred. Total advertising and promotional costs included in selling and fulfillment expenses for the three and six months ended December 31, 2022 and 2021 were as following.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0" w:type="dxa"/>
            <w:vAlign w:val="bottom"/>
            <w:gridSpan w:val="5"/>
          </w:tcPr>
          <w:p>
            <w:pPr>
              <w:ind w:left="120"/>
              <w:spacing w:after="0"/>
              <w:rPr>
                <w:sz w:val="20"/>
                <w:szCs w:val="20"/>
                <w:color w:val="auto"/>
              </w:rPr>
            </w:pPr>
            <w:r>
              <w:rPr>
                <w:rFonts w:ascii="Arial" w:cs="Arial" w:eastAsia="Arial" w:hAnsi="Arial"/>
                <w:sz w:val="18"/>
                <w:szCs w:val="18"/>
                <w:color w:val="auto"/>
              </w:rPr>
              <w:t>Three Months Ended December 31,</w:t>
            </w:r>
          </w:p>
        </w:tc>
        <w:tc>
          <w:tcPr>
            <w:tcW w:w="220" w:type="dxa"/>
            <w:vAlign w:val="bottom"/>
          </w:tcPr>
          <w:p>
            <w:pPr>
              <w:spacing w:after="0"/>
              <w:rPr>
                <w:sz w:val="20"/>
                <w:szCs w:val="20"/>
                <w:color w:val="auto"/>
              </w:rPr>
            </w:pPr>
          </w:p>
        </w:tc>
        <w:tc>
          <w:tcPr>
            <w:tcW w:w="3000" w:type="dxa"/>
            <w:vAlign w:val="bottom"/>
            <w:gridSpan w:val="5"/>
          </w:tcPr>
          <w:p>
            <w:pPr>
              <w:ind w:left="140"/>
              <w:spacing w:after="0"/>
              <w:rPr>
                <w:sz w:val="20"/>
                <w:szCs w:val="20"/>
                <w:color w:val="auto"/>
              </w:rPr>
            </w:pPr>
            <w:r>
              <w:rPr>
                <w:rFonts w:ascii="Arial" w:cs="Arial" w:eastAsia="Arial" w:hAnsi="Arial"/>
                <w:sz w:val="18"/>
                <w:szCs w:val="18"/>
                <w:color w:val="auto"/>
              </w:rPr>
              <w:t>Six Months Ended December 31,</w:t>
            </w:r>
          </w:p>
        </w:tc>
      </w:tr>
      <w:tr>
        <w:trPr>
          <w:trHeight w:val="223"/>
        </w:trPr>
        <w:tc>
          <w:tcPr>
            <w:tcW w:w="4620" w:type="dxa"/>
            <w:vAlign w:val="bottom"/>
            <w:tcBorders>
              <w:bottom w:val="single" w:sz="8" w:color="EEEEEE"/>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240" w:type="dxa"/>
            <w:vAlign w:val="bottom"/>
            <w:tcBorders>
              <w:top w:val="single" w:sz="8" w:color="auto"/>
              <w:bottom w:val="single" w:sz="8" w:color="EEEEEE"/>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EEEEEE"/>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200" w:type="dxa"/>
            <w:vAlign w:val="bottom"/>
            <w:tcBorders>
              <w:top w:val="single" w:sz="8" w:color="auto"/>
              <w:bottom w:val="single" w:sz="8" w:color="EEEEEE"/>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EEEEEE"/>
            </w:tcBorders>
          </w:tcPr>
          <w:p>
            <w:pPr>
              <w:spacing w:after="0"/>
              <w:rPr>
                <w:sz w:val="19"/>
                <w:szCs w:val="19"/>
                <w:color w:val="auto"/>
              </w:rPr>
            </w:pPr>
          </w:p>
        </w:tc>
      </w:tr>
      <w:tr>
        <w:trPr>
          <w:trHeight w:val="223"/>
        </w:trPr>
        <w:tc>
          <w:tcPr>
            <w:tcW w:w="462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Advertising and promotion</w:t>
            </w:r>
          </w:p>
        </w:tc>
        <w:tc>
          <w:tcPr>
            <w:tcW w:w="200" w:type="dxa"/>
            <w:vAlign w:val="bottom"/>
            <w:tcBorders>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1,306,112</w:t>
            </w:r>
          </w:p>
        </w:tc>
        <w:tc>
          <w:tcPr>
            <w:tcW w:w="24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578,565</w:t>
            </w:r>
          </w:p>
        </w:tc>
        <w:tc>
          <w:tcPr>
            <w:tcW w:w="20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2,472,461</w:t>
            </w:r>
          </w:p>
        </w:tc>
        <w:tc>
          <w:tcPr>
            <w:tcW w:w="20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1,211,981</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mainly consists of costs for purchases of products and related inbound freight and delivery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which consist of selling and fulfillment and general and administrative expenses,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Inventory consists of finished goods ready for sale and is stated at the lower of cost or market. The Company values its inventory using the weighted average costing method. The Company’s policy is to include as a part of inventory and costs of goods sold any freight incurred to ship the product from its vendors to warehouses. Outbound freight costs related to shipping costs to customers are considered periodic costs and are reflected in selling and fulfillment expenses. The Company regularly reviews inventory and considers forecasts of future demand, market conditions and product obsolescence.</w:t>
      </w:r>
    </w:p>
    <w:p>
      <w:pPr>
        <w:spacing w:after="0" w:line="15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the estimated realizable value of the inventory is less than cost, the Company makes provisions in order to reduce its carrying value to its estimated market value. The Company also reviews inventory for slow moving inventory and obsolescence and records allowance for obsolescence.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Issuance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Costs incurred in connection with the issuance of debt are deferred and amortized as interest expense over the term of the related debt using the effective interest method. To the extent that the debt is outstanding, these amounts are reflected in the consolidated balance sheets as direct deductions from the carrying amount of the outstanding borrowings.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reporting</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follows ASC 280, Segment Reporting. The Company’s chief operating decision maker, the Chief Executive Officer, reviews the consolidated results of operations when making decisions about allocating resources and assessing the performance of the Company as a whole and, hence, the Company has only one reportable segment. The Company does not distinguish between markets or segments for the purpose of internal reporting. For the six months ended December 31, 2022, sales through Amazon to Canada and other foreign countries were approximately 13.5% of the Company’s total sales. Sales of hydroponic products, including ventilation and grow light systems, were approximately 47% of the Company’s total sales and the remaining 53% consisted of general gardening, home goods and other products and accessories. As of December 31, 2022, there were approximately $3.0 million of inventory stored in China. The Company’s majority of long-lived assets are located in California, United States, and majority of the Company’s revenues are derived from within the United States. Therefore, no geographical segments are presented.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its inception date, April 11, 2018, the Company adopted ASC 842 – Leases (“ASC 842”), which requires lessees to record right-of-use (“ROU”) assets and related lease obligations on the balance sheet, as well as disclose key information regarding leasing arrangements.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requisite service period, the Company also evaluates the performance condition and market condition under ASC 718-10-20. For an award which contains both a performance and a market condition, and where both conditions must be satisfied for the award to vest, the market condition is incorporated into the fair value of the award, and that fair value is recognized over the employee’s requisite service period or nonemployee’s vesting period if it is probable the performance condition will be met. If the performance condition is ultimately not met, compensation cost related to the award should not be recognized (or should be reversed) because the vesting condition in the award has not been satisfied.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recognize forfeitures of such equity-based compensation as they occur.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Deferred income tax assets are recognized only to the extent that management determines that it is more-likely-than-not that the deferred income tax assets will be realized. Valuation allowances are recorded, when necessary, to reduce deferred tax assets to the amount expected to be realized.</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implementation of certain provisions of ASC 740, Income Taxes (“ASC 740”), which clarifies the accounting and disclosure for uncertainty in tax position, as defined, ASC 740 seeks to reduce the diversity in practice associated with certain aspects of the recognition and measurement related to accounting for income taxes. The Company has adopted the provisions of ASC 740 since inception, April 11, 2018, and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believes that our income tax filing positions and deductions will be sustained on audit and do not anticipate any adjustments that will result in a material change to its financial position. Therefore, no reserves for uncertain income tax positions have been recorded pursuant to ASC 740. The Company’s policy for recording interest and penalties associated with income-based tax audits is to record such items as a component of income taxes.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 and contingencies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are computed by dividing net income attributable to holders of common stock by the weighted average number of shares of common stock outstanding during the year. Diluted earnings per share reflect the potential dilution that could occur if securities to issue common stock were exercised.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auto"/>
        </w:rPr>
        <w:t>Recently issued accounting pronouncements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June 2022, FASB issued ASU 2022-03, Fair Value Measurement (Topic 820): Fair Value Measurement of Equity Securities Subject to Contractual Sale Restrictions. The amendments in this ASU clarify the guidance in ASC 820 on the fair value measurement of an equity security that is subject to a contractual sale restriction and require specific disclosures related to such an equity security. This standard is effective for fiscal years beginning after December 15, 2024. The Company does not expect the adoption of this standard to have a material impact on the consolidated financial statements.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2021, the FASB issued ASU 2021-08, Business Combinations (Topic 805), Accounting for Contract Assets and Contract Liabilities from Contracts with Customers. This ASU clarifies that an acquirer of a business should recognize and measure contract assets and contract liabilities in a business combination in accordance with ASU 2014-09, Revenue from Contracts with Customers (Topic 606) as if the entity had originated the contracts. The guidance is effective for fiscal years beginning after December 15, 2023, with early application permitted. The Company does not expect the adoption of this standard to have a material impact on the consolidated financial statements.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2020 and January 2021, the FASB issued ASU No. 2020-04, Reference Rate Reform (Topic 848): Facilitation of the Effects of Reference Rate Reform on Financial Reporting and ASU No. 2021-01, Reference Rate Reform (Topic 848): Scope, respectively (collectively, “Topic 848”). Topic 848 provides optional expedients and exceptions for applying GAAP to contracts, hedging relationships and other transactions that reference the London Interbank Offered Rate (“LIBOR”) or another reference rate expected to be discontinued because of reference rate reform. The expedients and exceptions provided by Topic 848 are effective for all entities as of March 12, 2020 through December 31, 2022. The Company does not expect the adoption of this standard to have a material impact on the Company's consolidated financial statements.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the Company on July 1, 2024, including interim periods within those fiscal years. Adoption is either a modified retrospective method or a fully retrospective method of transition. The Company does not expect the adoption of this standard to have a material impact on the consolidated financial statements.</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January 2020, the FASB issued ASU 2020-01, “Investments - Equity Securities (Topic 321), Investments - Equity Method and Joint Ventures (Topic 323), and Derivatives and Hedging (Topic 815) - Clarifying the Interactions between Topic 321, Topic 323, and Topic 815.” This ASU among other things clarifies that a company should consider observable transactions that require a company to either apply or discontinue the equity method of accounting under Topic 323, Investments—Equity Method and Joint Ventures, for the purposes of applying the measurement alternative in accordance with Topic 321 immediately before applying or upon discontinuing the equity method. The new ASU clarifies that, when determining the accounting for certain forward contracts and purchased options a company should not consider, whether upon settlement or exercise, if the underlying securities would be accounted for under the equity method or fair value option. ASU 2020-01 is effective for public business entities for fiscal years, and interim periods within those fiscal years, beginning after December 15, 2021. An entity should apply ASU 2020-01 prospectively at the beginning of the interim period that includes the adoption date. The adoption of ASU 2020-01 did not have material impact on the Company's consolidated financial statements.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7" w:name="page18"/>
    <w:bookmarkEnd w:id="17"/>
    <w:p>
      <w:pPr>
        <w:jc w:val="both"/>
        <w:spacing w:after="0" w:line="273" w:lineRule="auto"/>
        <w:rPr>
          <w:sz w:val="20"/>
          <w:szCs w:val="20"/>
          <w:color w:val="auto"/>
        </w:rPr>
      </w:pPr>
      <w:r>
        <w:rPr>
          <w:rFonts w:ascii="Arial" w:cs="Arial" w:eastAsia="Arial" w:hAnsi="Arial"/>
          <w:sz w:val="17"/>
          <w:szCs w:val="17"/>
          <w:color w:val="auto"/>
        </w:rPr>
        <w:t>In December 2019, the FASB issued ASU 2019-12, Income Taxes (Topic 740) – Simplifying the Accounting for Income Taxes. The update is intended to simplify the current rules regarding the accounting for income taxes and addresses several technical topics including accounting for franchise taxes, allocating income taxes between a loss in continuing operations and in other categories such as discontinued operations, reporting income taxes for legal entities that are not subject to income taxes, and interim accounting for enacted changes in tax laws. The new standard is effective for fiscal years beginning after December 15, 2021, and interim periods within fiscal years beginning after December 15, 2022; however, early adoption is permitted. The adoption of this standard did not have material impact on the consolidated financial statements.</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which eliminates step two from the goodwill impairment test. Under ASU 2017-04, an entity should recognize an impairment charge for the amount by which the carrying amount of a reporting unit exceeds its fair value up to the amount of goodwill allocated to that reporting unit. ASU 2017-04 became effective for accelerated filing companies for annual periods or any interim goodwill impairment tests in fiscal years beginning after December 15, 2019. All other entities, including not-for-profit entities, that are adopting the amendments in this Update should do so for their annual or any interim goodwill impairment tests in fiscal years beginning after December 15, 2022. Early adoption is permitted for interim or annual goodwill impairment tests performed on testing dates after January 1, 2017. The Company has adopted ASU 2017-04. See disclosures above on Goodwill for further details.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does not believe other recently issued but not yet effective accounting standards, if currently adopted, would have a material effect on the consolidated financial position, statements of operations and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through the date that the consolidated financial statements are available to be issued. Material subsequent events that required recognition or additional disclosure in the consolidated financial statements are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Joint Ventures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Box Harmony, LLC</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13, 2022, the Company entered into a joint venture agreement (the “Joint Venture Agreement”) with Titanium Plus Autoparts, Inc., a California corporation (“TPA”), Tony Chiu (“Chiu”) and Bin Xiao (“Xiao”). Pursuant to the terms of the Joint Venture Agreement, the parties formed a Nevada limited liability company, Box Harmony, LLC (“Box Harmony”), for the principal purpose of providing logistic services primarily for foreign-based manufacturers or distributors who desire to sell their products online in the United States, with such logistic services to include, without limitation, receiving, storing and transporting such products.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entry into the Joint Venture Agreement, Box Harmony issued a total of 6,000 certificated units of membership interest, designated as Class A voting units (“Equity Units”), as follows: (i) the Company agreed to contribute $50,000 in cash in exchange for 2,400 Equity Units in Box Harmony and agreed to provide Box Harmony with the use and access to certain warehouse facilities leased by the Company (see below), and (ii) TPA received 1,200 Equity Units in exchange for (a) $1,200 and contributing the TPA IP License, (b) its existing and future customer contracts, and (c) granting Box Harmony the use of shipping accounts (FedEx and UPS) and all other TPA carrier contracts, and (iii) Xiao received 2,400 Equity Units in exchange for $2,400 and his agreement to manage the day to day operations of Box Harmony.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8" w:name="page19"/>
    <w:bookmarkEnd w:id="18"/>
    <w:p>
      <w:pPr>
        <w:jc w:val="both"/>
        <w:spacing w:after="0" w:line="254" w:lineRule="auto"/>
        <w:rPr>
          <w:sz w:val="20"/>
          <w:szCs w:val="20"/>
          <w:color w:val="auto"/>
        </w:rPr>
      </w:pPr>
      <w:r>
        <w:rPr>
          <w:rFonts w:ascii="Arial" w:cs="Arial" w:eastAsia="Arial" w:hAnsi="Arial"/>
          <w:sz w:val="18"/>
          <w:szCs w:val="18"/>
          <w:color w:val="auto"/>
        </w:rPr>
        <w:t>Under the terms of the Box Harmony limited liability operating agreement (the “LLC Agreement”), TPA and Xiao each granted to the Company an unconditional and irrevocable right and option to purchase from Xiao and TPA at any time within the first 18 months following January 13, 2022, up to 1,200 Class A voting units, at an exercise price of $550 per Class A voting unit, for a total exercise price of up to $660,000. If such option is fully exercised, the Company would own 3,600 Equity Units or 60% of the total outstanding Equity Units. As of the date of this report, the Company had not exercised the option to purchase additional voting units from Xiao and TPA. The LLC Agreement prohibits the issuance of additional Equity Units and certain other actions unless approved in advance by the Company, that a noncontrolling right that would not be substantive to overcome the majority voting interests held by TPA and Xiao.</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the Company owns 40% of the equity interest in Box Harmony with significant influence but does not own a majority equity interest or otherwise control of Box Harmony. The Company accounts for its ownership interest in Box Harmony following the equity method of accounting, in accordance with ASC 323, Investments —Equity Method and Joint Ventures. Under this method, the carrying cost is initially recorded at cost and then increased or decreased by recording its percentage of gain or loss in its statement of operations and a corresponding charge or credit to the carrying value of the asset.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Social Media, LLC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10, 2022, the Company entered into a joint venture agreement with Bro Angel, LLC, Ji Shin and Bing Luo (the “GSM Joint Venture Agreement”). Pursuant to the terms of the GSM Joint Venture Agreement, the parties formed a Nevada limited liability company, Global Social Media, LLC (“GSM”), for the principal purpose of providing a social media platform, contents and services to assist businesses, including the Company and other businesses, in marketing their products.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Following entry into the GSM Joint Venture Agreement, GSM issued 10,000 certificated units of membership interest (the “GSM Equity Units”), of which the Company was issued 6,000 GSM Equity Units and Bro Angel was issued 4,000 GSM Equity Units. Messrs. Shin and Luo are the owners of 100% of the equity of Bro Angel. The LLC Agreement prohibits the issuance of additional Equity Units and certain other actions unless approved in advance by Bro Angel, creating a noncontrolling right that would not be substantive to overcome the majority voting interests held by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report, the members had not completed the capital contributions and no receivables were recorded.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terms of the Agreements, the Company owns 60% of the equity interest in GSM and control of the operations. Based on ASU 2015-02, the Company consolidate GSM due to its majority equity ownership and control over operations. For the three and six months ended December 31, 2022 and 2021, the impact of GSM’s activities were immaterial to the Company’s unaudited condensed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 of Anivia Limited and Subsidiaries and Variable Interest Entity</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and Daheshou (Shenzhen) Information Technology Co., Ltd. Anivia owns 100% of the equity of Fly Elephant Limited, which in turn owns 100% of the equity of Dayourenzai (Shenzhen) Technology Co., Ltd., a corporation located in the People’s Republic of China (“PRC”) and which is a wholly foreign-owned enterprise (“WFOE”) of Fly Elephant Limited. The WFOE controls, through contractual arrangements summarized below, the business, revenues and profits of Daheshou (Shenzhen) Information Technology Co., Ltd., a company organized under the Laws of the PRC (“DHS”) and located in Shenzhen, China.</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9" w:name="page20"/>
    <w:bookmarkEnd w:id="19"/>
    <w:p>
      <w:pPr>
        <w:jc w:val="both"/>
        <w:spacing w:after="0" w:line="287" w:lineRule="auto"/>
        <w:rPr>
          <w:sz w:val="20"/>
          <w:szCs w:val="20"/>
          <w:color w:val="auto"/>
        </w:rPr>
      </w:pPr>
      <w:r>
        <w:rPr>
          <w:rFonts w:ascii="Arial" w:cs="Arial" w:eastAsia="Arial" w:hAnsi="Arial"/>
          <w:sz w:val="16"/>
          <w:szCs w:val="16"/>
          <w:color w:val="auto"/>
        </w:rPr>
        <w:t>The contractual arrangements between the WFOE and DHS are established through a variable interest operating entity structure, which is reflected in (i) an exclusive business cooperation agreement, dated December 15, 2021, between the WFOE and DHS, (ii) an exclusive equity interest pledge agreement, dated December 15, 2021, between the WFOE and DHS in which the equity of DHS was pledged to the WFOE, (iii) an exclusive option agreement, dated December 15, 2021, between the WFOE, DHS and its equity holders, Li Zanyu and Xie Jing (the “Equity Holders), pursuant to which the Equity Holders give the WFOE the irrevocable and exclusive right to purchase the equity interests in DHS, and (iii) a power of attorney, dated December 15, 2021, pursuant to which Li Zanyu and Xie Jing, the holders of 100% of the equity interest of DHS, granted the WFOE all voting and other rights to their equity interest in DHS. According to the exclusive business cooperation agreement, in consideration for the services provided by the WFOE, DHS shall pay a service fee to the WFOE on annual basis (or at any time agreed by the Parties). The service fees for each year (or for any other period agreed to by the Parties) shall consist of a management fee and a fee for services provided, which shall be reasonably determined by the WFOE based on the nature, complexity, time, and other market and operation factors. The WFOE may provide a separate confirmation letter and/or invoice to DHS to indicate the amount of service fees due for each service period; or the amount of services fees may be as set forth in the relevant contracts separately executed by the Parties. DHS is principally engaged in selling a wide range of products and providing logistic services in the PRC.</w:t>
      </w:r>
    </w:p>
    <w:p>
      <w:pPr>
        <w:spacing w:after="0" w:line="1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terms of the Agreements, the Company does not have direct ownership in DHS but is actively involved in DHS’s operations as the sole manager to direct the activities and significantly impact DHS’s economic performance. As such, based on the determination that the Company is the primary beneficiary of DHS, in accordance with ASC 810-10-25-38A through 25-38J, DHS is considered a variable interest entity (“VIE”) of the Company and the financial statements of DHS have been consolidated from the date such control existed, February 15, 2022.</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fair value of the consideration for the transaction was $10,629,000, which was paid to White Cherry as follows: at closing, the Company (i) paid $3,500,000 in the form of a two-year unsecured 6% subordinated promissory note, payable in equal semi-annual installments commencing August 15, 2022 (the “Purchase Note”), (ii) issued 3,083,700 restricted shares of the Company’s common stock (subject to a lock-up period of 180 days and insider trading rules), and (iii) owed an additional $1,500,000 in cash, which was to be paid after closing.</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JP Morgan Chase Bank, the Company’s senior secured lender (“JPM”), consented to the transaction. In conjunction with obtaining JPM’s consent, the Company delivered an amendment to the pledge and security agreement with JPM, pursuant to which the Company pledged to JPM 65% of the equity interest of Anivia Limited, Fly Elephant Limited and the WFOE.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October 7, 2022, in conjunction with the Company’s entry into the Second Amendment to the Credit Agreement, the Company’s promissory note holder, White Cherry Limited, an exempted company incorporated under the laws of the British Virgin Islands (“White Cherry”), entered into an amendment (the “Amendment”) to the subordination agreement, originally dated March 9, 2022 (the “Subordination Agreement”). The Amendment to the Subordination Agreement was amended solely for purposes of adjusting the definition of payment conditions under Section 2 of the Subordination Agreement such that “payment conditions” shall be deemed satisfied in connection with a permitted payment if (a) no event of default has occurred under the credit agreement and is continuing and (b) the Company shall have Excess Availability in the 30 days prior to the payment (as defined in the Second Amendment to the Credit Agreement) of no less than $7,500,000.</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in conjunction with the closing of the transaction, the WFOE entered into an employment agreement with Li Zanyu, dated February 15, 2022 (the “Employment Agreement”), pursuant to which Mr. Li has been appointed to serve as general manager of the WFOE for a term of 10 years (through February 14, 2032), with annual base compensation of up to 500,000 RMB plus bonus as may be determined by the WFOE from time to time, in its sole discretion, based on Mr. Li’s performance. During such employment, Mr. Li may not engage in other employment without the consent of the WFOE.</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0" w:name="page21"/>
    <w:bookmarkEnd w:id="20"/>
    <w:p>
      <w:pPr>
        <w:jc w:val="both"/>
        <w:spacing w:after="0" w:line="269" w:lineRule="auto"/>
        <w:rPr>
          <w:sz w:val="20"/>
          <w:szCs w:val="20"/>
          <w:color w:val="auto"/>
        </w:rPr>
      </w:pPr>
      <w:r>
        <w:rPr>
          <w:rFonts w:ascii="Arial" w:cs="Arial" w:eastAsia="Arial" w:hAnsi="Arial"/>
          <w:sz w:val="17"/>
          <w:szCs w:val="17"/>
          <w:color w:val="auto"/>
        </w:rPr>
        <w:t>The acquisition of Anivia was accounted for as a business combination under ASC 805. As the acquirer for accounting purposes, the Company has estimated the fair value of Anivia and its subsidiaries’ assets acquired and conformed the accounting policies of Anivia to its own accounting policies. The Company applied the income approach and cost approach in determining the fair value of the intangible assets, which intangible assets consisted of a covenant not to compete, supplier relationships and software. The fair value of the remaining assets acquired and liabilities assumed were not significantly different from their carrying values at the acquisition date. In addition, pursuant to the Transfer Agreement, the Sellers made certain representations and warranties, including that other than the items presented on the balance sheet on February 15, 2022, DHS, the operating VIE, was not subject to any loans, debts, liabilities, guarantees or other contingent liabilities at the Closing date. In the event of any breach of any of the representations and warranties, the sellers shall bear joint and several liability for any direct or indirect losses suffered by the Company as a result thereof. The Company recognized approximately $6.1 million of goodwill in the transaction, which was primarily due to the subsumed assembled workforce intangible assets. Goodwill is not deductible for income tax purposes. The Company expensed with the acquisition certain legal and accounting costs of $54,702 as general and administration expenses and $50,000 paid to JPM as financing fees.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information summarizes the purchase consideration and allocation of the fair values assigned to the assets at the purchase date, February 15,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sz w:val="20"/>
                <w:szCs w:val="20"/>
                <w:color w:val="auto"/>
              </w:rPr>
            </w:pPr>
            <w:r>
              <w:rPr>
                <w:rFonts w:ascii="Arial" w:cs="Arial" w:eastAsia="Arial" w:hAnsi="Arial"/>
                <w:sz w:val="18"/>
                <w:szCs w:val="18"/>
                <w:b w:val="1"/>
                <w:bCs w:val="1"/>
                <w:color w:val="auto"/>
              </w:rPr>
              <w:t>Fair Value of Purchase Price:</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w:t>
            </w:r>
          </w:p>
        </w:tc>
        <w:tc>
          <w:tcPr>
            <w:tcW w:w="4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1,500,000</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Promissory note issued</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3,600,627</w:t>
            </w: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Common stock issued</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5,528,373</w:t>
            </w:r>
          </w:p>
        </w:tc>
        <w:tc>
          <w:tcPr>
            <w:tcW w:w="80" w:type="dxa"/>
            <w:vAlign w:val="bottom"/>
            <w:shd w:val="clear" w:color="auto" w:fill="EEEEEE"/>
          </w:tcPr>
          <w:p>
            <w:pPr>
              <w:spacing w:after="0"/>
              <w:rPr>
                <w:sz w:val="18"/>
                <w:szCs w:val="18"/>
                <w:color w:val="auto"/>
              </w:rPr>
            </w:pPr>
          </w:p>
        </w:tc>
      </w:tr>
      <w:tr>
        <w:trPr>
          <w:trHeight w:val="250"/>
        </w:trPr>
        <w:tc>
          <w:tcPr>
            <w:tcW w:w="95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purchase consideration</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10,629,000</w:t>
            </w:r>
          </w:p>
        </w:tc>
        <w:tc>
          <w:tcPr>
            <w:tcW w:w="20" w:type="dxa"/>
            <w:vAlign w:val="bottom"/>
            <w:tcBorders>
              <w:bottom w:val="single" w:sz="8" w:color="EEEEEE"/>
            </w:tcBorders>
          </w:tcPr>
          <w:p>
            <w:pPr>
              <w:spacing w:after="0"/>
              <w:rPr>
                <w:sz w:val="21"/>
                <w:szCs w:val="21"/>
                <w:color w:val="auto"/>
              </w:rPr>
            </w:pPr>
          </w:p>
        </w:tc>
        <w:tc>
          <w:tcPr>
            <w:tcW w:w="80" w:type="dxa"/>
            <w:vAlign w:val="bottom"/>
            <w:tcBorders>
              <w:bottom w:val="single" w:sz="8" w:color="EEEEEE"/>
            </w:tcBorders>
          </w:tcPr>
          <w:p>
            <w:pPr>
              <w:spacing w:after="0"/>
              <w:rPr>
                <w:sz w:val="21"/>
                <w:szCs w:val="21"/>
                <w:color w:val="auto"/>
              </w:rPr>
            </w:pPr>
          </w:p>
        </w:tc>
      </w:tr>
      <w:tr>
        <w:trPr>
          <w:trHeight w:val="197"/>
        </w:trPr>
        <w:tc>
          <w:tcPr>
            <w:tcW w:w="956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b w:val="1"/>
                <w:bCs w:val="1"/>
                <w:color w:val="auto"/>
              </w:rPr>
              <w:t>Purchase Price Allocation:</w:t>
            </w: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Covenant not to compete</w:t>
            </w:r>
          </w:p>
        </w:tc>
        <w:tc>
          <w:tcPr>
            <w:tcW w:w="420" w:type="dxa"/>
            <w:vAlign w:val="bottom"/>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3,459,120</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Supplier relationships</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1,179,246</w:t>
            </w: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Software</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534,591</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1,784,113</w:t>
            </w: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Property and equipment</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46,548</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Rent deposit</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52,707</w:t>
            </w: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ROU asset</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234,578</w:t>
            </w:r>
          </w:p>
        </w:tc>
        <w:tc>
          <w:tcPr>
            <w:tcW w:w="80" w:type="dxa"/>
            <w:vAlign w:val="bottom"/>
            <w:shd w:val="clear" w:color="auto" w:fill="EEEEEE"/>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6,094,144</w:t>
            </w:r>
          </w:p>
        </w:tc>
        <w:tc>
          <w:tcPr>
            <w:tcW w:w="80" w:type="dxa"/>
            <w:vAlign w:val="bottom"/>
          </w:tcPr>
          <w:p>
            <w:pPr>
              <w:spacing w:after="0"/>
              <w:rPr>
                <w:sz w:val="18"/>
                <w:szCs w:val="18"/>
                <w:color w:val="auto"/>
              </w:rPr>
            </w:pPr>
          </w:p>
        </w:tc>
      </w:tr>
      <w:tr>
        <w:trPr>
          <w:trHeight w:val="216"/>
        </w:trPr>
        <w:tc>
          <w:tcPr>
            <w:tcW w:w="9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Deferred tax liabilities</w:t>
            </w:r>
          </w:p>
        </w:tc>
        <w:tc>
          <w:tcPr>
            <w:tcW w:w="42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(1,389,113)</w:t>
            </w:r>
          </w:p>
        </w:tc>
      </w:tr>
      <w:tr>
        <w:trPr>
          <w:trHeight w:val="216"/>
        </w:trPr>
        <w:tc>
          <w:tcPr>
            <w:tcW w:w="956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(1,143,076)</w:t>
            </w:r>
          </w:p>
        </w:tc>
      </w:tr>
      <w:tr>
        <w:trPr>
          <w:trHeight w:val="216"/>
        </w:trPr>
        <w:tc>
          <w:tcPr>
            <w:tcW w:w="956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Lease liability</w:t>
            </w:r>
          </w:p>
        </w:tc>
        <w:tc>
          <w:tcPr>
            <w:tcW w:w="42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(223,858)</w:t>
            </w:r>
          </w:p>
        </w:tc>
      </w:tr>
      <w:tr>
        <w:trPr>
          <w:trHeight w:val="209"/>
        </w:trPr>
        <w:tc>
          <w:tcPr>
            <w:tcW w:w="9560" w:type="dxa"/>
            <w:vAlign w:val="bottom"/>
          </w:tcPr>
          <w:p>
            <w:pPr>
              <w:spacing w:after="0"/>
              <w:rPr>
                <w:sz w:val="20"/>
                <w:szCs w:val="20"/>
                <w:color w:val="auto"/>
              </w:rPr>
            </w:pPr>
            <w:r>
              <w:rPr>
                <w:rFonts w:ascii="Arial" w:cs="Arial" w:eastAsia="Arial" w:hAnsi="Arial"/>
                <w:sz w:val="18"/>
                <w:szCs w:val="18"/>
                <w:color w:val="auto"/>
              </w:rPr>
              <w:t>Total purchase consideration</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10,629,000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October 2022, the $1.5 million cash portion of the consideration, which was presented as investment payable, had been fully paid off.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of Anivia since February 16, 2022 have been included in the Company's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Variable interest entity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Effective February 15, 2022, upon acquisition of Anivia, the Company assumed the contractual arrangements between the WFOE and DHS through a variable interest operating entity structure. See Note 4 for details.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did not provide financial or other support to the VIE for the periods presented where the Company was not otherwise contractually required to provide such support.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As of December 31, 2022 and 2021, there was no pledge or collateralization of the VIE assets that would be used to settle obligations of the VIE.</w:t>
      </w:r>
    </w:p>
    <w:p>
      <w:pPr>
        <w:spacing w:after="0" w:line="23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carrying amounts of the assets, liabilities and the results of operations of the VIE included in the Company’s consolidated balance sheets and statements of operations and comprehensive income after the elimination of intercompany balances and transactions with the VIE are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The carrying amount of the VIE’s assets and liabilities were as follows for the periods indicated:</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660" w:type="dxa"/>
            <w:vAlign w:val="bottom"/>
            <w:tcBorders>
              <w:bottom w:val="single" w:sz="8" w:color="EEEEEE"/>
            </w:tcBorders>
          </w:tcPr>
          <w:p>
            <w:pPr>
              <w:spacing w:after="0"/>
              <w:rPr>
                <w:sz w:val="20"/>
                <w:szCs w:val="20"/>
                <w:color w:val="auto"/>
              </w:rPr>
            </w:pPr>
          </w:p>
        </w:tc>
        <w:tc>
          <w:tcPr>
            <w:tcW w:w="12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EEEEEE"/>
            </w:tcBorders>
          </w:tcPr>
          <w:p>
            <w:pPr>
              <w:spacing w:after="0"/>
              <w:rPr>
                <w:sz w:val="20"/>
                <w:szCs w:val="20"/>
                <w:color w:val="auto"/>
              </w:rPr>
            </w:pPr>
          </w:p>
        </w:tc>
      </w:tr>
      <w:tr>
        <w:trPr>
          <w:trHeight w:val="209"/>
        </w:trPr>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Cash in bank</w:t>
            </w:r>
          </w:p>
        </w:tc>
        <w:tc>
          <w:tcPr>
            <w:tcW w:w="120" w:type="dxa"/>
            <w:vAlign w:val="bottom"/>
            <w:shd w:val="clear" w:color="auto" w:fill="EEEEEE"/>
          </w:tcPr>
          <w:p>
            <w:pPr>
              <w:spacing w:after="0"/>
              <w:rPr>
                <w:sz w:val="18"/>
                <w:szCs w:val="18"/>
                <w:color w:val="auto"/>
              </w:rPr>
            </w:pP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296,482</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271,164</w:t>
            </w:r>
          </w:p>
        </w:tc>
        <w:tc>
          <w:tcPr>
            <w:tcW w:w="100" w:type="dxa"/>
            <w:vAlign w:val="bottom"/>
            <w:shd w:val="clear" w:color="auto" w:fill="EEEEEE"/>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Prepayments and other receivables</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519,284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1,374,698</w:t>
            </w:r>
          </w:p>
        </w:tc>
      </w:tr>
      <w:tr>
        <w:trPr>
          <w:trHeight w:val="216"/>
        </w:trPr>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Rent deposit</w:t>
            </w:r>
          </w:p>
        </w:tc>
        <w:tc>
          <w:tcPr>
            <w:tcW w:w="280" w:type="dxa"/>
            <w:vAlign w:val="bottom"/>
            <w:gridSpan w:val="2"/>
            <w:shd w:val="clear" w:color="auto" w:fill="EEEEEE"/>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49,446</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50,036</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Office equipment, net</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46,464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57,730</w:t>
            </w:r>
          </w:p>
        </w:tc>
      </w:tr>
      <w:tr>
        <w:trPr>
          <w:trHeight w:val="216"/>
        </w:trPr>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Right of use - noncurrent</w:t>
            </w:r>
          </w:p>
        </w:tc>
        <w:tc>
          <w:tcPr>
            <w:tcW w:w="280" w:type="dxa"/>
            <w:vAlign w:val="bottom"/>
            <w:gridSpan w:val="2"/>
            <w:shd w:val="clear" w:color="auto" w:fill="EEEEEE"/>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77,735</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153,064</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Deferred tax asset</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222,202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Advance from shareholders</w:t>
            </w:r>
          </w:p>
        </w:tc>
        <w:tc>
          <w:tcPr>
            <w:tcW w:w="280" w:type="dxa"/>
            <w:vAlign w:val="bottom"/>
            <w:gridSpan w:val="2"/>
            <w:shd w:val="clear" w:color="auto" w:fill="EEEEEE"/>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89,592</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92,246</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116,913</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121,073</w:t>
            </w:r>
          </w:p>
        </w:tc>
      </w:tr>
      <w:tr>
        <w:trPr>
          <w:trHeight w:val="216"/>
        </w:trPr>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Lease liability</w:t>
            </w:r>
          </w:p>
        </w:tc>
        <w:tc>
          <w:tcPr>
            <w:tcW w:w="280" w:type="dxa"/>
            <w:vAlign w:val="bottom"/>
            <w:gridSpan w:val="2"/>
            <w:shd w:val="clear" w:color="auto" w:fill="EEEEEE"/>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77,990</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154,418</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Income tax payable</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290,947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299,563</w:t>
            </w:r>
          </w:p>
        </w:tc>
      </w:tr>
      <w:tr>
        <w:trPr>
          <w:trHeight w:val="216"/>
        </w:trPr>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Other payables and accrued liabilities</w:t>
            </w:r>
          </w:p>
        </w:tc>
        <w:tc>
          <w:tcPr>
            <w:tcW w:w="280" w:type="dxa"/>
            <w:vAlign w:val="bottom"/>
            <w:gridSpan w:val="2"/>
            <w:shd w:val="clear" w:color="auto" w:fill="EEEEEE"/>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267,589</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188,066</w:t>
            </w:r>
          </w:p>
        </w:tc>
      </w:tr>
      <w:tr>
        <w:trPr>
          <w:trHeight w:val="432"/>
        </w:trPr>
        <w:tc>
          <w:tcPr>
            <w:tcW w:w="7660" w:type="dxa"/>
            <w:vAlign w:val="bottom"/>
          </w:tcPr>
          <w:p>
            <w:pPr>
              <w:spacing w:after="0"/>
              <w:rPr>
                <w:sz w:val="20"/>
                <w:szCs w:val="20"/>
                <w:color w:val="auto"/>
              </w:rPr>
            </w:pPr>
            <w:r>
              <w:rPr>
                <w:rFonts w:ascii="Arial" w:cs="Arial" w:eastAsia="Arial" w:hAnsi="Arial"/>
                <w:sz w:val="18"/>
                <w:szCs w:val="18"/>
                <w:color w:val="auto"/>
                <w:w w:val="91"/>
              </w:rPr>
              <w:t>The operating results of the VIE were as follows for the three and six months ended December 31, 2022: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Three Months</w:t>
            </w:r>
          </w:p>
        </w:tc>
        <w:tc>
          <w:tcPr>
            <w:tcW w:w="22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Six Months</w:t>
            </w:r>
          </w:p>
        </w:tc>
      </w:tr>
      <w:tr>
        <w:trPr>
          <w:trHeight w:val="209"/>
        </w:trPr>
        <w:tc>
          <w:tcPr>
            <w:tcW w:w="58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Revenue</w:t>
            </w:r>
          </w:p>
        </w:tc>
        <w:tc>
          <w:tcPr>
            <w:tcW w:w="19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Net loss after elimination of intercompany transactions</w:t>
            </w:r>
          </w:p>
        </w:tc>
        <w:tc>
          <w:tcPr>
            <w:tcW w:w="20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177,947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911,564</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December 31, 2022, the VIE contributed approximately $1.1 million of revenue and $0.1 million of net loss before elimination.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December 31, 2022, the VIE contributed approximately $4.3 million of revenue and $0.6 million of net loss before elimination.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Note 6 – Accounts receivable, net</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color w:val="auto"/>
              </w:rPr>
              <w:t>Accounts receivable for the Company consisted of the following as of the dates indicated below:</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December 31,</w:t>
            </w:r>
          </w:p>
        </w:tc>
        <w:tc>
          <w:tcPr>
            <w:tcW w:w="280" w:type="dxa"/>
            <w:vAlign w:val="bottom"/>
          </w:tcPr>
          <w:p>
            <w:pPr>
              <w:spacing w:after="0"/>
              <w:rPr>
                <w:sz w:val="24"/>
                <w:szCs w:val="2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78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EEEEEE"/>
            </w:tcBorders>
          </w:tcPr>
          <w:p>
            <w:pPr>
              <w:spacing w:after="0"/>
              <w:rPr>
                <w:sz w:val="20"/>
                <w:szCs w:val="20"/>
                <w:color w:val="auto"/>
              </w:rPr>
            </w:pPr>
          </w:p>
        </w:tc>
      </w:tr>
      <w:tr>
        <w:trPr>
          <w:trHeight w:val="21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11,716,757</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17,502,287</w:t>
            </w:r>
          </w:p>
        </w:tc>
        <w:tc>
          <w:tcPr>
            <w:tcW w:w="100" w:type="dxa"/>
            <w:vAlign w:val="bottom"/>
            <w:shd w:val="clear" w:color="auto" w:fill="EEEEEE"/>
          </w:tcPr>
          <w:p>
            <w:pPr>
              <w:spacing w:after="0"/>
              <w:rPr>
                <w:sz w:val="18"/>
                <w:szCs w:val="18"/>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Less: allowance for credit losses</w:t>
            </w:r>
          </w:p>
        </w:tc>
        <w:tc>
          <w:tcPr>
            <w:tcW w:w="160" w:type="dxa"/>
            <w:vAlign w:val="bottom"/>
          </w:tcPr>
          <w:p>
            <w:pPr>
              <w:spacing w:after="0"/>
              <w:rPr>
                <w:sz w:val="19"/>
                <w:szCs w:val="19"/>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(70,000)</w:t>
            </w:r>
          </w:p>
        </w:tc>
        <w:tc>
          <w:tcPr>
            <w:tcW w:w="2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(70,000)</w:t>
            </w:r>
          </w:p>
        </w:tc>
      </w:tr>
      <w:tr>
        <w:trPr>
          <w:trHeight w:val="223"/>
        </w:trPr>
        <w:tc>
          <w:tcPr>
            <w:tcW w:w="77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accounts receivable</w:t>
            </w:r>
          </w:p>
        </w:tc>
        <w:tc>
          <w:tcPr>
            <w:tcW w:w="160" w:type="dxa"/>
            <w:vAlign w:val="bottom"/>
            <w:tcBorders>
              <w:top w:val="single" w:sz="8" w:color="auto"/>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11,646,757</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17,432,287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Inventories, net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and June 30, 2022, inventories consisted of finished goods ready for sale, net of allowance for obsolescence, amounted to $23,258,161 and $30,433,766,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and June 30, 2022, allowance for obsolescence was $394,998 and $320,000, 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r>
              <w:rPr>
                <w:rFonts w:ascii="Arial" w:cs="Arial" w:eastAsia="Arial" w:hAnsi="Arial"/>
                <w:sz w:val="18"/>
                <w:szCs w:val="18"/>
                <w:b w:val="1"/>
                <w:bCs w:val="1"/>
                <w:color w:val="auto"/>
              </w:rPr>
              <w:t>Note 8 – Prepayments and other current assets</w:t>
            </w:r>
          </w:p>
        </w:tc>
        <w:tc>
          <w:tcPr>
            <w:tcW w:w="2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980" w:type="dxa"/>
            <w:vAlign w:val="bottom"/>
            <w:gridSpan w:val="3"/>
          </w:tcPr>
          <w:p>
            <w:pPr>
              <w:spacing w:after="0"/>
              <w:rPr>
                <w:sz w:val="20"/>
                <w:szCs w:val="20"/>
                <w:color w:val="auto"/>
              </w:rPr>
            </w:pPr>
            <w:r>
              <w:rPr>
                <w:rFonts w:ascii="Arial" w:cs="Arial" w:eastAsia="Arial" w:hAnsi="Arial"/>
                <w:sz w:val="18"/>
                <w:szCs w:val="18"/>
                <w:color w:val="auto"/>
                <w:w w:val="90"/>
              </w:rPr>
              <w:t>As of December 31, 2022 and June 30, 2022, prepayments and other current assets consisted of the following:</w:t>
            </w: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6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680" w:type="dxa"/>
            <w:vAlign w:val="bottom"/>
            <w:tcBorders>
              <w:bottom w:val="single" w:sz="8" w:color="EEEEEE"/>
            </w:tcBorders>
          </w:tcPr>
          <w:p>
            <w:pPr>
              <w:spacing w:after="0"/>
              <w:rPr>
                <w:sz w:val="20"/>
                <w:szCs w:val="20"/>
                <w:color w:val="auto"/>
              </w:rPr>
            </w:pPr>
          </w:p>
        </w:tc>
        <w:tc>
          <w:tcPr>
            <w:tcW w:w="2100" w:type="dxa"/>
            <w:vAlign w:val="bottom"/>
            <w:tcBorders>
              <w:bottom w:val="single" w:sz="8" w:color="EEEEE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EEEEEE"/>
            </w:tcBorders>
          </w:tcPr>
          <w:p>
            <w:pPr>
              <w:spacing w:after="0"/>
              <w:rPr>
                <w:sz w:val="20"/>
                <w:szCs w:val="20"/>
                <w:color w:val="auto"/>
              </w:rPr>
            </w:pPr>
          </w:p>
        </w:tc>
      </w:tr>
      <w:tr>
        <w:trPr>
          <w:trHeight w:val="210"/>
        </w:trPr>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Advance to suppliers</w:t>
            </w:r>
          </w:p>
        </w:tc>
        <w:tc>
          <w:tcPr>
            <w:tcW w:w="210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2,375,797</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3,938,881</w:t>
            </w:r>
          </w:p>
        </w:tc>
        <w:tc>
          <w:tcPr>
            <w:tcW w:w="100" w:type="dxa"/>
            <w:vAlign w:val="bottom"/>
            <w:shd w:val="clear" w:color="auto" w:fill="EEEEEE"/>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Prepaid income taxes</w:t>
            </w:r>
          </w:p>
        </w:tc>
        <w:tc>
          <w:tcPr>
            <w:tcW w:w="2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151,506</w:t>
            </w: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375,087</w:t>
            </w:r>
          </w:p>
        </w:tc>
      </w:tr>
      <w:tr>
        <w:trPr>
          <w:trHeight w:val="229"/>
        </w:trPr>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Prepaid expenses and other receivables</w:t>
            </w:r>
          </w:p>
        </w:tc>
        <w:tc>
          <w:tcPr>
            <w:tcW w:w="21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1,187,170</w:t>
            </w: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1,130,495</w:t>
            </w:r>
          </w:p>
        </w:tc>
      </w:tr>
      <w:tr>
        <w:trPr>
          <w:trHeight w:val="210"/>
        </w:trPr>
        <w:tc>
          <w:tcPr>
            <w:tcW w:w="5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68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2300" w:type="dxa"/>
            <w:vAlign w:val="bottom"/>
            <w:gridSpan w:val="2"/>
            <w:shd w:val="clear" w:color="auto" w:fill="EEEEEE"/>
          </w:tcPr>
          <w:p>
            <w:pPr>
              <w:jc w:val="right"/>
              <w:ind w:right="47"/>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3,714,473</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5,444,463</w:t>
            </w:r>
          </w:p>
        </w:tc>
      </w:tr>
      <w:tr>
        <w:trPr>
          <w:trHeight w:val="20"/>
        </w:trPr>
        <w:tc>
          <w:tcPr>
            <w:tcW w:w="5680" w:type="dxa"/>
            <w:vAlign w:val="bottom"/>
            <w:tcBorders>
              <w:top w:val="single" w:sz="8" w:color="EEEEEE"/>
            </w:tcBorders>
          </w:tcPr>
          <w:p>
            <w:pPr>
              <w:spacing w:after="0" w:line="20" w:lineRule="exact"/>
              <w:rPr>
                <w:sz w:val="1"/>
                <w:szCs w:val="1"/>
                <w:color w:val="auto"/>
              </w:rPr>
            </w:pPr>
          </w:p>
        </w:tc>
        <w:tc>
          <w:tcPr>
            <w:tcW w:w="210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receivables consisted of delivery fees of $118,170 and $56,884 from two unrelated parties for their use of the Company’s courier accounts at December 31, 2022 and June 30, 2022. As of the date of this report, the amount had been fully collected.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Non-current prepayments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Non-current prepayments included $650,415 for product sourcing, marketing research and promotion, and other management advisory and consulting services to companies owned by an employee and minority shareholder and by relatives of a minority shareholder of the Company. The terms of these services are from two years to five years. In addition, there was a $59,375 down payment on a four-year car lease. As of December 31, 2022 and June 30, 2022, total non-current prepayments were $709,790 and $925,624, respectively. For the three and six months ended December 31, 2022, the Company recorded $107,917 and $215,834 amortization of prepayments in the operating expenses, respectively. For the three and six months ended December 31, 2021, the Company recorded $107,917 and $215,834 amortization of prepayments in the operating expenses, respectively.</w:t>
      </w:r>
    </w:p>
    <w:p>
      <w:pPr>
        <w:sectPr>
          <w:pgSz w:w="11900" w:h="16838" w:orient="portrait"/>
          <w:cols w:equalWidth="0" w:num="1">
            <w:col w:w="11240"/>
          </w:cols>
          <w:pgMar w:left="320" w:top="688" w:right="33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2022, intangible assets, net,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Covenant not to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Supplier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Software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Accumulated amortization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December 31</w:t>
      </w:r>
      <w:r>
        <w:rPr>
          <w:rFonts w:ascii="Arial" w:cs="Arial" w:eastAsia="Arial" w:hAnsi="Arial"/>
          <w:sz w:val="18"/>
          <w:szCs w:val="18"/>
          <w:color w:val="auto"/>
        </w:rPr>
        <w:t>,</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2022</w:t>
      </w:r>
    </w:p>
    <w:p>
      <w:pPr>
        <w:spacing w:after="0" w:line="9" w:lineRule="exact"/>
        <w:rPr>
          <w:sz w:val="20"/>
          <w:szCs w:val="20"/>
          <w:color w:val="auto"/>
        </w:rPr>
      </w:pPr>
    </w:p>
    <w:p>
      <w:pPr>
        <w:ind w:left="860" w:hanging="854"/>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3,459,120</w:t>
      </w:r>
    </w:p>
    <w:p>
      <w:pPr>
        <w:spacing w:after="0" w:line="34" w:lineRule="exact"/>
        <w:rPr>
          <w:rFonts w:ascii="Arial" w:cs="Arial" w:eastAsia="Arial" w:hAnsi="Arial"/>
          <w:sz w:val="17"/>
          <w:szCs w:val="17"/>
          <w:color w:val="auto"/>
        </w:rPr>
      </w:pPr>
    </w:p>
    <w:p>
      <w:pPr>
        <w:ind w:left="860"/>
        <w:spacing w:after="0"/>
        <w:rPr>
          <w:rFonts w:ascii="Arial" w:cs="Arial" w:eastAsia="Arial" w:hAnsi="Arial"/>
          <w:sz w:val="17"/>
          <w:szCs w:val="17"/>
          <w:color w:val="auto"/>
        </w:rPr>
      </w:pPr>
      <w:r>
        <w:rPr>
          <w:rFonts w:ascii="Arial" w:cs="Arial" w:eastAsia="Arial" w:hAnsi="Arial"/>
          <w:sz w:val="17"/>
          <w:szCs w:val="17"/>
          <w:color w:val="auto"/>
        </w:rPr>
        <w:t>1,179,246</w:t>
      </w:r>
    </w:p>
    <w:p>
      <w:pPr>
        <w:spacing w:after="0" w:line="20"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534,591</w:t>
      </w:r>
    </w:p>
    <w:p>
      <w:pPr>
        <w:spacing w:after="0" w:line="9"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6"/>
          <w:szCs w:val="16"/>
          <w:color w:val="auto"/>
        </w:rPr>
        <w:t>(568,201)</w:t>
      </w:r>
    </w:p>
    <w:p>
      <w:pPr>
        <w:spacing w:after="0" w:line="58" w:lineRule="exact"/>
        <w:rPr>
          <w:sz w:val="20"/>
          <w:szCs w:val="20"/>
          <w:color w:val="auto"/>
        </w:rPr>
      </w:pPr>
    </w:p>
    <w:p>
      <w:pPr>
        <w:ind w:left="860" w:hanging="854"/>
        <w:spacing w:after="0"/>
        <w:tabs>
          <w:tab w:leader="none" w:pos="860" w:val="left"/>
        </w:tabs>
        <w:numPr>
          <w:ilvl w:val="0"/>
          <w:numId w:val="5"/>
        </w:numPr>
        <w:rPr>
          <w:rFonts w:ascii="Arial" w:cs="Arial" w:eastAsia="Arial" w:hAnsi="Arial"/>
          <w:sz w:val="17"/>
          <w:szCs w:val="17"/>
          <w:color w:val="auto"/>
        </w:rPr>
      </w:pPr>
      <w:r>
        <w:rPr>
          <w:rFonts w:ascii="Arial" w:cs="Arial" w:eastAsia="Arial" w:hAnsi="Arial"/>
          <w:sz w:val="17"/>
          <w:szCs w:val="17"/>
          <w:color w:val="auto"/>
        </w:rPr>
        <w:t>4,604,756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wp:posOffset>
            </wp:positionV>
            <wp:extent cx="9944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40" w:space="720"/>
            <w:col w:w="1680"/>
          </w:cols>
          <w:pgMar w:left="320" w:top="688" w:right="33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23" w:name="page24"/>
    <w:bookmarkEnd w:id="23"/>
    <w:p>
      <w:pPr>
        <w:jc w:val="both"/>
        <w:spacing w:after="0" w:line="257" w:lineRule="auto"/>
        <w:rPr>
          <w:sz w:val="20"/>
          <w:szCs w:val="20"/>
          <w:color w:val="auto"/>
        </w:rPr>
      </w:pPr>
      <w:r>
        <w:rPr>
          <w:rFonts w:ascii="Arial" w:cs="Arial" w:eastAsia="Arial" w:hAnsi="Arial"/>
          <w:sz w:val="18"/>
          <w:szCs w:val="18"/>
          <w:color w:val="auto"/>
        </w:rPr>
        <w:t>The intangible assets were acquired on February 15, 2022 through the acquisition of Anivia. The weighted average remaining life for finite-lived intangible assets at December 31, 2022 was approximately 7.82 years, and the amortization expense for the three and six months ended December 31, 2022 was $162,343 and $324,686, respectively. At December 31, 2022, finite-lived intangible assets are expected to be amortized over their estimated useful lives, which ranges from a period of five to 10 years, and the estimated remaining amortization expense for each of the five succeeding years thereafter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Year Ending June 30,</w:t>
            </w:r>
          </w:p>
        </w:tc>
        <w:tc>
          <w:tcPr>
            <w:tcW w:w="2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10"/>
        </w:trPr>
        <w:tc>
          <w:tcPr>
            <w:tcW w:w="572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2023</w:t>
            </w:r>
          </w:p>
        </w:tc>
        <w:tc>
          <w:tcPr>
            <w:tcW w:w="206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324,685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2024</w:t>
            </w: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649,371</w:t>
            </w:r>
          </w:p>
        </w:tc>
        <w:tc>
          <w:tcPr>
            <w:tcW w:w="0" w:type="dxa"/>
            <w:vAlign w:val="bottom"/>
          </w:tcPr>
          <w:p>
            <w:pPr>
              <w:spacing w:after="0"/>
              <w:rPr>
                <w:sz w:val="1"/>
                <w:szCs w:val="1"/>
                <w:color w:val="auto"/>
              </w:rPr>
            </w:pPr>
          </w:p>
        </w:tc>
      </w:tr>
      <w:tr>
        <w:trPr>
          <w:trHeight w:val="216"/>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2025</w:t>
            </w:r>
          </w:p>
        </w:tc>
        <w:tc>
          <w:tcPr>
            <w:tcW w:w="20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649,371</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2026</w:t>
            </w: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649,371</w:t>
            </w:r>
          </w:p>
        </w:tc>
        <w:tc>
          <w:tcPr>
            <w:tcW w:w="0" w:type="dxa"/>
            <w:vAlign w:val="bottom"/>
          </w:tcPr>
          <w:p>
            <w:pPr>
              <w:spacing w:after="0"/>
              <w:rPr>
                <w:sz w:val="1"/>
                <w:szCs w:val="1"/>
                <w:color w:val="auto"/>
              </w:rPr>
            </w:pPr>
          </w:p>
        </w:tc>
      </w:tr>
      <w:tr>
        <w:trPr>
          <w:trHeight w:val="216"/>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2027</w:t>
            </w:r>
          </w:p>
        </w:tc>
        <w:tc>
          <w:tcPr>
            <w:tcW w:w="20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649,371</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Thereafter</w:t>
            </w: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1,682,587</w:t>
            </w:r>
          </w:p>
        </w:tc>
        <w:tc>
          <w:tcPr>
            <w:tcW w:w="0" w:type="dxa"/>
            <w:vAlign w:val="bottom"/>
          </w:tcPr>
          <w:p>
            <w:pPr>
              <w:spacing w:after="0"/>
              <w:rPr>
                <w:sz w:val="1"/>
                <w:szCs w:val="1"/>
                <w:color w:val="auto"/>
              </w:rPr>
            </w:pPr>
          </w:p>
        </w:tc>
      </w:tr>
      <w:tr>
        <w:trPr>
          <w:trHeight w:val="209"/>
        </w:trPr>
        <w:tc>
          <w:tcPr>
            <w:tcW w:w="57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Intangible assets, net</w:t>
            </w:r>
          </w:p>
        </w:tc>
        <w:tc>
          <w:tcPr>
            <w:tcW w:w="2060" w:type="dxa"/>
            <w:vAlign w:val="bottom"/>
            <w:tcBorders>
              <w:top w:val="single" w:sz="8" w:color="EEEEEE"/>
              <w:bottom w:val="single" w:sz="8" w:color="EEEEEE"/>
            </w:tcBorders>
            <w:shd w:val="clear" w:color="auto" w:fill="EEEEEE"/>
          </w:tcPr>
          <w:p>
            <w:pPr>
              <w:spacing w:after="0"/>
              <w:rPr>
                <w:sz w:val="18"/>
                <w:szCs w:val="18"/>
                <w:color w:val="auto"/>
              </w:rPr>
            </w:pPr>
          </w:p>
        </w:tc>
        <w:tc>
          <w:tcPr>
            <w:tcW w:w="200" w:type="dxa"/>
            <w:vAlign w:val="bottom"/>
            <w:tcBorders>
              <w:top w:val="single" w:sz="8" w:color="EEEEEE"/>
              <w:bottom w:val="single" w:sz="8" w:color="EEEEEE"/>
            </w:tcBorders>
            <w:shd w:val="clear" w:color="auto" w:fill="EEEEEE"/>
          </w:tcPr>
          <w:p>
            <w:pPr>
              <w:spacing w:after="0"/>
              <w:rPr>
                <w:sz w:val="18"/>
                <w:szCs w:val="18"/>
                <w:color w:val="auto"/>
              </w:rPr>
            </w:pPr>
          </w:p>
        </w:tc>
        <w:tc>
          <w:tcPr>
            <w:tcW w:w="136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4,604,756</w:t>
            </w: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b w:val="1"/>
                <w:bCs w:val="1"/>
                <w:color w:val="auto"/>
              </w:rPr>
              <w:t>Note 11 – Other payables and accrued liabilities</w:t>
            </w:r>
          </w:p>
        </w:tc>
        <w:tc>
          <w:tcPr>
            <w:tcW w:w="2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2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80" w:type="dxa"/>
            <w:vAlign w:val="bottom"/>
            <w:gridSpan w:val="3"/>
          </w:tcPr>
          <w:p>
            <w:pPr>
              <w:spacing w:after="0"/>
              <w:rPr>
                <w:sz w:val="20"/>
                <w:szCs w:val="20"/>
                <w:color w:val="auto"/>
              </w:rPr>
            </w:pPr>
            <w:r>
              <w:rPr>
                <w:rFonts w:ascii="Arial" w:cs="Arial" w:eastAsia="Arial" w:hAnsi="Arial"/>
                <w:sz w:val="18"/>
                <w:szCs w:val="18"/>
                <w:color w:val="auto"/>
                <w:w w:val="91"/>
              </w:rPr>
              <w:t>As of December 31, 2022 and June 30, 2022, other payables and accrued liabilities consisted of the following:</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8"/>
              </w:rPr>
              <w:t>December 31,</w:t>
            </w:r>
          </w:p>
        </w:tc>
        <w:tc>
          <w:tcPr>
            <w:tcW w:w="280" w:type="dxa"/>
            <w:vAlign w:val="bottom"/>
          </w:tcPr>
          <w:p>
            <w:pPr>
              <w:spacing w:after="0"/>
              <w:rPr>
                <w:sz w:val="24"/>
                <w:szCs w:val="2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4"/>
        </w:trPr>
        <w:tc>
          <w:tcPr>
            <w:tcW w:w="5720" w:type="dxa"/>
            <w:vAlign w:val="bottom"/>
            <w:tcBorders>
              <w:bottom w:val="single" w:sz="8" w:color="EEEEEE"/>
            </w:tcBorders>
          </w:tcPr>
          <w:p>
            <w:pPr>
              <w:spacing w:after="0"/>
              <w:rPr>
                <w:sz w:val="20"/>
                <w:szCs w:val="20"/>
                <w:color w:val="auto"/>
              </w:rPr>
            </w:pPr>
          </w:p>
        </w:tc>
        <w:tc>
          <w:tcPr>
            <w:tcW w:w="2060" w:type="dxa"/>
            <w:vAlign w:val="bottom"/>
            <w:tcBorders>
              <w:bottom w:val="single" w:sz="8" w:color="EEEEE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EEEEEE"/>
            </w:tcBorders>
          </w:tcPr>
          <w:p>
            <w:pPr>
              <w:spacing w:after="0"/>
              <w:rPr>
                <w:sz w:val="20"/>
                <w:szCs w:val="20"/>
                <w:color w:val="auto"/>
              </w:rPr>
            </w:pPr>
          </w:p>
        </w:tc>
        <w:tc>
          <w:tcPr>
            <w:tcW w:w="1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Accrued payables for inventory in transit</w:t>
            </w:r>
          </w:p>
        </w:tc>
        <w:tc>
          <w:tcPr>
            <w:tcW w:w="2060" w:type="dxa"/>
            <w:vAlign w:val="bottom"/>
            <w:shd w:val="clear" w:color="auto" w:fill="EEEEEE"/>
          </w:tcPr>
          <w:p>
            <w:pPr>
              <w:spacing w:after="0"/>
              <w:rPr>
                <w:sz w:val="18"/>
                <w:szCs w:val="18"/>
                <w:color w:val="auto"/>
              </w:rPr>
            </w:pP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691,905</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4,217,941</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Accrued Amazon fees</w:t>
            </w: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440,124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640,467</w:t>
            </w:r>
          </w:p>
        </w:tc>
        <w:tc>
          <w:tcPr>
            <w:tcW w:w="0" w:type="dxa"/>
            <w:vAlign w:val="bottom"/>
          </w:tcPr>
          <w:p>
            <w:pPr>
              <w:spacing w:after="0"/>
              <w:rPr>
                <w:sz w:val="1"/>
                <w:szCs w:val="1"/>
                <w:color w:val="auto"/>
              </w:rPr>
            </w:pPr>
          </w:p>
        </w:tc>
      </w:tr>
      <w:tr>
        <w:trPr>
          <w:trHeight w:val="216"/>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Sales taxes payable</w:t>
            </w:r>
          </w:p>
        </w:tc>
        <w:tc>
          <w:tcPr>
            <w:tcW w:w="20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578,956</w:t>
            </w:r>
          </w:p>
        </w:tc>
        <w:tc>
          <w:tcPr>
            <w:tcW w:w="1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307,152</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Payroll liabilities</w:t>
            </w:r>
          </w:p>
        </w:tc>
        <w:tc>
          <w:tcPr>
            <w:tcW w:w="2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212,040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239,248</w:t>
            </w:r>
          </w:p>
        </w:tc>
        <w:tc>
          <w:tcPr>
            <w:tcW w:w="0" w:type="dxa"/>
            <w:vAlign w:val="bottom"/>
          </w:tcPr>
          <w:p>
            <w:pPr>
              <w:spacing w:after="0"/>
              <w:rPr>
                <w:sz w:val="1"/>
                <w:szCs w:val="1"/>
                <w:color w:val="auto"/>
              </w:rPr>
            </w:pPr>
          </w:p>
        </w:tc>
      </w:tr>
      <w:tr>
        <w:trPr>
          <w:trHeight w:val="229"/>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Other accrued liabilities and payables</w:t>
            </w:r>
          </w:p>
        </w:tc>
        <w:tc>
          <w:tcPr>
            <w:tcW w:w="20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147,542</w:t>
            </w:r>
          </w:p>
        </w:tc>
        <w:tc>
          <w:tcPr>
            <w:tcW w:w="1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510,412</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2260" w:type="dxa"/>
            <w:vAlign w:val="bottom"/>
            <w:gridSpan w:val="2"/>
            <w:shd w:val="clear" w:color="auto" w:fill="EEEEEE"/>
          </w:tcPr>
          <w:p>
            <w:pPr>
              <w:jc w:val="right"/>
              <w:ind w:right="47"/>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2,070,567</w:t>
            </w:r>
          </w:p>
        </w:tc>
        <w:tc>
          <w:tcPr>
            <w:tcW w:w="120" w:type="dxa"/>
            <w:vAlign w:val="bottom"/>
            <w:shd w:val="clear" w:color="auto" w:fill="EEEEEE"/>
          </w:tcPr>
          <w:p>
            <w:pPr>
              <w:spacing w:after="0"/>
              <w:rPr>
                <w:sz w:val="21"/>
                <w:szCs w:val="21"/>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5,915,220</w:t>
            </w:r>
          </w:p>
        </w:tc>
        <w:tc>
          <w:tcPr>
            <w:tcW w:w="0" w:type="dxa"/>
            <w:vAlign w:val="bottom"/>
          </w:tcPr>
          <w:p>
            <w:pPr>
              <w:spacing w:after="0"/>
              <w:rPr>
                <w:sz w:val="1"/>
                <w:szCs w:val="1"/>
                <w:color w:val="auto"/>
              </w:rPr>
            </w:pPr>
          </w:p>
        </w:tc>
      </w:tr>
      <w:tr>
        <w:trPr>
          <w:trHeight w:val="20"/>
        </w:trPr>
        <w:tc>
          <w:tcPr>
            <w:tcW w:w="5720" w:type="dxa"/>
            <w:vAlign w:val="bottom"/>
            <w:tcBorders>
              <w:top w:val="single" w:sz="8" w:color="EEEEEE"/>
            </w:tcBorders>
          </w:tcPr>
          <w:p>
            <w:pPr>
              <w:spacing w:after="0" w:line="20" w:lineRule="exact"/>
              <w:rPr>
                <w:sz w:val="1"/>
                <w:szCs w:val="1"/>
                <w:color w:val="auto"/>
              </w:rPr>
            </w:pPr>
          </w:p>
        </w:tc>
        <w:tc>
          <w:tcPr>
            <w:tcW w:w="20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controlled VIE, DHS, facilitates the Company in the process of inventory procurement. Through this process, the Company purchased a total of $31,385 in inventories from a supplier which had a payment term of 90 days with a 2% premium on the purchase price. As of December 31, 2022, the outstanding balance was paid off.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Loans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3, 2019, the Company entered into an agreement with WFC Fund LLC (“WFC”) for a revolving loan of up to $2,000,000. The revolving loan bore interest equal to the prime rate plus 4.25% per annum on the outstanding amount. On May 26, 2020, the Loan and Security Agreement was amended and restated as a Receivable Purchase Agreement (the “Original RPA”). On November 16, 2020, the Original RPA was further amended and restated (the “Restated RPA”) to increase the credit limit of the revolving credit facility from $2,000,000 to $3,000,000. The Restated RPA bore a discount rate of 3.055555%, subject to a rebate of 0.0277% per day. This revolving credit facility was secured by all of the Company’s assets and guaranteed by Chenlong Tan, the CEO and one of the Company’s major shareholders and founders. Pursuant to the terms of the agreement, all purchases of accounts receivable were without recourse to the Company, and WFC assumed the risk of nonpayment of the accounts receivable due to a customer’s financial inability to pay the accounts receivable or the customer’s insolvency but not the risk of non-payment of the accounts receivable for any other reason. The Company was obligated to collect the accounts receivable and to repurchase or pay back the amount drawn down if the accounts receivable were not collected.</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During the three months ended September 30, 2021, the Company terminated the Restated RPA and paid off the balance due to WFC.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and June 30, 2022, the outstanding balance due under the RPA was $0 and $0,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SBA loan payable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April 18, 2020, the Company entered into an agreement with the U.S. Small Business Administration (“SBA”) for a loan of $500,000 under Section 7(b) of the Small Business Act pursuant to which we issued a promissory note (the “SBA Note”) to the SBA. The SBA Note bears interest at the rate of 3.75% per annum and matures 30 years from the date of the SBA Note. Monthly installment payments, including principal and interest, will begin twelve months from the date of the SBA Note. During the quarter ended June 30, 2022, the Company paid off the SBA Note, including accrued interest expense of $39,237. As of December 31, 2022 and June 30, 2022, the outstanding balance of the SBA Note was $0 and $0,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Asset-based revolving loan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12, 2021, the Company entered into a Credit Agreement with JPMorgan Chase Bank, N.A., as administrative agent, issuing bank and swingline lender, for an asset-based revolving loan (“ABL”) of up to $25 million with key terms listed as follows:</w:t>
      </w:r>
    </w:p>
    <w:p>
      <w:pPr>
        <w:spacing w:after="0" w:line="170" w:lineRule="exact"/>
        <w:rPr>
          <w:sz w:val="20"/>
          <w:szCs w:val="20"/>
          <w:color w:val="auto"/>
        </w:rPr>
      </w:pPr>
    </w:p>
    <w:p>
      <w:pPr>
        <w:ind w:left="1260" w:hanging="240"/>
        <w:spacing w:after="0"/>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Borrowing base equal to the sum of</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ØUp to 90% of eligible credit card receivables</w:t>
      </w:r>
    </w:p>
    <w:p>
      <w:pPr>
        <w:spacing w:after="0" w:line="23"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ØUp to 85% of eligible trade accounts receivable</w:t>
      </w:r>
    </w:p>
    <w:p>
      <w:pPr>
        <w:spacing w:after="0" w:line="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ØUp to the lesser of (i) 65% of cost of eligible inventory or (ii) 85% of net orderly liquidation value of eligible inventory</w:t>
      </w:r>
    </w:p>
    <w:p>
      <w:pPr>
        <w:spacing w:after="0" w:line="211" w:lineRule="exact"/>
        <w:rPr>
          <w:sz w:val="20"/>
          <w:szCs w:val="20"/>
          <w:color w:val="auto"/>
        </w:rPr>
      </w:pPr>
    </w:p>
    <w:p>
      <w:pPr>
        <w:ind w:left="1260" w:hanging="240"/>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rates of between LIBOR plus 2% and LIBOR plus 2.25% depending on utilization</w:t>
      </w:r>
    </w:p>
    <w:p>
      <w:pPr>
        <w:spacing w:after="0" w:line="23" w:lineRule="exact"/>
        <w:rPr>
          <w:rFonts w:ascii="Arial" w:cs="Arial" w:eastAsia="Arial" w:hAnsi="Arial"/>
          <w:sz w:val="18"/>
          <w:szCs w:val="18"/>
          <w:color w:val="auto"/>
        </w:rPr>
      </w:pPr>
    </w:p>
    <w:p>
      <w:pPr>
        <w:ind w:left="1260" w:hanging="240"/>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Undrawn fee of between 0.25% and 0.375% depending on utilization</w:t>
      </w:r>
    </w:p>
    <w:p>
      <w:pPr>
        <w:spacing w:after="0" w:line="9" w:lineRule="exact"/>
        <w:rPr>
          <w:rFonts w:ascii="Arial" w:cs="Arial" w:eastAsia="Arial" w:hAnsi="Arial"/>
          <w:sz w:val="18"/>
          <w:szCs w:val="18"/>
          <w:color w:val="auto"/>
        </w:rPr>
      </w:pPr>
    </w:p>
    <w:p>
      <w:pPr>
        <w:ind w:left="1260" w:hanging="240"/>
        <w:spacing w:after="0"/>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Maturity Date of November 12, 2024</w:t>
      </w:r>
    </w:p>
    <w:p>
      <w:pPr>
        <w:spacing w:after="0" w:line="21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the ABL includes an accordion feature that allows the Company to borrow up to an additional $25.0 million. To secure complete payment and performance of the secured obligations, the Company granted a security interest in all of its right, title and interest in, to and under all of the Company’s assets as collateral to the ABL. Upon closing of the ABL, the Company paid $796,035 in financing fees including 2% of $25.0 million or $500,000 paid to its financial advisor. The financing fees are recorded as debt discount and are to be amortized over three years as financing expenses, the term of the ABL.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interest expense recorded for the three and six months ended December 31, 2022 and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0" w:type="dxa"/>
            <w:vAlign w:val="bottom"/>
            <w:gridSpan w:val="6"/>
          </w:tcPr>
          <w:p>
            <w:pPr>
              <w:jc w:val="right"/>
              <w:ind w:right="620"/>
              <w:spacing w:after="0"/>
              <w:rPr>
                <w:sz w:val="20"/>
                <w:szCs w:val="20"/>
                <w:color w:val="auto"/>
              </w:rPr>
            </w:pPr>
            <w:r>
              <w:rPr>
                <w:rFonts w:ascii="Arial" w:cs="Arial" w:eastAsia="Arial" w:hAnsi="Arial"/>
                <w:sz w:val="18"/>
                <w:szCs w:val="18"/>
                <w:color w:val="auto"/>
              </w:rPr>
              <w:t>Three Months Ended December 31,</w:t>
            </w:r>
          </w:p>
        </w:tc>
        <w:tc>
          <w:tcPr>
            <w:tcW w:w="280" w:type="dxa"/>
            <w:vAlign w:val="bottom"/>
          </w:tcPr>
          <w:p>
            <w:pPr>
              <w:spacing w:after="0"/>
              <w:rPr>
                <w:sz w:val="20"/>
                <w:szCs w:val="20"/>
                <w:color w:val="auto"/>
              </w:rPr>
            </w:pPr>
          </w:p>
        </w:tc>
        <w:tc>
          <w:tcPr>
            <w:tcW w:w="3180" w:type="dxa"/>
            <w:vAlign w:val="bottom"/>
            <w:gridSpan w:val="5"/>
          </w:tcPr>
          <w:p>
            <w:pPr>
              <w:ind w:left="200"/>
              <w:spacing w:after="0"/>
              <w:rPr>
                <w:sz w:val="20"/>
                <w:szCs w:val="20"/>
                <w:color w:val="auto"/>
              </w:rPr>
            </w:pPr>
            <w:r>
              <w:rPr>
                <w:rFonts w:ascii="Arial" w:cs="Arial" w:eastAsia="Arial" w:hAnsi="Arial"/>
                <w:sz w:val="18"/>
                <w:szCs w:val="18"/>
                <w:color w:val="auto"/>
              </w:rPr>
              <w:t>Six Months Ended December 31,</w:t>
            </w:r>
          </w:p>
        </w:tc>
      </w:tr>
      <w:tr>
        <w:trPr>
          <w:trHeight w:val="223"/>
        </w:trPr>
        <w:tc>
          <w:tcPr>
            <w:tcW w:w="3180" w:type="dxa"/>
            <w:vAlign w:val="bottom"/>
            <w:tcBorders>
              <w:bottom w:val="single" w:sz="8" w:color="EEEEEE"/>
            </w:tcBorders>
          </w:tcPr>
          <w:p>
            <w:pPr>
              <w:spacing w:after="0"/>
              <w:rPr>
                <w:sz w:val="19"/>
                <w:szCs w:val="19"/>
                <w:color w:val="auto"/>
              </w:rPr>
            </w:pPr>
          </w:p>
        </w:tc>
        <w:tc>
          <w:tcPr>
            <w:tcW w:w="1000" w:type="dxa"/>
            <w:vAlign w:val="bottom"/>
            <w:tcBorders>
              <w:bottom w:val="single" w:sz="8" w:color="EEEEEE"/>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6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EEEEE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EEEEEE"/>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bottom w:val="single" w:sz="8" w:color="EEEEEE"/>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EEEEEE"/>
            </w:tcBorders>
          </w:tcPr>
          <w:p>
            <w:pPr>
              <w:spacing w:after="0"/>
              <w:rPr>
                <w:sz w:val="19"/>
                <w:szCs w:val="19"/>
                <w:color w:val="auto"/>
              </w:rPr>
            </w:pPr>
          </w:p>
        </w:tc>
      </w:tr>
      <w:tr>
        <w:trPr>
          <w:trHeight w:val="210"/>
        </w:trPr>
        <w:tc>
          <w:tcPr>
            <w:tcW w:w="3180" w:type="dxa"/>
            <w:vAlign w:val="bottom"/>
            <w:shd w:val="clear" w:color="auto" w:fill="EEEEEE"/>
          </w:tcPr>
          <w:p>
            <w:pPr>
              <w:spacing w:after="0"/>
              <w:rPr>
                <w:sz w:val="20"/>
                <w:szCs w:val="20"/>
                <w:color w:val="auto"/>
              </w:rPr>
            </w:pPr>
            <w:r>
              <w:rPr>
                <w:rFonts w:ascii="Arial" w:cs="Arial" w:eastAsia="Arial" w:hAnsi="Arial"/>
                <w:sz w:val="18"/>
                <w:szCs w:val="18"/>
                <w:color w:val="auto"/>
              </w:rPr>
              <w:t>Accrued interest</w:t>
            </w:r>
          </w:p>
        </w:tc>
        <w:tc>
          <w:tcPr>
            <w:tcW w:w="100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838"/>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9"/>
              </w:rPr>
              <w:t>207,292</w:t>
            </w:r>
          </w:p>
        </w:tc>
        <w:tc>
          <w:tcPr>
            <w:tcW w:w="220" w:type="dxa"/>
            <w:vAlign w:val="bottom"/>
            <w:shd w:val="clear" w:color="auto" w:fill="EEEEEE"/>
          </w:tcPr>
          <w:p>
            <w:pPr>
              <w:spacing w:after="0"/>
              <w:rPr>
                <w:sz w:val="18"/>
                <w:szCs w:val="18"/>
                <w:color w:val="auto"/>
              </w:rPr>
            </w:pPr>
          </w:p>
        </w:tc>
        <w:tc>
          <w:tcPr>
            <w:tcW w:w="3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30,909</w:t>
            </w: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EEEEEE"/>
          </w:tcPr>
          <w:p>
            <w:pPr>
              <w:ind w:left="700"/>
              <w:spacing w:after="0"/>
              <w:rPr>
                <w:sz w:val="20"/>
                <w:szCs w:val="20"/>
                <w:color w:val="auto"/>
              </w:rPr>
            </w:pPr>
            <w:r>
              <w:rPr>
                <w:rFonts w:ascii="Arial" w:cs="Arial" w:eastAsia="Arial" w:hAnsi="Arial"/>
                <w:sz w:val="18"/>
                <w:szCs w:val="18"/>
                <w:color w:val="auto"/>
                <w:w w:val="86"/>
              </w:rPr>
              <w:t>363,547</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30,909</w:t>
            </w:r>
          </w:p>
        </w:tc>
        <w:tc>
          <w:tcPr>
            <w:tcW w:w="100" w:type="dxa"/>
            <w:vAlign w:val="bottom"/>
            <w:shd w:val="clear" w:color="auto" w:fill="EEEEEE"/>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Credit utilization fees</w:t>
            </w: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6,824</w:t>
            </w:r>
          </w:p>
        </w:tc>
        <w:tc>
          <w:tcPr>
            <w:tcW w:w="3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500" w:type="dxa"/>
            <w:vAlign w:val="bottom"/>
            <w:gridSpan w:val="2"/>
          </w:tcPr>
          <w:p>
            <w:pPr>
              <w:ind w:left="800"/>
              <w:spacing w:after="0"/>
              <w:rPr>
                <w:sz w:val="20"/>
                <w:szCs w:val="20"/>
                <w:color w:val="auto"/>
              </w:rPr>
            </w:pPr>
            <w:r>
              <w:rPr>
                <w:rFonts w:ascii="Arial" w:cs="Arial" w:eastAsia="Arial" w:hAnsi="Arial"/>
                <w:sz w:val="18"/>
                <w:szCs w:val="18"/>
                <w:color w:val="auto"/>
              </w:rPr>
              <w:t>13,586</w:t>
            </w:r>
          </w:p>
        </w:tc>
        <w:tc>
          <w:tcPr>
            <w:tcW w:w="3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18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debt discount</w:t>
            </w:r>
          </w:p>
        </w:tc>
        <w:tc>
          <w:tcPr>
            <w:tcW w:w="1000" w:type="dxa"/>
            <w:vAlign w:val="bottom"/>
            <w:shd w:val="clear" w:color="auto" w:fill="EEEEEE"/>
          </w:tcPr>
          <w:p>
            <w:pPr>
              <w:spacing w:after="0"/>
              <w:rPr>
                <w:sz w:val="19"/>
                <w:szCs w:val="19"/>
                <w:color w:val="auto"/>
              </w:rPr>
            </w:pPr>
          </w:p>
        </w:tc>
        <w:tc>
          <w:tcPr>
            <w:tcW w:w="1000" w:type="dxa"/>
            <w:vAlign w:val="bottom"/>
            <w:shd w:val="clear" w:color="auto" w:fill="EEEEEE"/>
          </w:tcPr>
          <w:p>
            <w:pPr>
              <w:spacing w:after="0"/>
              <w:rPr>
                <w:sz w:val="19"/>
                <w:szCs w:val="19"/>
                <w:color w:val="auto"/>
              </w:rPr>
            </w:pPr>
          </w:p>
        </w:tc>
        <w:tc>
          <w:tcPr>
            <w:tcW w:w="8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66,304</w:t>
            </w:r>
          </w:p>
        </w:tc>
        <w:tc>
          <w:tcPr>
            <w:tcW w:w="3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44,203</w:t>
            </w:r>
          </w:p>
        </w:tc>
        <w:tc>
          <w:tcPr>
            <w:tcW w:w="28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ind w:left="700"/>
              <w:spacing w:after="0"/>
              <w:rPr>
                <w:sz w:val="20"/>
                <w:szCs w:val="20"/>
                <w:color w:val="auto"/>
              </w:rPr>
            </w:pPr>
            <w:r>
              <w:rPr>
                <w:rFonts w:ascii="Arial" w:cs="Arial" w:eastAsia="Arial" w:hAnsi="Arial"/>
                <w:sz w:val="18"/>
                <w:szCs w:val="18"/>
                <w:color w:val="auto"/>
              </w:rPr>
              <w:t>132,610</w:t>
            </w:r>
          </w:p>
        </w:tc>
        <w:tc>
          <w:tcPr>
            <w:tcW w:w="36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44,203</w:t>
            </w:r>
          </w:p>
        </w:tc>
      </w:tr>
      <w:tr>
        <w:trPr>
          <w:trHeight w:val="223"/>
        </w:trPr>
        <w:tc>
          <w:tcPr>
            <w:tcW w:w="3180" w:type="dxa"/>
            <w:vAlign w:val="bottom"/>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3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280,420</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6"/>
              </w:rPr>
              <w:t>509,743</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5"/>
        </w:trPr>
        <w:tc>
          <w:tcPr>
            <w:tcW w:w="3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As of December 31, 2022, the outstanding amount of the revolving loan payable, net of debt discount and including interest payable of $377,133, was $9,334,819. As of June 30, 2022, the outstanding amount of the long-term revolving loan payable, net of debt discount, was $12,314,627, including interest payable of $182,543. During the period from January 1, 2023 to the date of this report, the Company made a total payment of $2,400,000 to pay down the outstanding balance of the long-term revolving loan payable.</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7, 2022, the Company entered into a second amendment to the credit agreement and consent (the “Second Amendment to the Credit Agreement”), originally dated November 12, 2021, as amended, with JPMorgan Chase Bank, N.A., as administrative agent and lender (“JPMorgan”). The Company entered into the Second Amendment to the Credit Agreement primarily for the purpose of changing the interest rate repayment calculations from LIBOR to the Secured Overnight Financing Rate, or SOFR, which adjustment had originally been anticipated under the terms of the original Credit Agreement. In addition, two of the negative covenants set forth in the original credit agreement were amended in order to (i) adjust the definition of “Covenant Testing Trigger Period” to increase the required cash availability from $3,000,000 to $4,000,000, or 10% of the aggregate revolving commitment for the preceding 30 days, and (ii) require that the Company will not and will not permit any of its subsidiaries, after reasonable due diligence and due inquiry, to knowingly sell their products, inventory or services directly to any commercial businesses that grow or cultivate cannabis; it being acknowledged, however, that the Company does not generally conduct due diligence on its individual retail customers.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November 11, 2022, the Company and JPMorgan entered into a default waiver and consent agreement (the “Waiver Letter”) pursuant to which the parties recognized that the Company was in default on its failure to satisfy the minimum Excess Availability requirement of $7,500,000, as defined in the Credit Agreement, and deliver a certificate to JPMorgan accurately reflecting the Excess Availability (together, the “Existing Defaults”). Under the terms of the Waiver Letter, JPMorgan agreed to waive the right to enforce an event of default based on the aforementioned Existing Defaults.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Promissory note payable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15, 2022, as part of the consideration for acquisition of Anivia Limited, the Company issued a two-year unsecured 6% subordinated promissory note, payable in equal semi-annual installments commencing August 15, 2022 (the “Purchase Note”). The principal amount of the Purchase Note was $3.5 million with a fair value of $3.6 million as of February 15, 2022. In October 2022, the Company paid the first installment of $875,000. For the three months ended December 31, 2022, the Company recorded accrued interest of $45,938 and amortization of note premium of $12,579. For the six months ended December 31, 2022, the Company recorded accrued interest of $98,438 and amortization of note premium of $25,261. As of December 31, 2022, including $177,188 of accrued interest and $56,759 of unamortized premium, the total outstanding balance of the Purchase Note was $2,858,947, which is presented on the consolidated balance sheet as a current portion of $1,977,502 and a non-current portion of $881,445.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 party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Starting March 1, 2022, the Company subleases upto 50,000 square feet of its warehouse space to Box Harmony, LLC, which is a 40% owned joint venture of the Company as disclosed on Note 1 and Note 2 above. For the three and six months ended December 31, 2022, the Company recorded a sublease fee of $140,000 and $387,750 as other non-operating income. As of December 31, 2022 and June 30, 2022, other receivables due from Box Harmony was $39,853 and $51,762, respectively.</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February 15, 2022, the Company assumed $92,246 (RMB618,000) of advance from shareholders of DHS through the acquisition of Anivia. This amount was for capital injection pending capital inspection by the local government in accordance with the PRC rules. As of December 31, 2022 and June 30, 2022, the balance of advance from shareholders was $89,592 and $92,246,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and six months ended December 31, 2022, as a result of the Company’s inability to establish a reliable estimate for annual effective tax rate, the Company calculated income tax expense using the actual effective tax rate year to date, as opposed to the estimated annual effective tax rate, as provided in Accounting Standards Codification (ASC) 740-270-30-18.</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The income tax provision for the three and six months ended December 31, 2022 and 2021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6"/>
          </w:tcPr>
          <w:p>
            <w:pPr>
              <w:jc w:val="right"/>
              <w:ind w:right="400"/>
              <w:spacing w:after="0"/>
              <w:rPr>
                <w:sz w:val="20"/>
                <w:szCs w:val="20"/>
                <w:color w:val="auto"/>
              </w:rPr>
            </w:pPr>
            <w:r>
              <w:rPr>
                <w:rFonts w:ascii="Arial" w:cs="Arial" w:eastAsia="Arial" w:hAnsi="Arial"/>
                <w:sz w:val="18"/>
                <w:szCs w:val="18"/>
                <w:color w:val="auto"/>
                <w:w w:val="90"/>
              </w:rPr>
              <w:t>Three Months Ended December 31,</w:t>
            </w:r>
          </w:p>
        </w:tc>
        <w:tc>
          <w:tcPr>
            <w:tcW w:w="180" w:type="dxa"/>
            <w:vAlign w:val="bottom"/>
          </w:tcPr>
          <w:p>
            <w:pPr>
              <w:spacing w:after="0"/>
              <w:rPr>
                <w:sz w:val="20"/>
                <w:szCs w:val="20"/>
                <w:color w:val="auto"/>
              </w:rPr>
            </w:pPr>
          </w:p>
        </w:tc>
        <w:tc>
          <w:tcPr>
            <w:tcW w:w="2820" w:type="dxa"/>
            <w:vAlign w:val="bottom"/>
            <w:gridSpan w:val="6"/>
          </w:tcPr>
          <w:p>
            <w:pPr>
              <w:ind w:left="80"/>
              <w:spacing w:after="0"/>
              <w:rPr>
                <w:sz w:val="20"/>
                <w:szCs w:val="20"/>
                <w:color w:val="auto"/>
              </w:rPr>
            </w:pPr>
            <w:r>
              <w:rPr>
                <w:rFonts w:ascii="Arial" w:cs="Arial" w:eastAsia="Arial" w:hAnsi="Arial"/>
                <w:sz w:val="18"/>
                <w:szCs w:val="18"/>
                <w:color w:val="auto"/>
              </w:rPr>
              <w:t>Six Months Ended December 31,</w:t>
            </w:r>
          </w:p>
        </w:tc>
      </w:tr>
      <w:tr>
        <w:trPr>
          <w:trHeight w:val="223"/>
        </w:trPr>
        <w:tc>
          <w:tcPr>
            <w:tcW w:w="5080" w:type="dxa"/>
            <w:vAlign w:val="bottom"/>
            <w:tcBorders>
              <w:bottom w:val="single" w:sz="8" w:color="EEEEEE"/>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160" w:type="dxa"/>
            <w:vAlign w:val="bottom"/>
            <w:tcBorders>
              <w:top w:val="single" w:sz="8" w:color="auto"/>
              <w:bottom w:val="single" w:sz="8" w:color="EEEEEE"/>
            </w:tcBorders>
          </w:tcPr>
          <w:p>
            <w:pPr>
              <w:spacing w:after="0"/>
              <w:rPr>
                <w:sz w:val="19"/>
                <w:szCs w:val="19"/>
                <w:color w:val="auto"/>
              </w:rPr>
            </w:pPr>
          </w:p>
        </w:tc>
        <w:tc>
          <w:tcPr>
            <w:tcW w:w="100" w:type="dxa"/>
            <w:vAlign w:val="bottom"/>
            <w:tcBorders>
              <w:top w:val="single" w:sz="8" w:color="auto"/>
              <w:bottom w:val="single" w:sz="8" w:color="EEEEEE"/>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EEEEEE"/>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140" w:type="dxa"/>
            <w:vAlign w:val="bottom"/>
            <w:tcBorders>
              <w:top w:val="single" w:sz="8" w:color="auto"/>
              <w:bottom w:val="single" w:sz="8" w:color="EEEEEE"/>
            </w:tcBorders>
          </w:tcPr>
          <w:p>
            <w:pPr>
              <w:spacing w:after="0"/>
              <w:rPr>
                <w:sz w:val="19"/>
                <w:szCs w:val="19"/>
                <w:color w:val="auto"/>
              </w:rPr>
            </w:pPr>
          </w:p>
        </w:tc>
        <w:tc>
          <w:tcPr>
            <w:tcW w:w="80" w:type="dxa"/>
            <w:vAlign w:val="bottom"/>
            <w:tcBorders>
              <w:top w:val="single" w:sz="8" w:color="auto"/>
              <w:bottom w:val="single" w:sz="8" w:color="EEEEEE"/>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EEEEEE"/>
            </w:tcBorders>
          </w:tcPr>
          <w:p>
            <w:pPr>
              <w:spacing w:after="0"/>
              <w:rPr>
                <w:sz w:val="19"/>
                <w:szCs w:val="19"/>
                <w:color w:val="auto"/>
              </w:rPr>
            </w:pPr>
          </w:p>
        </w:tc>
      </w:tr>
      <w:tr>
        <w:trPr>
          <w:trHeight w:val="209"/>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81"/>
              <w:spacing w:after="0"/>
              <w:rPr>
                <w:sz w:val="20"/>
                <w:szCs w:val="20"/>
                <w:color w:val="auto"/>
              </w:rPr>
            </w:pPr>
            <w:r>
              <w:rPr>
                <w:rFonts w:ascii="Arial" w:cs="Arial" w:eastAsia="Arial" w:hAnsi="Arial"/>
                <w:sz w:val="18"/>
                <w:szCs w:val="18"/>
                <w:color w:val="auto"/>
              </w:rPr>
              <w:t>280,781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222,339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1"/>
              <w:spacing w:after="0"/>
              <w:rPr>
                <w:sz w:val="20"/>
                <w:szCs w:val="20"/>
                <w:color w:val="auto"/>
              </w:rPr>
            </w:pPr>
            <w:r>
              <w:rPr>
                <w:rFonts w:ascii="Arial" w:cs="Arial" w:eastAsia="Arial" w:hAnsi="Arial"/>
                <w:sz w:val="18"/>
                <w:szCs w:val="18"/>
                <w:color w:val="auto"/>
              </w:rPr>
              <w:t>280,781</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456,968</w:t>
            </w:r>
          </w:p>
        </w:tc>
      </w:tr>
      <w:tr>
        <w:trPr>
          <w:trHeight w:val="216"/>
        </w:trPr>
        <w:tc>
          <w:tcPr>
            <w:tcW w:w="50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States</w:t>
            </w:r>
          </w:p>
        </w:tc>
        <w:tc>
          <w:tcPr>
            <w:tcW w:w="1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100,376</w:t>
            </w: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61"/>
              <w:spacing w:after="0"/>
              <w:rPr>
                <w:sz w:val="20"/>
                <w:szCs w:val="20"/>
                <w:color w:val="auto"/>
              </w:rPr>
            </w:pPr>
            <w:r>
              <w:rPr>
                <w:rFonts w:ascii="Arial" w:cs="Arial" w:eastAsia="Arial" w:hAnsi="Arial"/>
                <w:sz w:val="18"/>
                <w:szCs w:val="18"/>
                <w:color w:val="auto"/>
              </w:rPr>
              <w:t>9,799</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208,722</w:t>
            </w: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9"/>
                <w:szCs w:val="19"/>
                <w:color w:val="auto"/>
              </w:rPr>
            </w:pPr>
          </w:p>
        </w:tc>
        <w:tc>
          <w:tcPr>
            <w:tcW w:w="138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508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 current income tax provision</w:t>
            </w: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280,658</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322,715</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290,580</w:t>
            </w:r>
          </w:p>
        </w:tc>
        <w:tc>
          <w:tcPr>
            <w:tcW w:w="14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665,690</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Deferred:</w:t>
            </w:r>
          </w:p>
        </w:tc>
        <w:tc>
          <w:tcPr>
            <w:tcW w:w="14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40" w:type="dxa"/>
            <w:vAlign w:val="bottom"/>
          </w:tcPr>
          <w:p>
            <w:pPr>
              <w:spacing w:after="0"/>
              <w:rPr>
                <w:sz w:val="18"/>
                <w:szCs w:val="18"/>
                <w:color w:val="auto"/>
              </w:rPr>
            </w:pPr>
          </w:p>
        </w:tc>
        <w:tc>
          <w:tcPr>
            <w:tcW w:w="1380" w:type="dxa"/>
            <w:vAlign w:val="bottom"/>
            <w:gridSpan w:val="2"/>
          </w:tcPr>
          <w:p>
            <w:pPr>
              <w:jc w:val="right"/>
              <w:ind w:right="21"/>
              <w:spacing w:after="0"/>
              <w:rPr>
                <w:sz w:val="20"/>
                <w:szCs w:val="20"/>
                <w:color w:val="auto"/>
              </w:rPr>
            </w:pPr>
            <w:r>
              <w:rPr>
                <w:rFonts w:ascii="Arial" w:cs="Arial" w:eastAsia="Arial" w:hAnsi="Arial"/>
                <w:sz w:val="18"/>
                <w:szCs w:val="18"/>
                <w:color w:val="auto"/>
              </w:rPr>
              <w:t>(1,090,318)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00" w:type="dxa"/>
            <w:vAlign w:val="bottom"/>
            <w:gridSpan w:val="2"/>
          </w:tcPr>
          <w:p>
            <w:pPr>
              <w:jc w:val="right"/>
              <w:ind w:right="1"/>
              <w:spacing w:after="0"/>
              <w:rPr>
                <w:sz w:val="20"/>
                <w:szCs w:val="20"/>
                <w:color w:val="auto"/>
              </w:rPr>
            </w:pPr>
            <w:r>
              <w:rPr>
                <w:rFonts w:ascii="Arial" w:cs="Arial" w:eastAsia="Arial" w:hAnsi="Arial"/>
                <w:sz w:val="18"/>
                <w:szCs w:val="18"/>
                <w:color w:val="auto"/>
              </w:rPr>
              <w:t>(1,259,785)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States</w:t>
            </w:r>
          </w:p>
        </w:tc>
        <w:tc>
          <w:tcPr>
            <w:tcW w:w="1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(203,562)</w:t>
            </w:r>
          </w:p>
        </w:tc>
        <w:tc>
          <w:tcPr>
            <w:tcW w:w="1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
              <w:spacing w:after="0"/>
              <w:rPr>
                <w:sz w:val="20"/>
                <w:szCs w:val="20"/>
                <w:color w:val="auto"/>
              </w:rPr>
            </w:pPr>
            <w:r>
              <w:rPr>
                <w:rFonts w:ascii="Arial" w:cs="Arial" w:eastAsia="Arial" w:hAnsi="Arial"/>
                <w:sz w:val="18"/>
                <w:szCs w:val="18"/>
                <w:color w:val="auto"/>
              </w:rPr>
              <w:t>(306,707)</w:t>
            </w:r>
          </w:p>
        </w:tc>
        <w:tc>
          <w:tcPr>
            <w:tcW w:w="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tcPr>
          <w:p>
            <w:pPr>
              <w:ind w:left="180"/>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9"/>
                <w:szCs w:val="19"/>
                <w:color w:val="auto"/>
              </w:rPr>
            </w:pPr>
          </w:p>
        </w:tc>
        <w:tc>
          <w:tcPr>
            <w:tcW w:w="1380" w:type="dxa"/>
            <w:vAlign w:val="bottom"/>
            <w:gridSpan w:val="2"/>
          </w:tcPr>
          <w:p>
            <w:pPr>
              <w:jc w:val="right"/>
              <w:ind w:right="21"/>
              <w:spacing w:after="0"/>
              <w:rPr>
                <w:sz w:val="20"/>
                <w:szCs w:val="20"/>
                <w:color w:val="auto"/>
              </w:rPr>
            </w:pPr>
            <w:r>
              <w:rPr>
                <w:rFonts w:ascii="Arial" w:cs="Arial" w:eastAsia="Arial" w:hAnsi="Arial"/>
                <w:sz w:val="18"/>
                <w:szCs w:val="18"/>
                <w:color w:val="auto"/>
              </w:rPr>
              <w:t>(34,527)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1"/>
              <w:spacing w:after="0"/>
              <w:rPr>
                <w:sz w:val="20"/>
                <w:szCs w:val="20"/>
                <w:color w:val="auto"/>
              </w:rPr>
            </w:pPr>
            <w:r>
              <w:rPr>
                <w:rFonts w:ascii="Arial" w:cs="Arial" w:eastAsia="Arial" w:hAnsi="Arial"/>
                <w:sz w:val="18"/>
                <w:szCs w:val="18"/>
                <w:color w:val="auto"/>
              </w:rPr>
              <w:t>(219,633)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080" w:type="dxa"/>
            <w:vAlign w:val="bottom"/>
            <w:tcBorders>
              <w:top w:val="single" w:sz="8" w:color="EEEEEE"/>
            </w:tcBorders>
            <w:shd w:val="clear" w:color="auto" w:fill="EEEEEE"/>
          </w:tcPr>
          <w:p>
            <w:pPr>
              <w:ind w:left="180"/>
              <w:spacing w:after="0"/>
              <w:rPr>
                <w:sz w:val="20"/>
                <w:szCs w:val="20"/>
                <w:color w:val="auto"/>
              </w:rPr>
            </w:pPr>
            <w:r>
              <w:rPr>
                <w:rFonts w:ascii="Arial" w:cs="Arial" w:eastAsia="Arial" w:hAnsi="Arial"/>
                <w:sz w:val="18"/>
                <w:szCs w:val="18"/>
                <w:color w:val="auto"/>
              </w:rPr>
              <w:t>Total deferred taxes</w:t>
            </w: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(1,328,407</w:t>
            </w:r>
          </w:p>
        </w:tc>
        <w:tc>
          <w:tcPr>
            <w:tcW w:w="160" w:type="dxa"/>
            <w:vAlign w:val="bottom"/>
            <w:tcBorders>
              <w:top w:val="single" w:sz="8" w:color="EEEEEE"/>
            </w:tcBorders>
            <w:shd w:val="clear" w:color="auto" w:fill="EEEEEE"/>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(1,786,125</w:t>
            </w:r>
          </w:p>
        </w:tc>
        <w:tc>
          <w:tcPr>
            <w:tcW w:w="140" w:type="dxa"/>
            <w:vAlign w:val="bottom"/>
            <w:tcBorders>
              <w:top w:val="single" w:sz="8" w:color="EEEEEE"/>
            </w:tcBorders>
            <w:shd w:val="clear" w:color="auto" w:fill="EEEEEE"/>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5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Total provision for income taxes</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(1,047,749)</w:t>
            </w:r>
          </w:p>
        </w:tc>
        <w:tc>
          <w:tcPr>
            <w:tcW w:w="3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322,715</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EEEEE"/>
          </w:tcPr>
          <w:p>
            <w:pPr>
              <w:jc w:val="right"/>
              <w:ind w:right="1"/>
              <w:spacing w:after="0"/>
              <w:rPr>
                <w:sz w:val="20"/>
                <w:szCs w:val="20"/>
                <w:color w:val="auto"/>
              </w:rPr>
            </w:pPr>
            <w:r>
              <w:rPr>
                <w:rFonts w:ascii="Arial" w:cs="Arial" w:eastAsia="Arial" w:hAnsi="Arial"/>
                <w:sz w:val="18"/>
                <w:szCs w:val="18"/>
                <w:color w:val="auto"/>
              </w:rPr>
              <w:t>(1,495,545)</w:t>
            </w:r>
          </w:p>
        </w:tc>
        <w:tc>
          <w:tcPr>
            <w:tcW w:w="3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665,690</w:t>
            </w:r>
          </w:p>
        </w:tc>
      </w:tr>
      <w:tr>
        <w:trPr>
          <w:trHeight w:val="20"/>
        </w:trPr>
        <w:tc>
          <w:tcPr>
            <w:tcW w:w="50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U.S. federal income tax as well as state income tax in certain jurisdictions. The tax years 2018 to 2020 remain open to examination by the major taxing jurisdictions to which the Company is subject. The following is a reconciliation of income tax expenses at the effective rate to income tax at the calculated statutory rates: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3160" w:type="dxa"/>
            <w:vAlign w:val="bottom"/>
            <w:gridSpan w:val="4"/>
          </w:tcPr>
          <w:p>
            <w:pPr>
              <w:jc w:val="right"/>
              <w:ind w:right="400"/>
              <w:spacing w:after="0"/>
              <w:rPr>
                <w:sz w:val="20"/>
                <w:szCs w:val="20"/>
                <w:color w:val="auto"/>
              </w:rPr>
            </w:pPr>
            <w:r>
              <w:rPr>
                <w:rFonts w:ascii="Arial" w:cs="Arial" w:eastAsia="Arial" w:hAnsi="Arial"/>
                <w:sz w:val="18"/>
                <w:szCs w:val="18"/>
                <w:color w:val="auto"/>
                <w:w w:val="95"/>
              </w:rPr>
              <w:t>Three Months Ended December 31,</w:t>
            </w:r>
          </w:p>
        </w:tc>
        <w:tc>
          <w:tcPr>
            <w:tcW w:w="3000" w:type="dxa"/>
            <w:vAlign w:val="bottom"/>
            <w:gridSpan w:val="4"/>
          </w:tcPr>
          <w:p>
            <w:pPr>
              <w:jc w:val="right"/>
              <w:ind w:right="360"/>
              <w:spacing w:after="0"/>
              <w:rPr>
                <w:sz w:val="20"/>
                <w:szCs w:val="20"/>
                <w:color w:val="auto"/>
              </w:rPr>
            </w:pPr>
            <w:r>
              <w:rPr>
                <w:rFonts w:ascii="Arial" w:cs="Arial" w:eastAsia="Arial" w:hAnsi="Arial"/>
                <w:sz w:val="18"/>
                <w:szCs w:val="18"/>
                <w:color w:val="auto"/>
                <w:w w:val="99"/>
              </w:rPr>
              <w:t>Six Months Ended December 31,</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EEEEEE"/>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260" w:type="dxa"/>
            <w:vAlign w:val="bottom"/>
            <w:tcBorders>
              <w:top w:val="single" w:sz="8" w:color="auto"/>
              <w:bottom w:val="single" w:sz="8" w:color="EEEEEE"/>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EEEEEE"/>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bottom w:val="single" w:sz="8" w:color="EEEEEE"/>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Statutory tax rate</w:t>
            </w: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21.00%</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21.00%</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21.00%</w:t>
            </w:r>
          </w:p>
        </w:tc>
        <w:tc>
          <w:tcPr>
            <w:tcW w:w="1340" w:type="dxa"/>
            <w:vAlign w:val="bottom"/>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State</w:t>
            </w: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5.85%</w:t>
            </w: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8.84%</w:t>
            </w:r>
          </w:p>
        </w:tc>
        <w:tc>
          <w:tcPr>
            <w:tcW w:w="15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5.85%</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Foreign tax rate difference</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(0.33%)</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1.86%</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Impairment loss on goodwill -permanent difference</w:t>
            </w:r>
          </w:p>
        </w:tc>
        <w:tc>
          <w:tcPr>
            <w:tcW w:w="16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(9.32%)</w:t>
            </w: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080" w:type="dxa"/>
            <w:vAlign w:val="bottom"/>
          </w:tcPr>
          <w:p>
            <w:pPr>
              <w:ind w:left="180"/>
              <w:spacing w:after="0" w:line="201" w:lineRule="exact"/>
              <w:rPr>
                <w:sz w:val="20"/>
                <w:szCs w:val="20"/>
                <w:color w:val="auto"/>
              </w:rPr>
            </w:pPr>
            <w:r>
              <w:rPr>
                <w:rFonts w:ascii="Arial" w:cs="Arial" w:eastAsia="Arial" w:hAnsi="Arial"/>
                <w:sz w:val="18"/>
                <w:szCs w:val="18"/>
                <w:color w:val="auto"/>
                <w:w w:val="99"/>
              </w:rPr>
              <w:t>Net effect of state income tax deduction and other permanent</w:t>
            </w:r>
          </w:p>
        </w:tc>
        <w:tc>
          <w:tcPr>
            <w:tcW w:w="16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(2.38%)</w:t>
            </w:r>
          </w:p>
        </w:tc>
        <w:tc>
          <w:tcPr>
            <w:tcW w:w="15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(1.04%)</w:t>
            </w:r>
          </w:p>
        </w:tc>
        <w:tc>
          <w:tcPr>
            <w:tcW w:w="15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(2.72%)</w:t>
            </w:r>
          </w:p>
        </w:tc>
        <w:tc>
          <w:tcPr>
            <w:tcW w:w="14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5080" w:type="dxa"/>
            <w:vAlign w:val="bottom"/>
          </w:tcPr>
          <w:p>
            <w:pPr>
              <w:ind w:left="360"/>
              <w:spacing w:after="0"/>
              <w:rPr>
                <w:sz w:val="20"/>
                <w:szCs w:val="20"/>
                <w:color w:val="auto"/>
              </w:rPr>
            </w:pPr>
            <w:r>
              <w:rPr>
                <w:rFonts w:ascii="Arial" w:cs="Arial" w:eastAsia="Arial" w:hAnsi="Arial"/>
                <w:sz w:val="18"/>
                <w:szCs w:val="18"/>
                <w:color w:val="auto"/>
              </w:rPr>
              <w:t>differences</w:t>
            </w:r>
          </w:p>
        </w:tc>
        <w:tc>
          <w:tcPr>
            <w:tcW w:w="1620" w:type="dxa"/>
            <w:vAlign w:val="bottom"/>
            <w:gridSpan w:val="2"/>
            <w:vMerge w:val="continue"/>
          </w:tcPr>
          <w:p>
            <w:pPr>
              <w:spacing w:after="0"/>
              <w:rPr>
                <w:sz w:val="20"/>
                <w:szCs w:val="20"/>
                <w:color w:val="auto"/>
              </w:rPr>
            </w:pPr>
          </w:p>
        </w:tc>
        <w:tc>
          <w:tcPr>
            <w:tcW w:w="1540" w:type="dxa"/>
            <w:vAlign w:val="bottom"/>
            <w:gridSpan w:val="2"/>
            <w:vMerge w:val="continue"/>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260" w:type="dxa"/>
            <w:vAlign w:val="bottom"/>
            <w:tcBorders>
              <w:top w:val="single" w:sz="8" w:color="EEEEEE"/>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Effective tax rate</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24.14%</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28.80%</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16.67%</w:t>
            </w:r>
          </w:p>
        </w:tc>
        <w:tc>
          <w:tcPr>
            <w:tcW w:w="1340" w:type="dxa"/>
            <w:vAlign w:val="bottom"/>
          </w:tcPr>
          <w:p>
            <w:pPr>
              <w:jc w:val="right"/>
              <w:spacing w:after="0"/>
              <w:rPr>
                <w:sz w:val="20"/>
                <w:szCs w:val="20"/>
                <w:color w:val="auto"/>
              </w:rPr>
            </w:pPr>
            <w:r>
              <w:rPr>
                <w:rFonts w:ascii="Arial" w:cs="Arial" w:eastAsia="Arial" w:hAnsi="Arial"/>
                <w:sz w:val="18"/>
                <w:szCs w:val="18"/>
                <w:color w:val="auto"/>
              </w:rPr>
              <w:t>28.31%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prepaid income taxes to US tax authorities and income tax payable to Chinese tax authorities was $151,506 and $290,946, respectively. As of June 30, 2022, prepaid income taxes to US tax authorities and income tax payable to Chinese tax authorities was $375,087 and $299,563, respectively.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tax effects of temporary differences which give rise to significant portions of the deferred taxes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December 31,</w:t>
            </w:r>
          </w:p>
        </w:tc>
        <w:tc>
          <w:tcPr>
            <w:tcW w:w="280" w:type="dxa"/>
            <w:vAlign w:val="bottom"/>
          </w:tcPr>
          <w:p>
            <w:pPr>
              <w:spacing w:after="0"/>
              <w:rPr>
                <w:sz w:val="18"/>
                <w:szCs w:val="18"/>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EEEEEE"/>
            </w:tcBorders>
          </w:tcPr>
          <w:p>
            <w:pPr>
              <w:spacing w:after="0"/>
              <w:rPr>
                <w:sz w:val="20"/>
                <w:szCs w:val="20"/>
                <w:color w:val="auto"/>
              </w:rPr>
            </w:pPr>
          </w:p>
        </w:tc>
        <w:tc>
          <w:tcPr>
            <w:tcW w:w="2440" w:type="dxa"/>
            <w:vAlign w:val="bottom"/>
            <w:tcBorders>
              <w:bottom w:val="single" w:sz="8" w:color="EEEEEE"/>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Deferred tax assets</w:t>
            </w:r>
          </w:p>
        </w:tc>
        <w:tc>
          <w:tcPr>
            <w:tcW w:w="24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263A calculation</w:t>
            </w:r>
          </w:p>
        </w:tc>
        <w:tc>
          <w:tcPr>
            <w:tcW w:w="2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165,368</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123,884</w:t>
            </w:r>
          </w:p>
        </w:tc>
        <w:tc>
          <w:tcPr>
            <w:tcW w:w="0" w:type="dxa"/>
            <w:vAlign w:val="bottom"/>
          </w:tcPr>
          <w:p>
            <w:pPr>
              <w:spacing w:after="0"/>
              <w:rPr>
                <w:sz w:val="1"/>
                <w:szCs w:val="1"/>
                <w:color w:val="auto"/>
              </w:rPr>
            </w:pPr>
          </w:p>
        </w:tc>
      </w:tr>
      <w:tr>
        <w:trPr>
          <w:trHeight w:val="216"/>
        </w:trPr>
        <w:tc>
          <w:tcPr>
            <w:tcW w:w="5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Inventory reserve</w:t>
            </w:r>
          </w:p>
        </w:tc>
        <w:tc>
          <w:tcPr>
            <w:tcW w:w="24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106,071</w:t>
            </w: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71,026</w:t>
            </w: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State taxes</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2,058</w:t>
            </w: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45,234</w:t>
            </w:r>
          </w:p>
        </w:tc>
        <w:tc>
          <w:tcPr>
            <w:tcW w:w="0" w:type="dxa"/>
            <w:vAlign w:val="bottom"/>
          </w:tcPr>
          <w:p>
            <w:pPr>
              <w:spacing w:after="0"/>
              <w:rPr>
                <w:sz w:val="1"/>
                <w:szCs w:val="1"/>
                <w:color w:val="auto"/>
              </w:rPr>
            </w:pPr>
          </w:p>
        </w:tc>
      </w:tr>
      <w:tr>
        <w:trPr>
          <w:trHeight w:val="216"/>
        </w:trPr>
        <w:tc>
          <w:tcPr>
            <w:tcW w:w="5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Accrued expenses</w:t>
            </w:r>
          </w:p>
        </w:tc>
        <w:tc>
          <w:tcPr>
            <w:tcW w:w="24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133,823</w:t>
            </w: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69,172</w:t>
            </w: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ROU assets / liabilities</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114,045</w:t>
            </w: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83,738</w:t>
            </w:r>
          </w:p>
        </w:tc>
        <w:tc>
          <w:tcPr>
            <w:tcW w:w="0" w:type="dxa"/>
            <w:vAlign w:val="bottom"/>
          </w:tcPr>
          <w:p>
            <w:pPr>
              <w:spacing w:after="0"/>
              <w:rPr>
                <w:sz w:val="1"/>
                <w:szCs w:val="1"/>
                <w:color w:val="auto"/>
              </w:rPr>
            </w:pPr>
          </w:p>
        </w:tc>
      </w:tr>
      <w:tr>
        <w:trPr>
          <w:trHeight w:val="216"/>
        </w:trPr>
        <w:tc>
          <w:tcPr>
            <w:tcW w:w="5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Stock-based compensation</w:t>
            </w:r>
          </w:p>
        </w:tc>
        <w:tc>
          <w:tcPr>
            <w:tcW w:w="24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142,810</w:t>
            </w: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70,266</w:t>
            </w: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Net operating loss</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1,530,336</w:t>
            </w:r>
          </w:p>
        </w:tc>
        <w:tc>
          <w:tcPr>
            <w:tcW w:w="2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Others</w:t>
            </w:r>
          </w:p>
        </w:tc>
        <w:tc>
          <w:tcPr>
            <w:tcW w:w="24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18,797</w:t>
            </w: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7,539</w:t>
            </w:r>
          </w:p>
        </w:tc>
        <w:tc>
          <w:tcPr>
            <w:tcW w:w="0" w:type="dxa"/>
            <w:vAlign w:val="bottom"/>
          </w:tcPr>
          <w:p>
            <w:pPr>
              <w:spacing w:after="0"/>
              <w:rPr>
                <w:sz w:val="1"/>
                <w:szCs w:val="1"/>
                <w:color w:val="auto"/>
              </w:rPr>
            </w:pPr>
          </w:p>
        </w:tc>
      </w:tr>
      <w:tr>
        <w:trPr>
          <w:trHeight w:val="209"/>
        </w:trPr>
        <w:tc>
          <w:tcPr>
            <w:tcW w:w="5340" w:type="dxa"/>
            <w:vAlign w:val="bottom"/>
            <w:tcBorders>
              <w:bottom w:val="single" w:sz="8" w:color="EEEEEE"/>
            </w:tcBorders>
          </w:tcPr>
          <w:p>
            <w:pPr>
              <w:ind w:left="360"/>
              <w:spacing w:after="0"/>
              <w:rPr>
                <w:sz w:val="20"/>
                <w:szCs w:val="20"/>
                <w:color w:val="auto"/>
              </w:rPr>
            </w:pPr>
            <w:r>
              <w:rPr>
                <w:rFonts w:ascii="Arial" w:cs="Arial" w:eastAsia="Arial" w:hAnsi="Arial"/>
                <w:sz w:val="18"/>
                <w:szCs w:val="18"/>
                <w:b w:val="1"/>
                <w:bCs w:val="1"/>
                <w:color w:val="auto"/>
              </w:rPr>
              <w:t>Total deferred tax assets</w:t>
            </w:r>
          </w:p>
        </w:tc>
        <w:tc>
          <w:tcPr>
            <w:tcW w:w="244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2,213,308</w:t>
            </w:r>
          </w:p>
        </w:tc>
        <w:tc>
          <w:tcPr>
            <w:tcW w:w="22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470,859</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40" w:type="dxa"/>
            <w:vAlign w:val="bottom"/>
            <w:shd w:val="clear" w:color="auto" w:fill="EEEEEE"/>
          </w:tcPr>
          <w:p>
            <w:pPr>
              <w:spacing w:after="0"/>
              <w:rPr>
                <w:sz w:val="18"/>
                <w:szCs w:val="18"/>
                <w:color w:val="auto"/>
              </w:rPr>
            </w:pPr>
          </w:p>
        </w:tc>
        <w:tc>
          <w:tcPr>
            <w:tcW w:w="24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Depreciation</w:t>
            </w:r>
          </w:p>
        </w:tc>
        <w:tc>
          <w:tcPr>
            <w:tcW w:w="24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(127,196)</w:t>
            </w: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(86,254)</w:t>
            </w:r>
          </w:p>
        </w:tc>
        <w:tc>
          <w:tcPr>
            <w:tcW w:w="0" w:type="dxa"/>
            <w:vAlign w:val="bottom"/>
          </w:tcPr>
          <w:p>
            <w:pPr>
              <w:spacing w:after="0"/>
              <w:rPr>
                <w:sz w:val="1"/>
                <w:szCs w:val="1"/>
                <w:color w:val="auto"/>
              </w:rPr>
            </w:pPr>
          </w:p>
        </w:tc>
      </w:tr>
      <w:tr>
        <w:trPr>
          <w:trHeight w:val="216"/>
        </w:trPr>
        <w:tc>
          <w:tcPr>
            <w:tcW w:w="5340" w:type="dxa"/>
            <w:vAlign w:val="bottom"/>
          </w:tcPr>
          <w:p>
            <w:pPr>
              <w:ind w:left="180"/>
              <w:spacing w:after="0"/>
              <w:rPr>
                <w:sz w:val="20"/>
                <w:szCs w:val="20"/>
                <w:color w:val="auto"/>
              </w:rPr>
            </w:pPr>
            <w:r>
              <w:rPr>
                <w:rFonts w:ascii="Arial" w:cs="Arial" w:eastAsia="Arial" w:hAnsi="Arial"/>
                <w:sz w:val="18"/>
                <w:szCs w:val="18"/>
                <w:color w:val="auto"/>
              </w:rPr>
              <w:t>Intangible assets acquired</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(1,236,533)</w:t>
            </w:r>
          </w:p>
        </w:tc>
        <w:tc>
          <w:tcPr>
            <w:tcW w:w="2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(1,323,720)</w:t>
            </w:r>
          </w:p>
        </w:tc>
        <w:tc>
          <w:tcPr>
            <w:tcW w:w="0" w:type="dxa"/>
            <w:vAlign w:val="bottom"/>
          </w:tcPr>
          <w:p>
            <w:pPr>
              <w:spacing w:after="0"/>
              <w:rPr>
                <w:sz w:val="1"/>
                <w:szCs w:val="1"/>
                <w:color w:val="auto"/>
              </w:rPr>
            </w:pPr>
          </w:p>
        </w:tc>
      </w:tr>
      <w:tr>
        <w:trPr>
          <w:trHeight w:val="210"/>
        </w:trPr>
        <w:tc>
          <w:tcPr>
            <w:tcW w:w="5340" w:type="dxa"/>
            <w:vAlign w:val="bottom"/>
            <w:tcBorders>
              <w:top w:val="single" w:sz="8" w:color="EEEEEE"/>
            </w:tcBorders>
            <w:shd w:val="clear" w:color="auto" w:fill="EEEEEE"/>
          </w:tcPr>
          <w:p>
            <w:pPr>
              <w:ind w:left="360"/>
              <w:spacing w:after="0"/>
              <w:rPr>
                <w:sz w:val="20"/>
                <w:szCs w:val="20"/>
                <w:color w:val="auto"/>
              </w:rPr>
            </w:pPr>
            <w:r>
              <w:rPr>
                <w:rFonts w:ascii="Arial" w:cs="Arial" w:eastAsia="Arial" w:hAnsi="Arial"/>
                <w:sz w:val="18"/>
                <w:szCs w:val="18"/>
                <w:b w:val="1"/>
                <w:bCs w:val="1"/>
                <w:color w:val="auto"/>
              </w:rPr>
              <w:t>Total deferred tax liabilities</w:t>
            </w:r>
          </w:p>
        </w:tc>
        <w:tc>
          <w:tcPr>
            <w:tcW w:w="24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(1,363,729)</w:t>
            </w:r>
          </w:p>
        </w:tc>
        <w:tc>
          <w:tcPr>
            <w:tcW w:w="2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(1,409,974)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40" w:type="dxa"/>
            <w:vAlign w:val="bottom"/>
            <w:shd w:val="clear" w:color="auto" w:fill="EEEEEE"/>
          </w:tcPr>
          <w:p>
            <w:pPr>
              <w:ind w:left="180"/>
              <w:spacing w:after="0"/>
              <w:rPr>
                <w:sz w:val="20"/>
                <w:szCs w:val="20"/>
                <w:color w:val="auto"/>
              </w:rPr>
            </w:pPr>
            <w:r>
              <w:rPr>
                <w:rFonts w:ascii="Arial" w:cs="Arial" w:eastAsia="Arial" w:hAnsi="Arial"/>
                <w:sz w:val="18"/>
                <w:szCs w:val="18"/>
                <w:b w:val="1"/>
                <w:bCs w:val="1"/>
                <w:color w:val="auto"/>
              </w:rPr>
              <w:t>Net deferred tax assets (liabilities)</w:t>
            </w:r>
          </w:p>
        </w:tc>
        <w:tc>
          <w:tcPr>
            <w:tcW w:w="26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849,579</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(939,115)</w:t>
            </w:r>
          </w:p>
        </w:tc>
        <w:tc>
          <w:tcPr>
            <w:tcW w:w="0" w:type="dxa"/>
            <w:vAlign w:val="bottom"/>
          </w:tcPr>
          <w:p>
            <w:pPr>
              <w:spacing w:after="0"/>
              <w:rPr>
                <w:sz w:val="1"/>
                <w:szCs w:val="1"/>
                <w:color w:val="auto"/>
              </w:rPr>
            </w:pPr>
          </w:p>
        </w:tc>
      </w:tr>
      <w:tr>
        <w:trPr>
          <w:trHeight w:val="20"/>
        </w:trPr>
        <w:tc>
          <w:tcPr>
            <w:tcW w:w="534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8"/>
                <w:szCs w:val="18"/>
                <w:b w:val="1"/>
                <w:bCs w:val="1"/>
                <w:color w:val="auto"/>
              </w:rPr>
              <w:t>Note 15 – (Losses) Earnings per share</w:t>
            </w:r>
          </w:p>
        </w:tc>
        <w:tc>
          <w:tcPr>
            <w:tcW w:w="24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40" w:type="dxa"/>
            <w:vAlign w:val="bottom"/>
            <w:vMerge w:val="continue"/>
          </w:tcPr>
          <w:p>
            <w:pPr>
              <w:spacing w:after="0"/>
              <w:rPr>
                <w:sz w:val="24"/>
                <w:szCs w:val="24"/>
                <w:color w:val="auto"/>
              </w:rPr>
            </w:pPr>
          </w:p>
        </w:tc>
        <w:tc>
          <w:tcPr>
            <w:tcW w:w="2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(losses) earnings per share for the periods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5"/>
          </w:tcPr>
          <w:p>
            <w:pPr>
              <w:jc w:val="right"/>
              <w:ind w:right="400"/>
              <w:spacing w:after="0"/>
              <w:rPr>
                <w:sz w:val="20"/>
                <w:szCs w:val="20"/>
                <w:color w:val="auto"/>
              </w:rPr>
            </w:pPr>
            <w:r>
              <w:rPr>
                <w:rFonts w:ascii="Arial" w:cs="Arial" w:eastAsia="Arial" w:hAnsi="Arial"/>
                <w:sz w:val="18"/>
                <w:szCs w:val="18"/>
                <w:color w:val="auto"/>
                <w:w w:val="90"/>
              </w:rPr>
              <w:t>Three Months Ended December 31,</w:t>
            </w:r>
          </w:p>
        </w:tc>
        <w:tc>
          <w:tcPr>
            <w:tcW w:w="180" w:type="dxa"/>
            <w:vAlign w:val="bottom"/>
          </w:tcPr>
          <w:p>
            <w:pPr>
              <w:spacing w:after="0"/>
              <w:rPr>
                <w:sz w:val="20"/>
                <w:szCs w:val="20"/>
                <w:color w:val="auto"/>
              </w:rPr>
            </w:pPr>
          </w:p>
        </w:tc>
        <w:tc>
          <w:tcPr>
            <w:tcW w:w="2820" w:type="dxa"/>
            <w:vAlign w:val="bottom"/>
            <w:gridSpan w:val="5"/>
          </w:tcPr>
          <w:p>
            <w:pPr>
              <w:ind w:left="80"/>
              <w:spacing w:after="0"/>
              <w:rPr>
                <w:sz w:val="20"/>
                <w:szCs w:val="20"/>
                <w:color w:val="auto"/>
              </w:rPr>
            </w:pPr>
            <w:r>
              <w:rPr>
                <w:rFonts w:ascii="Arial" w:cs="Arial" w:eastAsia="Arial" w:hAnsi="Arial"/>
                <w:sz w:val="18"/>
                <w:szCs w:val="18"/>
                <w:color w:val="auto"/>
              </w:rPr>
              <w:t>Six Months Ended December 31,</w:t>
            </w:r>
          </w:p>
        </w:tc>
        <w:tc>
          <w:tcPr>
            <w:tcW w:w="0" w:type="dxa"/>
            <w:vAlign w:val="bottom"/>
          </w:tcPr>
          <w:p>
            <w:pPr>
              <w:spacing w:after="0"/>
              <w:rPr>
                <w:sz w:val="1"/>
                <w:szCs w:val="1"/>
                <w:color w:val="auto"/>
              </w:rPr>
            </w:pPr>
          </w:p>
        </w:tc>
      </w:tr>
      <w:tr>
        <w:trPr>
          <w:trHeight w:val="223"/>
        </w:trPr>
        <w:tc>
          <w:tcPr>
            <w:tcW w:w="5080" w:type="dxa"/>
            <w:vAlign w:val="bottom"/>
            <w:vMerge w:val="restart"/>
          </w:tcPr>
          <w:p>
            <w:pPr>
              <w:spacing w:after="0"/>
              <w:rPr>
                <w:sz w:val="20"/>
                <w:szCs w:val="20"/>
                <w:color w:val="auto"/>
              </w:rPr>
            </w:pPr>
            <w:r>
              <w:rPr>
                <w:rFonts w:ascii="Arial" w:cs="Arial" w:eastAsia="Arial" w:hAnsi="Arial"/>
                <w:sz w:val="18"/>
                <w:szCs w:val="18"/>
                <w:color w:val="auto"/>
              </w:rPr>
              <w:t>Numerator:</w:t>
            </w: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26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2022</w:t>
            </w:r>
          </w:p>
        </w:tc>
        <w:tc>
          <w:tcPr>
            <w:tcW w:w="2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(Loss) Income</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(3,290,439)  $</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797,861</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(7,472,815)  $</w:t>
            </w: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1,685,389</w:t>
            </w:r>
          </w:p>
        </w:tc>
        <w:tc>
          <w:tcPr>
            <w:tcW w:w="0" w:type="dxa"/>
            <w:vAlign w:val="bottom"/>
          </w:tcPr>
          <w:p>
            <w:pPr>
              <w:spacing w:after="0"/>
              <w:rPr>
                <w:sz w:val="1"/>
                <w:szCs w:val="1"/>
                <w:color w:val="auto"/>
              </w:rPr>
            </w:pPr>
          </w:p>
        </w:tc>
      </w:tr>
      <w:tr>
        <w:trPr>
          <w:trHeight w:val="20"/>
        </w:trPr>
        <w:tc>
          <w:tcPr>
            <w:tcW w:w="50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92"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Denominator:</w:t>
      </w:r>
    </w:p>
    <w:p>
      <w:pPr>
        <w:spacing w:after="0" w:line="23" w:lineRule="exact"/>
        <w:rPr>
          <w:sz w:val="20"/>
          <w:szCs w:val="20"/>
          <w:color w:val="auto"/>
        </w:rPr>
      </w:pPr>
    </w:p>
    <w:p>
      <w:pPr>
        <w:ind w:left="360" w:hanging="179"/>
        <w:spacing w:after="0" w:line="250" w:lineRule="auto"/>
        <w:rPr>
          <w:sz w:val="20"/>
          <w:szCs w:val="20"/>
          <w:color w:val="auto"/>
        </w:rPr>
      </w:pPr>
      <w:r>
        <w:rPr>
          <w:rFonts w:ascii="Arial" w:cs="Arial" w:eastAsia="Arial" w:hAnsi="Arial"/>
          <w:sz w:val="18"/>
          <w:szCs w:val="18"/>
          <w:color w:val="auto"/>
        </w:rPr>
        <w:t>Weighted-average shares used in computing basic and diluted earnings per share*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Basic</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20" w:type="dxa"/>
            <w:vAlign w:val="bottom"/>
            <w:gridSpan w:val="2"/>
          </w:tcPr>
          <w:p>
            <w:pPr>
              <w:ind w:left="560"/>
              <w:spacing w:after="0"/>
              <w:rPr>
                <w:sz w:val="20"/>
                <w:szCs w:val="20"/>
                <w:color w:val="auto"/>
              </w:rPr>
            </w:pPr>
            <w:r>
              <w:rPr>
                <w:rFonts w:ascii="Arial" w:cs="Arial" w:eastAsia="Arial" w:hAnsi="Arial"/>
                <w:sz w:val="18"/>
                <w:szCs w:val="18"/>
                <w:color w:val="auto"/>
              </w:rPr>
              <w:t>29,742,620</w:t>
            </w:r>
          </w:p>
        </w:tc>
        <w:tc>
          <w:tcPr>
            <w:tcW w:w="1540" w:type="dxa"/>
            <w:vAlign w:val="bottom"/>
            <w:gridSpan w:val="2"/>
          </w:tcPr>
          <w:p>
            <w:pPr>
              <w:ind w:left="520"/>
              <w:spacing w:after="0"/>
              <w:rPr>
                <w:sz w:val="20"/>
                <w:szCs w:val="20"/>
                <w:color w:val="auto"/>
              </w:rPr>
            </w:pPr>
            <w:r>
              <w:rPr>
                <w:rFonts w:ascii="Arial" w:cs="Arial" w:eastAsia="Arial" w:hAnsi="Arial"/>
                <w:sz w:val="18"/>
                <w:szCs w:val="18"/>
                <w:color w:val="auto"/>
              </w:rPr>
              <w:t>26,491,103</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29,687,878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26,487,816</w:t>
            </w:r>
          </w:p>
        </w:tc>
        <w:tc>
          <w:tcPr>
            <w:tcW w:w="0" w:type="dxa"/>
            <w:vAlign w:val="bottom"/>
          </w:tcPr>
          <w:p>
            <w:pPr>
              <w:spacing w:after="0"/>
              <w:rPr>
                <w:sz w:val="1"/>
                <w:szCs w:val="1"/>
                <w:color w:val="auto"/>
              </w:rPr>
            </w:pP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Borders>
              <w:bottom w:val="single" w:sz="8" w:color="auto"/>
            </w:tcBorders>
          </w:tcPr>
          <w:p>
            <w:pPr>
              <w:ind w:left="560"/>
              <w:spacing w:after="0" w:line="196" w:lineRule="exact"/>
              <w:rPr>
                <w:sz w:val="20"/>
                <w:szCs w:val="20"/>
                <w:color w:val="auto"/>
              </w:rPr>
            </w:pPr>
            <w:r>
              <w:rPr>
                <w:rFonts w:ascii="Arial" w:cs="Arial" w:eastAsia="Arial" w:hAnsi="Arial"/>
                <w:sz w:val="18"/>
                <w:szCs w:val="18"/>
                <w:color w:val="auto"/>
                <w:w w:val="86"/>
              </w:rPr>
              <w:t>29,742,620</w:t>
            </w:r>
          </w:p>
        </w:tc>
        <w:tc>
          <w:tcPr>
            <w:tcW w:w="260" w:type="dxa"/>
            <w:vAlign w:val="bottom"/>
            <w:vMerge w:val="continue"/>
          </w:tcPr>
          <w:p>
            <w:pPr>
              <w:spacing w:after="0"/>
              <w:rPr>
                <w:sz w:val="17"/>
                <w:szCs w:val="17"/>
                <w:color w:val="auto"/>
              </w:rPr>
            </w:pPr>
          </w:p>
        </w:tc>
        <w:tc>
          <w:tcPr>
            <w:tcW w:w="1320" w:type="dxa"/>
            <w:vAlign w:val="bottom"/>
            <w:tcBorders>
              <w:bottom w:val="single" w:sz="8" w:color="auto"/>
            </w:tcBorders>
          </w:tcPr>
          <w:p>
            <w:pPr>
              <w:ind w:left="520"/>
              <w:spacing w:after="0" w:line="196" w:lineRule="exact"/>
              <w:rPr>
                <w:sz w:val="20"/>
                <w:szCs w:val="20"/>
                <w:color w:val="auto"/>
              </w:rPr>
            </w:pPr>
            <w:r>
              <w:rPr>
                <w:rFonts w:ascii="Arial" w:cs="Arial" w:eastAsia="Arial" w:hAnsi="Arial"/>
                <w:sz w:val="18"/>
                <w:szCs w:val="18"/>
                <w:color w:val="auto"/>
                <w:w w:val="86"/>
              </w:rPr>
              <w:t>26,491,103</w:t>
            </w:r>
          </w:p>
        </w:tc>
        <w:tc>
          <w:tcPr>
            <w:tcW w:w="220" w:type="dxa"/>
            <w:vAlign w:val="bottom"/>
            <w:vMerge w:val="continue"/>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29,687,878</w:t>
            </w:r>
          </w:p>
        </w:tc>
        <w:tc>
          <w:tcPr>
            <w:tcW w:w="220" w:type="dxa"/>
            <w:vAlign w:val="bottom"/>
            <w:vMerge w:val="continue"/>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26,487,816</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-753745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-342265</wp:posOffset>
            </wp:positionV>
            <wp:extent cx="7132320"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620" w:space="460"/>
            <w:col w:w="6160"/>
          </w:cols>
          <w:pgMar w:left="320" w:top="692"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508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54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(Losses) Earnings per share: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(0.11)</w:t>
            </w:r>
          </w:p>
        </w:tc>
        <w:tc>
          <w:tcPr>
            <w:tcW w:w="640" w:type="dxa"/>
            <w:vAlign w:val="bottom"/>
            <w:gridSpan w:val="2"/>
            <w:shd w:val="clear" w:color="auto" w:fill="EEEEEE"/>
          </w:tcPr>
          <w:p>
            <w:pPr>
              <w:jc w:val="right"/>
              <w:ind w:right="387"/>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0.03</w:t>
            </w:r>
          </w:p>
        </w:tc>
        <w:tc>
          <w:tcPr>
            <w:tcW w:w="520" w:type="dxa"/>
            <w:vAlign w:val="bottom"/>
            <w:shd w:val="clear" w:color="auto" w:fill="EEEEEE"/>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EEEEEE"/>
          </w:tcPr>
          <w:p>
            <w:pPr>
              <w:jc w:val="right"/>
              <w:ind w:right="1"/>
              <w:spacing w:after="0"/>
              <w:rPr>
                <w:sz w:val="20"/>
                <w:szCs w:val="20"/>
                <w:color w:val="auto"/>
              </w:rPr>
            </w:pPr>
            <w:r>
              <w:rPr>
                <w:rFonts w:ascii="Arial" w:cs="Arial" w:eastAsia="Arial" w:hAnsi="Arial"/>
                <w:sz w:val="18"/>
                <w:szCs w:val="18"/>
                <w:color w:val="auto"/>
              </w:rPr>
              <w:t>(0.25)</w:t>
            </w:r>
          </w:p>
        </w:tc>
        <w:tc>
          <w:tcPr>
            <w:tcW w:w="640" w:type="dxa"/>
            <w:vAlign w:val="bottom"/>
            <w:gridSpan w:val="2"/>
            <w:shd w:val="clear" w:color="auto" w:fill="EEEEEE"/>
          </w:tcPr>
          <w:p>
            <w:pPr>
              <w:jc w:val="right"/>
              <w:ind w:right="40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5080" w:type="dxa"/>
            <w:vAlign w:val="bottom"/>
            <w:tcBorders>
              <w:top w:val="single" w:sz="8" w:color="EEEEEE"/>
              <w:bottom w:val="single" w:sz="8" w:color="EEEEEE"/>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EEEEEE"/>
              <w:bottom w:val="single" w:sz="8" w:color="EEEEEE"/>
            </w:tcBorders>
            <w:vMerge w:val="restart"/>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EEEEEE"/>
              <w:bottom w:val="single" w:sz="8" w:color="EEEEEE"/>
            </w:tcBorders>
            <w:vMerge w:val="restart"/>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bottom w:val="single" w:sz="8" w:color="EEEEEE"/>
            </w:tcBorders>
            <w:vMerge w:val="restart"/>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bottom w:val="single" w:sz="8" w:color="EEEEEE"/>
            </w:tcBorders>
            <w:vMerge w:val="restart"/>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EEEEEE"/>
              <w:bottom w:val="single" w:sz="8" w:color="EEEEEE"/>
            </w:tcBorders>
            <w:vMerge w:val="restart"/>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bottom w:val="single" w:sz="8" w:color="EEEEEE"/>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(0.11</w:t>
            </w:r>
          </w:p>
        </w:tc>
        <w:tc>
          <w:tcPr>
            <w:tcW w:w="1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ind w:left="480"/>
              <w:spacing w:after="0" w:line="196" w:lineRule="exact"/>
              <w:rPr>
                <w:sz w:val="20"/>
                <w:szCs w:val="20"/>
                <w:color w:val="auto"/>
              </w:rPr>
            </w:pPr>
            <w:r>
              <w:rPr>
                <w:rFonts w:ascii="Arial" w:cs="Arial" w:eastAsia="Arial" w:hAnsi="Arial"/>
                <w:sz w:val="18"/>
                <w:szCs w:val="18"/>
                <w:color w:val="auto"/>
                <w:w w:val="79"/>
              </w:rPr>
              <w:t>0.03</w:t>
            </w:r>
          </w:p>
        </w:tc>
        <w:tc>
          <w:tcPr>
            <w:tcW w:w="220" w:type="dxa"/>
            <w:vAlign w:val="bottom"/>
            <w:vMerge w:val="continue"/>
          </w:tcPr>
          <w:p>
            <w:pPr>
              <w:spacing w:after="0"/>
              <w:rPr>
                <w:sz w:val="17"/>
                <w:szCs w:val="17"/>
                <w:color w:val="auto"/>
              </w:rPr>
            </w:pPr>
          </w:p>
        </w:tc>
        <w:tc>
          <w:tcPr>
            <w:tcW w:w="52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(0.25</w:t>
            </w:r>
          </w:p>
        </w:tc>
        <w:tc>
          <w:tcPr>
            <w:tcW w:w="14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0.06</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27</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type w:val="continuous"/>
        </w:sectPr>
      </w:pPr>
    </w:p>
    <w:bookmarkStart w:id="28" w:name="page29"/>
    <w:bookmarkEnd w:id="28"/>
    <w:p>
      <w:pPr>
        <w:ind w:left="240" w:right="20" w:hanging="232"/>
        <w:spacing w:after="0" w:line="277" w:lineRule="auto"/>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Due to the ani-dilutive effect, the computation of basic and diluted EPS did not include the shares underlying the exercise of warrants as the Company had a net loss for the three and six months ended December 31, 2022.</w:t>
      </w:r>
    </w:p>
    <w:p>
      <w:pPr>
        <w:spacing w:after="0" w:line="170" w:lineRule="exact"/>
        <w:rPr>
          <w:rFonts w:ascii="Arial" w:cs="Arial" w:eastAsia="Arial" w:hAnsi="Arial"/>
          <w:sz w:val="18"/>
          <w:szCs w:val="18"/>
          <w:color w:val="auto"/>
        </w:rPr>
      </w:pPr>
    </w:p>
    <w:p>
      <w:pPr>
        <w:ind w:left="240" w:hanging="232"/>
        <w:spacing w:after="0" w:line="277" w:lineRule="auto"/>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computation of diluted EPS did not include the underlying shares of warrants calculated using treasury method for the three and six months ended December 31, 2021 as the exercise price was greater than the market price of the shares.</w:t>
      </w:r>
    </w:p>
    <w:p>
      <w:pPr>
        <w:spacing w:after="0" w:line="170" w:lineRule="exact"/>
        <w:rPr>
          <w:rFonts w:ascii="Arial" w:cs="Arial" w:eastAsia="Arial" w:hAnsi="Arial"/>
          <w:sz w:val="18"/>
          <w:szCs w:val="18"/>
          <w:color w:val="auto"/>
        </w:rPr>
      </w:pPr>
    </w:p>
    <w:p>
      <w:pPr>
        <w:jc w:val="both"/>
        <w:ind w:left="240" w:hanging="232"/>
        <w:spacing w:after="0" w:line="263" w:lineRule="auto"/>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three and six months ended December 31, 2022, 154,261 vested but unissued shares of restricted stock units under the 2020 Equity Incentive Plan (as discussed in Note 16) are considered issued shares and therefore are included in the computation of basic earnings (losses) per share when the shares are fully vested.</w:t>
      </w:r>
    </w:p>
    <w:p>
      <w:pPr>
        <w:spacing w:after="0" w:line="183" w:lineRule="exact"/>
        <w:rPr>
          <w:rFonts w:ascii="Arial" w:cs="Arial" w:eastAsia="Arial" w:hAnsi="Arial"/>
          <w:sz w:val="18"/>
          <w:szCs w:val="18"/>
          <w:color w:val="auto"/>
        </w:rPr>
      </w:pPr>
    </w:p>
    <w:p>
      <w:pPr>
        <w:jc w:val="both"/>
        <w:ind w:left="240" w:hanging="232"/>
        <w:spacing w:after="0" w:line="263" w:lineRule="auto"/>
        <w:tabs>
          <w:tab w:leader="none" w:pos="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three and six months ended December 31, 2021, 10,886 vested but unissued shares of restricted stock units under the Amended and Restated 2020 Equity Incentive Plan are considered issued shares and therefore are included in the computation of basic earnings (losses) per share as of grant date when the shares are fully vested. Impact of nonvested RSU is immaterial to the EPS.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June 30, 2022, the Company issued 40,019 shares of restricted common stock for RSUs vested in the quarter ended September 30, 2021.</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15, 2022, as part of the consideration for the acquisition of Anivia and subsidiaries, the Company issued 3,083,700 restricted shares of the Company’s common stock, valued at $2.27 per share, which was the closing price of the Company’s Common Stock as traded on Nasdaq on February 15, 2022. These shares have a lock-up period of 180 days and are subject to insider trading restrictions. The fair value of the shares was $5,528,373, calculated with a discount of lack of marketability of 21%, which is determined using the Black Scholes Model.</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2022 and June 30, 2022, there were 29,572,382 and 29,572,382 shares of Common Stock issued and outstanding,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Preferred Stock was authorized as “blank check” series of Preferred Stock, providing that the Board of Directors is expressly authorized, subject to limitations prescribed by law, by resolution or resolutions and by filing a certificate pursuant to the applicable law of the State of Nevada, to provide, out of the authorized but unissued shares of Preferred Stock, for series of Preferred Stock, and to establish from time to time the number of shares to be included in each such series, and to fix the designation, powers, preferences and rights of the shares of each such series and the qualifications, limitations or restrictions thereof. As of December 31, 2022 and June 30, 2022, respectively, there were no shares of Preferred Stock issued and outstanding.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Incentive Plan</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May 5, 2021, the Company’s Board of Directors adopted, and its stockholders approved and ratified, the iPower Inc. Amended and Restated 2020 Equity Incentive Plan (the “Plan”). The Plan allows for the issuance of up to 5,000,000 shares of Common Stock, whether in the form of options, restricted stock, restricted stock units, stock appreciation rights, performance units, performance shares and other stock or cash awards. The general purpose of the Plan is to provide an incentive to the Company’s directors, officers, employees, consultants and advisors by enabling them to share in the future growth of the Company’s business. On November 16, 2021, the Company filed a registration statement on Form S-8 registering all shares issuable under the Plan.</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auto"/>
        </w:rPr>
        <w:t>Restricted Stock Unit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Following completion of the IPO on May 11, 2021, pursuant to their letter agreements, the Company awarded a total of 46,546 restricted stock units (“RSUs”) under the Plan to its independent directors, Chief Financial Officer, and certain other employees and consultants, all of which are subject to certain vesting conditions in the next 12 months and restrictions until filing of a Form S-8 for registration of the shares. On November 16, 2021, we filed a registration statement on Form S-8 registering all shares issuable under the Plan. The fair value of the RSUs was determined to be based on $5.00 per share, the initial listing price of the Company’s common stock on the grant date. The fair value of RSUs issued subsequent to IPO date was based on the stock price on each grant date. During the six months ended December 31, 2022, the Company granted an additional 79,406 shares of RSUs. For the three and six months ended December 31, 2022, the Company recorded $21,884 and $49,384 of stock-based compensation expense. For the three and six months ended December 31, 2021, the Company recorded $54,435 and $157,489 of stock-based compensation expense. As of December 31, 2022 and June 30, 2022, the unvested number of RSUs was 24,800 and 6,608 and the unamortized expense was $14,384 and $15,000,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Information relating to RSU grants is summarized as follows:</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Total Fair Market</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Value of RSUs</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Issued as</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Total RSUs Issued</w:t>
            </w: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Compensation (1)</w:t>
            </w:r>
          </w:p>
        </w:tc>
        <w:tc>
          <w:tcPr>
            <w:tcW w:w="0" w:type="dxa"/>
            <w:vAlign w:val="bottom"/>
          </w:tcPr>
          <w:p>
            <w:pPr>
              <w:spacing w:after="0"/>
              <w:rPr>
                <w:sz w:val="1"/>
                <w:szCs w:val="1"/>
                <w:color w:val="auto"/>
              </w:rPr>
            </w:pPr>
          </w:p>
        </w:tc>
      </w:tr>
      <w:tr>
        <w:trPr>
          <w:trHeight w:val="209"/>
        </w:trPr>
        <w:tc>
          <w:tcPr>
            <w:tcW w:w="7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RSUs granted, but not vested, at June 30, 2022</w:t>
            </w:r>
          </w:p>
        </w:tc>
        <w:tc>
          <w:tcPr>
            <w:tcW w:w="15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6,608</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RSUs granted</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79,406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48,768</w:t>
            </w:r>
          </w:p>
        </w:tc>
        <w:tc>
          <w:tcPr>
            <w:tcW w:w="0" w:type="dxa"/>
            <w:vAlign w:val="bottom"/>
          </w:tcPr>
          <w:p>
            <w:pPr>
              <w:spacing w:after="0"/>
              <w:rPr>
                <w:sz w:val="1"/>
                <w:szCs w:val="1"/>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RSUs forfeited</w:t>
            </w:r>
          </w:p>
        </w:tc>
        <w:tc>
          <w:tcPr>
            <w:tcW w:w="17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RSUs vested</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(61,214)</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RSUs granted, but not vested, at December 31, 2022</w:t>
            </w:r>
          </w:p>
        </w:tc>
        <w:tc>
          <w:tcPr>
            <w:tcW w:w="1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24,800</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146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w:t>
            </w: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40" w:hanging="432"/>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total fair value was based on the current stock price on the grant date.</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2022, of the 194,280 vested RSUs, 40,019 shares of Common Stock were issued, and 154,261 shares were to be issued upon setup of the plan administration account.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May 12, 2022, the Compensation Committee of the Board of Directors approved an incentive plan for the Company’s executive officers consisting of a cash performance bonus of $60,000 to be awarded to Kevin Vassily, CFO of the Company, and stock option grants (the “Option Grants”) in the amount of</w:t>
      </w:r>
    </w:p>
    <w:p>
      <w:pPr>
        <w:jc w:val="both"/>
        <w:ind w:firstLine="8"/>
        <w:spacing w:after="0" w:line="268" w:lineRule="auto"/>
        <w:tabs>
          <w:tab w:leader="none" w:pos="228" w:val="left"/>
        </w:tabs>
        <w:numPr>
          <w:ilvl w:val="0"/>
          <w:numId w:val="10"/>
        </w:numPr>
        <w:rPr>
          <w:rFonts w:ascii="Arial" w:cs="Arial" w:eastAsia="Arial" w:hAnsi="Arial"/>
          <w:sz w:val="17"/>
          <w:szCs w:val="17"/>
          <w:color w:val="auto"/>
        </w:rPr>
      </w:pPr>
      <w:r>
        <w:rPr>
          <w:rFonts w:ascii="Arial" w:cs="Arial" w:eastAsia="Arial" w:hAnsi="Arial"/>
          <w:sz w:val="17"/>
          <w:szCs w:val="17"/>
          <w:color w:val="auto"/>
        </w:rPr>
        <w:t>3,000,000 shares to Chenlong Tan, CEO and (ii) 330,000 shares to Mr. Vassily. The Option Grants, which were issued on May 13, 2022, have an exercise price of $1.12 per share, a contractual term of 10 years and consist of six vesting tranches with a vesting schedule based entirely on the attainment of both designated operational milestones (performance conditions) and market conditions (together, the “Designated Milestones”), assuming continued employment of the recipients through the date on which such Designated Milestones are achieved. Each of the six vesting tranches for the Option Grants will vest when both (i) the market capitalization milestone for such tranche, which begins at $150 million for the first tranche and increases by increments of $50 million through the fourth tranche and $100 million thereafter (based on achieving such market capitalization for five consecutive trading days), has been achieved, and (ii) any one of the following six operational milestones focused on revenue or any one of the six operational milestones focused on operating income have been achieved during a given fiscal year.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achievement status of the operational milestones as of December 31, 2022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60" w:type="dxa"/>
            <w:vAlign w:val="bottom"/>
          </w:tcPr>
          <w:p>
            <w:pPr>
              <w:spacing w:after="0"/>
              <w:rPr>
                <w:sz w:val="20"/>
                <w:szCs w:val="20"/>
                <w:color w:val="auto"/>
              </w:rPr>
            </w:pPr>
          </w:p>
        </w:tc>
        <w:tc>
          <w:tcPr>
            <w:tcW w:w="1740" w:type="dxa"/>
            <w:vAlign w:val="bottom"/>
            <w:gridSpan w:val="3"/>
          </w:tcPr>
          <w:p>
            <w:pPr>
              <w:ind w:left="60"/>
              <w:spacing w:after="0"/>
              <w:rPr>
                <w:sz w:val="20"/>
                <w:szCs w:val="20"/>
                <w:color w:val="auto"/>
              </w:rPr>
            </w:pPr>
            <w:r>
              <w:rPr>
                <w:rFonts w:ascii="Arial" w:cs="Arial" w:eastAsia="Arial" w:hAnsi="Arial"/>
                <w:sz w:val="18"/>
                <w:szCs w:val="18"/>
                <w:color w:val="auto"/>
                <w:w w:val="89"/>
              </w:rPr>
              <w:t>Revenue in Fiscal Year</w:t>
            </w: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780" w:type="dxa"/>
            <w:vAlign w:val="bottom"/>
            <w:gridSpan w:val="4"/>
          </w:tcPr>
          <w:p>
            <w:pPr>
              <w:ind w:left="1000"/>
              <w:spacing w:after="0"/>
              <w:rPr>
                <w:sz w:val="20"/>
                <w:szCs w:val="20"/>
                <w:color w:val="auto"/>
              </w:rPr>
            </w:pPr>
            <w:r>
              <w:rPr>
                <w:rFonts w:ascii="Arial" w:cs="Arial" w:eastAsia="Arial" w:hAnsi="Arial"/>
                <w:sz w:val="18"/>
                <w:szCs w:val="18"/>
                <w:color w:val="auto"/>
              </w:rPr>
              <w:t>Operating Income in Fiscal Year</w:t>
            </w:r>
          </w:p>
        </w:tc>
      </w:tr>
      <w:tr>
        <w:trPr>
          <w:trHeight w:val="195"/>
        </w:trPr>
        <w:tc>
          <w:tcPr>
            <w:tcW w:w="2060" w:type="dxa"/>
            <w:vAlign w:val="bottom"/>
            <w:tcBorders>
              <w:top w:val="single" w:sz="8" w:color="auto"/>
            </w:tcBorders>
          </w:tcPr>
          <w:p>
            <w:pPr>
              <w:jc w:val="right"/>
              <w:ind w:right="70"/>
              <w:spacing w:after="0" w:line="195" w:lineRule="exact"/>
              <w:rPr>
                <w:sz w:val="20"/>
                <w:szCs w:val="20"/>
                <w:color w:val="auto"/>
              </w:rPr>
            </w:pPr>
            <w:r>
              <w:rPr>
                <w:rFonts w:ascii="Arial" w:cs="Arial" w:eastAsia="Arial" w:hAnsi="Arial"/>
                <w:sz w:val="18"/>
                <w:szCs w:val="18"/>
                <w:color w:val="auto"/>
              </w:rPr>
              <w:t>Milestone</w:t>
            </w: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gridSpan w:val="2"/>
          </w:tcPr>
          <w:p>
            <w:pPr>
              <w:jc w:val="center"/>
              <w:ind w:right="580"/>
              <w:spacing w:after="0" w:line="195" w:lineRule="exact"/>
              <w:rPr>
                <w:sz w:val="20"/>
                <w:szCs w:val="20"/>
                <w:color w:val="auto"/>
              </w:rPr>
            </w:pPr>
            <w:r>
              <w:rPr>
                <w:rFonts w:ascii="Arial" w:cs="Arial" w:eastAsia="Arial" w:hAnsi="Arial"/>
                <w:sz w:val="18"/>
                <w:szCs w:val="18"/>
                <w:color w:val="auto"/>
                <w:w w:val="93"/>
              </w:rPr>
              <w:t>Milestone</w:t>
            </w:r>
          </w:p>
        </w:tc>
        <w:tc>
          <w:tcPr>
            <w:tcW w:w="2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2060" w:type="dxa"/>
            <w:vAlign w:val="bottom"/>
          </w:tcPr>
          <w:p>
            <w:pPr>
              <w:jc w:val="right"/>
              <w:spacing w:after="0"/>
              <w:rPr>
                <w:sz w:val="20"/>
                <w:szCs w:val="20"/>
                <w:color w:val="auto"/>
              </w:rPr>
            </w:pPr>
            <w:r>
              <w:rPr>
                <w:rFonts w:ascii="Arial" w:cs="Arial" w:eastAsia="Arial" w:hAnsi="Arial"/>
                <w:sz w:val="18"/>
                <w:szCs w:val="18"/>
                <w:color w:val="auto"/>
              </w:rPr>
              <w:t>(in Millions)</w:t>
            </w: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0" w:type="dxa"/>
            <w:vAlign w:val="bottom"/>
            <w:gridSpan w:val="2"/>
          </w:tcPr>
          <w:p>
            <w:pPr>
              <w:jc w:val="center"/>
              <w:ind w:right="700"/>
              <w:spacing w:after="0"/>
              <w:rPr>
                <w:sz w:val="20"/>
                <w:szCs w:val="20"/>
                <w:color w:val="auto"/>
              </w:rPr>
            </w:pPr>
            <w:r>
              <w:rPr>
                <w:rFonts w:ascii="Arial" w:cs="Arial" w:eastAsia="Arial" w:hAnsi="Arial"/>
                <w:sz w:val="18"/>
                <w:szCs w:val="18"/>
                <w:color w:val="auto"/>
                <w:w w:val="91"/>
              </w:rPr>
              <w:t>Achievement Status</w:t>
            </w:r>
          </w:p>
        </w:tc>
        <w:tc>
          <w:tcPr>
            <w:tcW w:w="460" w:type="dxa"/>
            <w:vAlign w:val="bottom"/>
          </w:tcPr>
          <w:p>
            <w:pPr>
              <w:spacing w:after="0"/>
              <w:rPr>
                <w:sz w:val="20"/>
                <w:szCs w:val="20"/>
                <w:color w:val="auto"/>
              </w:rPr>
            </w:pPr>
          </w:p>
        </w:tc>
        <w:tc>
          <w:tcPr>
            <w:tcW w:w="2220" w:type="dxa"/>
            <w:vAlign w:val="bottom"/>
            <w:gridSpan w:val="2"/>
          </w:tcPr>
          <w:p>
            <w:pPr>
              <w:jc w:val="center"/>
              <w:ind w:right="580"/>
              <w:spacing w:after="0"/>
              <w:rPr>
                <w:sz w:val="20"/>
                <w:szCs w:val="20"/>
                <w:color w:val="auto"/>
              </w:rPr>
            </w:pPr>
            <w:r>
              <w:rPr>
                <w:rFonts w:ascii="Arial" w:cs="Arial" w:eastAsia="Arial" w:hAnsi="Arial"/>
                <w:sz w:val="18"/>
                <w:szCs w:val="18"/>
                <w:color w:val="auto"/>
              </w:rPr>
              <w:t>(in Millions)</w:t>
            </w:r>
          </w:p>
        </w:tc>
        <w:tc>
          <w:tcPr>
            <w:tcW w:w="2560" w:type="dxa"/>
            <w:vAlign w:val="bottom"/>
            <w:gridSpan w:val="2"/>
          </w:tcPr>
          <w:p>
            <w:pPr>
              <w:jc w:val="center"/>
              <w:spacing w:after="0"/>
              <w:rPr>
                <w:sz w:val="20"/>
                <w:szCs w:val="20"/>
                <w:color w:val="auto"/>
              </w:rPr>
            </w:pPr>
            <w:r>
              <w:rPr>
                <w:rFonts w:ascii="Arial" w:cs="Arial" w:eastAsia="Arial" w:hAnsi="Arial"/>
                <w:sz w:val="18"/>
                <w:szCs w:val="18"/>
                <w:color w:val="auto"/>
                <w:w w:val="89"/>
              </w:rPr>
              <w:t>Achievement Status</w:t>
            </w:r>
          </w:p>
        </w:tc>
      </w:tr>
      <w:tr>
        <w:trPr>
          <w:trHeight w:val="210"/>
        </w:trPr>
        <w:tc>
          <w:tcPr>
            <w:tcW w:w="20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60" w:type="dxa"/>
            <w:vAlign w:val="bottom"/>
            <w:shd w:val="clear" w:color="auto" w:fill="EEEEEE"/>
          </w:tcPr>
          <w:p>
            <w:pPr>
              <w:jc w:val="right"/>
              <w:ind w:right="18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90</w:t>
            </w:r>
          </w:p>
        </w:tc>
        <w:tc>
          <w:tcPr>
            <w:tcW w:w="600" w:type="dxa"/>
            <w:vAlign w:val="bottom"/>
            <w:shd w:val="clear" w:color="auto" w:fill="EEEEEE"/>
          </w:tcPr>
          <w:p>
            <w:pPr>
              <w:spacing w:after="0"/>
              <w:rPr>
                <w:sz w:val="18"/>
                <w:szCs w:val="18"/>
                <w:color w:val="auto"/>
              </w:rPr>
            </w:pPr>
          </w:p>
        </w:tc>
        <w:tc>
          <w:tcPr>
            <w:tcW w:w="2200" w:type="dxa"/>
            <w:vAlign w:val="bottom"/>
            <w:gridSpan w:val="2"/>
            <w:shd w:val="clear" w:color="auto" w:fill="EEEEEE"/>
          </w:tcPr>
          <w:p>
            <w:pPr>
              <w:jc w:val="center"/>
              <w:ind w:right="680"/>
              <w:spacing w:after="0"/>
              <w:rPr>
                <w:sz w:val="20"/>
                <w:szCs w:val="20"/>
                <w:color w:val="auto"/>
              </w:rPr>
            </w:pPr>
            <w:r>
              <w:rPr>
                <w:rFonts w:ascii="Arial" w:cs="Arial" w:eastAsia="Arial" w:hAnsi="Arial"/>
                <w:sz w:val="18"/>
                <w:szCs w:val="18"/>
                <w:color w:val="auto"/>
                <w:w w:val="88"/>
              </w:rPr>
              <w:t>Probable</w:t>
            </w:r>
          </w:p>
        </w:tc>
        <w:tc>
          <w:tcPr>
            <w:tcW w:w="46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2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w:t>
            </w:r>
          </w:p>
        </w:tc>
        <w:tc>
          <w:tcPr>
            <w:tcW w:w="256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88"/>
              </w:rPr>
              <w:t>Probable</w:t>
            </w:r>
          </w:p>
        </w:tc>
      </w:tr>
      <w:tr>
        <w:trPr>
          <w:trHeight w:val="216"/>
        </w:trPr>
        <w:tc>
          <w:tcPr>
            <w:tcW w:w="2060" w:type="dxa"/>
            <w:vAlign w:val="bottom"/>
          </w:tcPr>
          <w:p>
            <w:pPr>
              <w:jc w:val="right"/>
              <w:ind w:right="18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600" w:type="dxa"/>
            <w:vAlign w:val="bottom"/>
          </w:tcPr>
          <w:p>
            <w:pPr>
              <w:spacing w:after="0"/>
              <w:rPr>
                <w:sz w:val="18"/>
                <w:szCs w:val="18"/>
                <w:color w:val="auto"/>
              </w:rPr>
            </w:pPr>
          </w:p>
        </w:tc>
        <w:tc>
          <w:tcPr>
            <w:tcW w:w="2200" w:type="dxa"/>
            <w:vAlign w:val="bottom"/>
            <w:gridSpan w:val="2"/>
          </w:tcPr>
          <w:p>
            <w:pPr>
              <w:jc w:val="center"/>
              <w:ind w:right="680"/>
              <w:spacing w:after="0"/>
              <w:rPr>
                <w:sz w:val="20"/>
                <w:szCs w:val="20"/>
                <w:color w:val="auto"/>
              </w:rPr>
            </w:pPr>
            <w:r>
              <w:rPr>
                <w:rFonts w:ascii="Arial" w:cs="Arial" w:eastAsia="Arial" w:hAnsi="Arial"/>
                <w:sz w:val="18"/>
                <w:szCs w:val="18"/>
                <w:color w:val="auto"/>
                <w:w w:val="88"/>
              </w:rPr>
              <w:t>Probable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22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2560" w:type="dxa"/>
            <w:vAlign w:val="bottom"/>
            <w:gridSpan w:val="2"/>
          </w:tcPr>
          <w:p>
            <w:pPr>
              <w:jc w:val="center"/>
              <w:spacing w:after="0"/>
              <w:rPr>
                <w:sz w:val="20"/>
                <w:szCs w:val="20"/>
                <w:color w:val="auto"/>
              </w:rPr>
            </w:pPr>
            <w:r>
              <w:rPr>
                <w:rFonts w:ascii="Arial" w:cs="Arial" w:eastAsia="Arial" w:hAnsi="Arial"/>
                <w:sz w:val="18"/>
                <w:szCs w:val="18"/>
                <w:color w:val="auto"/>
                <w:w w:val="88"/>
              </w:rPr>
              <w:t>Probable</w:t>
            </w:r>
          </w:p>
        </w:tc>
      </w:tr>
      <w:tr>
        <w:trPr>
          <w:trHeight w:val="216"/>
        </w:trPr>
        <w:tc>
          <w:tcPr>
            <w:tcW w:w="2060" w:type="dxa"/>
            <w:vAlign w:val="bottom"/>
            <w:shd w:val="clear" w:color="auto" w:fill="EEEEEE"/>
          </w:tcPr>
          <w:p>
            <w:pPr>
              <w:jc w:val="right"/>
              <w:ind w:right="18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125</w:t>
            </w:r>
          </w:p>
        </w:tc>
        <w:tc>
          <w:tcPr>
            <w:tcW w:w="600" w:type="dxa"/>
            <w:vAlign w:val="bottom"/>
            <w:shd w:val="clear" w:color="auto" w:fill="EEEEEE"/>
          </w:tcPr>
          <w:p>
            <w:pPr>
              <w:spacing w:after="0"/>
              <w:rPr>
                <w:sz w:val="18"/>
                <w:szCs w:val="18"/>
                <w:color w:val="auto"/>
              </w:rPr>
            </w:pPr>
          </w:p>
        </w:tc>
        <w:tc>
          <w:tcPr>
            <w:tcW w:w="2200" w:type="dxa"/>
            <w:vAlign w:val="bottom"/>
            <w:gridSpan w:val="2"/>
            <w:shd w:val="clear" w:color="auto" w:fill="EEEEEE"/>
          </w:tcPr>
          <w:p>
            <w:pPr>
              <w:jc w:val="center"/>
              <w:ind w:right="680"/>
              <w:spacing w:after="0"/>
              <w:rPr>
                <w:sz w:val="20"/>
                <w:szCs w:val="20"/>
                <w:color w:val="auto"/>
              </w:rPr>
            </w:pPr>
            <w:r>
              <w:rPr>
                <w:rFonts w:ascii="Arial" w:cs="Arial" w:eastAsia="Arial" w:hAnsi="Arial"/>
                <w:sz w:val="18"/>
                <w:szCs w:val="18"/>
                <w:color w:val="auto"/>
                <w:w w:val="88"/>
              </w:rPr>
              <w:t>Probable</w:t>
            </w:r>
          </w:p>
        </w:tc>
        <w:tc>
          <w:tcPr>
            <w:tcW w:w="46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2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w:t>
            </w:r>
          </w:p>
        </w:tc>
        <w:tc>
          <w:tcPr>
            <w:tcW w:w="256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88"/>
              </w:rPr>
              <w:t>Probable</w:t>
            </w:r>
          </w:p>
        </w:tc>
      </w:tr>
      <w:tr>
        <w:trPr>
          <w:trHeight w:val="216"/>
        </w:trPr>
        <w:tc>
          <w:tcPr>
            <w:tcW w:w="2060" w:type="dxa"/>
            <w:vAlign w:val="bottom"/>
          </w:tcPr>
          <w:p>
            <w:pPr>
              <w:jc w:val="right"/>
              <w:ind w:right="18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150</w:t>
            </w:r>
          </w:p>
        </w:tc>
        <w:tc>
          <w:tcPr>
            <w:tcW w:w="600" w:type="dxa"/>
            <w:vAlign w:val="bottom"/>
          </w:tcPr>
          <w:p>
            <w:pPr>
              <w:spacing w:after="0"/>
              <w:rPr>
                <w:sz w:val="18"/>
                <w:szCs w:val="18"/>
                <w:color w:val="auto"/>
              </w:rPr>
            </w:pPr>
          </w:p>
        </w:tc>
        <w:tc>
          <w:tcPr>
            <w:tcW w:w="2200" w:type="dxa"/>
            <w:vAlign w:val="bottom"/>
            <w:gridSpan w:val="2"/>
          </w:tcPr>
          <w:p>
            <w:pPr>
              <w:jc w:val="center"/>
              <w:ind w:right="680"/>
              <w:spacing w:after="0"/>
              <w:rPr>
                <w:sz w:val="20"/>
                <w:szCs w:val="20"/>
                <w:color w:val="auto"/>
              </w:rPr>
            </w:pPr>
            <w:r>
              <w:rPr>
                <w:rFonts w:ascii="Arial" w:cs="Arial" w:eastAsia="Arial" w:hAnsi="Arial"/>
                <w:sz w:val="18"/>
                <w:szCs w:val="18"/>
                <w:color w:val="auto"/>
                <w:w w:val="88"/>
              </w:rPr>
              <w:t>Probable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22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5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r>
      <w:tr>
        <w:trPr>
          <w:trHeight w:val="216"/>
        </w:trPr>
        <w:tc>
          <w:tcPr>
            <w:tcW w:w="2060" w:type="dxa"/>
            <w:vAlign w:val="bottom"/>
            <w:shd w:val="clear" w:color="auto" w:fill="EEEEEE"/>
          </w:tcPr>
          <w:p>
            <w:pPr>
              <w:jc w:val="right"/>
              <w:ind w:right="18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200</w:t>
            </w:r>
          </w:p>
        </w:tc>
        <w:tc>
          <w:tcPr>
            <w:tcW w:w="600" w:type="dxa"/>
            <w:vAlign w:val="bottom"/>
            <w:shd w:val="clear" w:color="auto" w:fill="EEEEEE"/>
          </w:tcPr>
          <w:p>
            <w:pPr>
              <w:spacing w:after="0"/>
              <w:rPr>
                <w:sz w:val="18"/>
                <w:szCs w:val="18"/>
                <w:color w:val="auto"/>
              </w:rPr>
            </w:pPr>
          </w:p>
        </w:tc>
        <w:tc>
          <w:tcPr>
            <w:tcW w:w="2200" w:type="dxa"/>
            <w:vAlign w:val="bottom"/>
            <w:gridSpan w:val="2"/>
            <w:shd w:val="clear" w:color="auto" w:fill="EEEEEE"/>
          </w:tcPr>
          <w:p>
            <w:pPr>
              <w:jc w:val="center"/>
              <w:ind w:right="680"/>
              <w:spacing w:after="0"/>
              <w:rPr>
                <w:sz w:val="20"/>
                <w:szCs w:val="20"/>
                <w:color w:val="auto"/>
              </w:rPr>
            </w:pPr>
            <w:r>
              <w:rPr>
                <w:rFonts w:ascii="Arial" w:cs="Arial" w:eastAsia="Arial" w:hAnsi="Arial"/>
                <w:sz w:val="18"/>
                <w:szCs w:val="18"/>
                <w:color w:val="auto"/>
                <w:w w:val="88"/>
              </w:rPr>
              <w:t>Probable</w:t>
            </w:r>
          </w:p>
        </w:tc>
        <w:tc>
          <w:tcPr>
            <w:tcW w:w="46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2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w:t>
            </w:r>
          </w:p>
        </w:tc>
        <w:tc>
          <w:tcPr>
            <w:tcW w:w="256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79"/>
              </w:rPr>
              <w:t>–</w:t>
            </w:r>
          </w:p>
        </w:tc>
      </w:tr>
      <w:tr>
        <w:trPr>
          <w:trHeight w:val="230"/>
        </w:trPr>
        <w:tc>
          <w:tcPr>
            <w:tcW w:w="2060" w:type="dxa"/>
            <w:vAlign w:val="bottom"/>
          </w:tcPr>
          <w:p>
            <w:pPr>
              <w:jc w:val="right"/>
              <w:ind w:right="18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250</w:t>
            </w:r>
          </w:p>
        </w:tc>
        <w:tc>
          <w:tcPr>
            <w:tcW w:w="600" w:type="dxa"/>
            <w:vAlign w:val="bottom"/>
          </w:tcPr>
          <w:p>
            <w:pPr>
              <w:spacing w:after="0"/>
              <w:rPr>
                <w:sz w:val="20"/>
                <w:szCs w:val="20"/>
                <w:color w:val="auto"/>
              </w:rPr>
            </w:pPr>
          </w:p>
        </w:tc>
        <w:tc>
          <w:tcPr>
            <w:tcW w:w="2200" w:type="dxa"/>
            <w:vAlign w:val="bottom"/>
            <w:gridSpan w:val="2"/>
          </w:tcPr>
          <w:p>
            <w:pPr>
              <w:jc w:val="center"/>
              <w:ind w:right="70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222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256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r>
    </w:tbl>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evaluated the performance condition and market condition under ASC 718-10-20. The Option Grants are considered an award containing a performance and a market condition and both conditions (in this case at least one of the performance conditions) must be satisfied for the award to vest. The market condition is incorporated into the fair value of the award, and that fair value is recognized over the longer of the implied service period or requisite service period if it is probable that one of the performance conditions will be met. In relation to the five awards deemed probable to vest, the recognition period ranges from 2.93 years to 9.64 years. If the performance condition is ultimately not met, compensation cost related to the award should not be recognized (or should be reversed to the extent any expense has been recognized related to such tranche) because the vesting condition in the award would not have been satisfied.</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grant date, a Monte Carlo simulation was used to determine for each tranche (i) a fixed amount of expense for such tranche and (ii) the future time when the market capitalization milestone for such tranche was expected to be achieved. Separately, based on a subjective assessment of our future financial performance, each quarter we determine whether it is probable that we will achieve each operational milestone that has not previously been achieved or deemed probable of achievement and if so, the future time when we expect to achieve that operational milestone. The Monte Carlo simulation utilized the following inputs:</w:t>
      </w:r>
    </w:p>
    <w:p>
      <w:pPr>
        <w:spacing w:after="0" w:line="18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Stock Price - $1.12</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Volatility – 95.65%</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Term –10 years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 Free Rate of Return – 2.93%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Dividend Yield – 0%</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total fair value of the Option Grants was $3.2 million of which, at June 30, 2022, $2.3 million is deemed probable of vesting. As of December 31, 2022, none of the options had vested. For the three and six months ended December 31, 2022, the Company recorded $110,382 and $220,764 of stock-based compensation expense related to the Option Grants. For the three and six months ended December 31, 2021, the Company did not record any stock-based compensation expense related to the Option Grants. Unrecognized compensation cost related to tranches probable of vesting is approximately $2.0 million and will be recognized over 2.5 years to 9.5 years, depending on the tranche.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Warrant liabilities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Company’s warrant liabilities contained unobservable inputs that reflected the Company’s own assumptions in which there was little, if any, market activity as of the measurement date. Accordingly, the Company’s warrant liabilities were measured at fair value on a recurring basis using unobservable inputs and were classified as Level 3 measurements.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On December 30, 2020, the Company issued warrants to purchase 2,415 shares of Series A Convertible Preferred Stock to Boustead Securities, LLC (the “Placement Agent”) as compensation, which was recorded as financing expense. The exercise price of the warrants is $10 per share and expires in five years from the issuance date. This Series A Preferred Stock warrant was valued using Black Scholes Option Pricing Model at issuance date and recorded $8,047 as financing expense and warrant liability.</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January 27, 2021, the Company completed a private placement offering pursuant to which the Company sold to two accredited investors an aggregate of $3,000,000 in Convertible Notes and warrants to purchase shares of Class A Common Stock equaling 80% of the number of shares of Class A Common Stock issuable upon conversion of the Convertible Notes. The convertible note warrants shall be exercisable for a period of three years from the IPO completion date at a per share exercise price equal to the IPO. In accordance with the terms of the warrants, in the event the Convertible Notes are repaid in cash by the Company, the warrants issued in conjunction with the Convertible Notes will expire and have no further value.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Convertible Note offering, the Company also issued placement agent warrants to purchase 7.0% of the shares of Common Stock underlying the Convertible Notes exercisable at the conversion price of the Convertible Note (the “Conversion Price”). The placement agent warrants had an exercise period of five years from the issuance date.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14, 2021, upon closing of its IPO, the Company remeasured the warrants to fair value using the Modified Black Scholes Option Pricing Model, based on the expected fair value of the underlying stock with the following assumptions: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Borders>
              <w:bottom w:val="single" w:sz="8" w:color="EEEEEE"/>
            </w:tcBorders>
          </w:tcPr>
          <w:p>
            <w:pPr>
              <w:spacing w:after="0"/>
              <w:rPr>
                <w:sz w:val="20"/>
                <w:szCs w:val="20"/>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As of May 14, 2021</w:t>
            </w:r>
          </w:p>
        </w:tc>
      </w:tr>
      <w:tr>
        <w:trPr>
          <w:trHeight w:val="209"/>
        </w:trPr>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Expected term</w:t>
            </w:r>
          </w:p>
        </w:tc>
        <w:tc>
          <w:tcPr>
            <w:tcW w:w="30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1 day to 3 years</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Expected volatility</w:t>
            </w:r>
          </w:p>
        </w:tc>
        <w:tc>
          <w:tcPr>
            <w:tcW w:w="3080" w:type="dxa"/>
            <w:vAlign w:val="bottom"/>
          </w:tcPr>
          <w:p>
            <w:pPr>
              <w:jc w:val="center"/>
              <w:spacing w:after="0"/>
              <w:rPr>
                <w:sz w:val="20"/>
                <w:szCs w:val="20"/>
                <w:color w:val="auto"/>
              </w:rPr>
            </w:pPr>
            <w:r>
              <w:rPr>
                <w:rFonts w:ascii="Arial" w:cs="Arial" w:eastAsia="Arial" w:hAnsi="Arial"/>
                <w:sz w:val="18"/>
                <w:szCs w:val="18"/>
                <w:color w:val="auto"/>
                <w:w w:val="90"/>
              </w:rPr>
              <w:t>3.3% to 58%</w:t>
            </w:r>
          </w:p>
        </w:tc>
      </w:tr>
      <w:tr>
        <w:trPr>
          <w:trHeight w:val="216"/>
        </w:trPr>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Risk-free interest rate</w:t>
            </w:r>
          </w:p>
        </w:tc>
        <w:tc>
          <w:tcPr>
            <w:tcW w:w="30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0.35% to 0.92%</w:t>
            </w: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Expected dividend rate</w:t>
            </w:r>
          </w:p>
        </w:tc>
        <w:tc>
          <w:tcPr>
            <w:tcW w:w="3080" w:type="dxa"/>
            <w:vAlign w:val="bottom"/>
          </w:tcPr>
          <w:p>
            <w:pPr>
              <w:jc w:val="right"/>
              <w:ind w:right="1330"/>
              <w:spacing w:after="0"/>
              <w:rPr>
                <w:sz w:val="20"/>
                <w:szCs w:val="20"/>
                <w:color w:val="auto"/>
              </w:rPr>
            </w:pPr>
            <w:r>
              <w:rPr>
                <w:rFonts w:ascii="Arial" w:cs="Arial" w:eastAsia="Arial" w:hAnsi="Arial"/>
                <w:sz w:val="18"/>
                <w:szCs w:val="18"/>
                <w:color w:val="auto"/>
              </w:rPr>
              <w:t>0%</w:t>
            </w:r>
          </w:p>
        </w:tc>
      </w:tr>
      <w:tr>
        <w:trPr>
          <w:trHeight w:val="216"/>
        </w:trPr>
        <w:tc>
          <w:tcPr>
            <w:tcW w:w="3100" w:type="dxa"/>
            <w:vAlign w:val="bottom"/>
            <w:shd w:val="clear" w:color="auto" w:fill="EEEEEE"/>
          </w:tcPr>
          <w:p>
            <w:pPr>
              <w:spacing w:after="0"/>
              <w:rPr>
                <w:sz w:val="20"/>
                <w:szCs w:val="20"/>
                <w:color w:val="auto"/>
              </w:rPr>
            </w:pPr>
            <w:r>
              <w:rPr>
                <w:rFonts w:ascii="Arial" w:cs="Arial" w:eastAsia="Arial" w:hAnsi="Arial"/>
                <w:sz w:val="18"/>
                <w:szCs w:val="18"/>
                <w:color w:val="auto"/>
              </w:rPr>
              <w:t>Probability</w:t>
            </w:r>
          </w:p>
        </w:tc>
        <w:tc>
          <w:tcPr>
            <w:tcW w:w="3080" w:type="dxa"/>
            <w:vAlign w:val="bottom"/>
            <w:shd w:val="clear" w:color="auto" w:fill="EEEEEE"/>
          </w:tcPr>
          <w:p>
            <w:pPr>
              <w:jc w:val="right"/>
              <w:ind w:right="1250"/>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14, 2021, the fair value of the warrant liabilities was $1,361,347, which includes $4,610 preferred stock warrant, $1,324,668 warrants issued to the Convertible Note investors and $32,069 warrants issued to the placement agent. The increase in fair value immediately before the IPO was $617,593, which was reported in other non-operating expenses for the year ended June 30, 2021.</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Upon closing the IPO on May 14, 2021, the Placement Agent exercised its warrants in full to purchase a total of 24,451 shares of the Company’s Common Stock and, as such, there were no placement agent warrants outstanding as of June 30, 2021. At the same time, the outstanding warrants held by the Convertible Note investors were reclassed to additional paid in capital as the terms became fixed upon closing of the IPO. Through December 31, 2022, none of the private placement investors exercised any of their warrants. As such, as of December 31, 2022 and June 30, 2022, the number of shares issuable under the outstanding warrants was 685,715, with an average exercise price of $5.00 per share.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Concentration of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and accounts receivable.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2" w:name="page33"/>
    <w:bookmarkEnd w:id="32"/>
    <w:p>
      <w:pPr>
        <w:jc w:val="both"/>
        <w:spacing w:after="0" w:line="259" w:lineRule="auto"/>
        <w:rPr>
          <w:sz w:val="20"/>
          <w:szCs w:val="20"/>
          <w:color w:val="auto"/>
        </w:rPr>
      </w:pPr>
      <w:r>
        <w:rPr>
          <w:rFonts w:ascii="Arial" w:cs="Arial" w:eastAsia="Arial" w:hAnsi="Arial"/>
          <w:sz w:val="18"/>
          <w:szCs w:val="18"/>
          <w:color w:val="auto"/>
        </w:rPr>
        <w:t>As of December 31, 2022 and June 30, 2022, $3,997,125 and $1,821,947, respectively, were deposited with various major financial institutions in the United States and PRC. Accounts at each institution in the United States are insured by the Federal Deposit Insurance Corporation (FDIC) for up to $250,000. The Company had approximately $3.1 million and $0.5 million, respectively, in excess of the FDIC insurance limit, as of December 31, 2022 and June 30, 2022.</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Accounts receivable are typically unsecured and derived from revenue earned from customers, thereby exposing the Company to credit risk. The risk is mitigated by the Company’s assessment of its customers’ creditworthiness and its ongoing monitoring of outstanding balances. The Company maintains reserves for estimated credit losses, and such losses have generally been within expectations.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business of DHS, the Company’s VIE, may be impacted by Chinese economic conditions, changes in regulations and laws, and other uncertainties.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 and vendor concentration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six months ended December 31, 2022 and 2021, Amazon Vendor and Amazon Seller customers accounted for 91% and 89% of the Company's total revenues, respectively. As of December 31, 2022 and June 30, 2022, accounts receivable from Amazon Vendor and Amazon Seller accounted for 89% and 94% of the Company’s total accounts receivable.</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six months ended December 31, 2022 and 2021, two suppliers accounted for 41% (31% and 10%) and 29% (22% and 7%) of the Company's total purchases, respectively. As of December 31, 2022, accounts payable to two suppliers accounted for 65% (57% and 8%) of the Company’s total accounts payable. As of June 30, 2022, accounts payable to two suppliers accounted for 44% (34% and 10%) of the Company’s total accounts payable.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commitments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adopted ASC842 since its inception date, April 11, 2018. The Company has entered into a lease agreement to rent office and warehouse space with a lease period from December 1, 2018 until December 31, 2020. On August 24, 2020, the Company negotiated for new terms to extend the lease through December 21, 2023 at the rate of approximately $42,000 per month.</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 2020, in addition to the primary fulfillment center, the Company leased a second fulfillment center in City of Industry, California. The base rental fee ranges from $27,921 to $29,910 per month through October 31, 2023.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15, 2022, upon completion of the acquisition of Anivia Limited, the Company assumed an operating lease for offices located in the People’s Republic of China.</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28, 2021, the Company entered into a Lease agreement (the “Lease Agreement”) with 9th &amp; Vineyard, LLC, a Delaware limited liability company (the “Landlord”), to lease from the Landlord approximately 99,347 square feet of space located at 8798 9th Street, Rancho Cucamonga, California (the “Premises”). The term of the Lease Agreement was for 62 months, commencing on the date on which the Landlord completes certain prescribed improvements on the property (the “Rent Commencement Date”). The Lease Agreement does not provide for an option to renew.</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the Company will be responsible for its pro rata share of certain costs, including utility costs, insurance and common area costs, as further detailed in the Lease Agreement. Following the Rent Commencement Date, the first two months of the Base Rent were to be abated.</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The lease was not started under the original Lease Agreement as completion of the construction was not timely completed. On February 23, 2022, as a result of the delay in completion of the construction, the Company entered into an amended agreement to extend the lease term to 74 months. The lease commencement date is February 10, 2022, with rent payments commencing May 11, 2022 and the lease expiring on May 31, 2028. The base rental fee ranges from $114,249 to $140,079 per month through the expiration date of May 31, 2028.</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 2022, the Company leased another fulfillment center in Duarte, California. The base rental fee ranges from $56,000 to $59,410 per month through April 30, 2025.</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Total commitment for the full term of these leases is $12,440,869. The financial statements reflected $9,161,840 and $10,453,282, respectively, of operating lease right-of-use assets, and $9,586,788 and $10,848,544, respectively, of operating lease liabilities as of December 31, 2022 and June 30,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4"/>
          </w:tcPr>
          <w:p>
            <w:pPr>
              <w:spacing w:after="0"/>
              <w:rPr>
                <w:sz w:val="20"/>
                <w:szCs w:val="20"/>
                <w:color w:val="auto"/>
              </w:rPr>
            </w:pPr>
            <w:r>
              <w:rPr>
                <w:rFonts w:ascii="Arial" w:cs="Arial" w:eastAsia="Arial" w:hAnsi="Arial"/>
                <w:sz w:val="18"/>
                <w:szCs w:val="18"/>
                <w:color w:val="auto"/>
              </w:rPr>
              <w:t>Three Months Ended December 31, 2022 and 2021:</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440" w:type="dxa"/>
            <w:vAlign w:val="bottom"/>
            <w:gridSpan w:val="4"/>
          </w:tcPr>
          <w:p>
            <w:pPr>
              <w:spacing w:after="0"/>
              <w:rPr>
                <w:sz w:val="20"/>
                <w:szCs w:val="20"/>
                <w:color w:val="auto"/>
              </w:rPr>
            </w:pPr>
            <w:r>
              <w:rPr>
                <w:rFonts w:ascii="Arial" w:cs="Arial" w:eastAsia="Arial" w:hAnsi="Arial"/>
                <w:sz w:val="18"/>
                <w:szCs w:val="18"/>
                <w:color w:val="auto"/>
              </w:rPr>
              <w:t>Lease cost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12/31/2022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color w:val="auto"/>
                <w:w w:val="90"/>
              </w:rPr>
              <w:t>12/31/2021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auto"/>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1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440" w:type="dxa"/>
            <w:vAlign w:val="bottom"/>
            <w:gridSpan w:val="4"/>
            <w:shd w:val="clear" w:color="auto" w:fill="EEEEEE"/>
          </w:tcPr>
          <w:p>
            <w:pPr>
              <w:spacing w:after="0"/>
              <w:rPr>
                <w:sz w:val="20"/>
                <w:szCs w:val="20"/>
                <w:color w:val="auto"/>
              </w:rPr>
            </w:pPr>
            <w:r>
              <w:rPr>
                <w:rFonts w:ascii="Arial" w:cs="Arial" w:eastAsia="Arial" w:hAnsi="Arial"/>
                <w:sz w:val="18"/>
                <w:szCs w:val="18"/>
                <w:color w:val="auto"/>
                <w:w w:val="95"/>
              </w:rPr>
              <w:t>Operating lease cost (included in selling and fulfillment in the Company's statement of operations)</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775,494</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205,517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20" w:type="dxa"/>
            <w:vAlign w:val="bottom"/>
            <w:tcBorders>
              <w:bottom w:val="single" w:sz="8" w:color="auto"/>
            </w:tcBorders>
            <w:gridSpan w:val="3"/>
            <w:shd w:val="clear" w:color="auto" w:fill="EEEEEE"/>
          </w:tcPr>
          <w:p>
            <w:pPr>
              <w:spacing w:after="0" w:line="176" w:lineRule="exact"/>
              <w:rPr>
                <w:sz w:val="20"/>
                <w:szCs w:val="20"/>
                <w:color w:val="auto"/>
              </w:rPr>
            </w:pPr>
            <w:r>
              <w:rPr>
                <w:rFonts w:ascii="Arial" w:cs="Arial" w:eastAsia="Arial" w:hAnsi="Arial"/>
                <w:sz w:val="18"/>
                <w:szCs w:val="18"/>
                <w:color w:val="auto"/>
                <w:w w:val="93"/>
              </w:rPr>
              <w:t>Other information</w:t>
            </w:r>
          </w:p>
        </w:tc>
        <w:tc>
          <w:tcPr>
            <w:tcW w:w="6120" w:type="dxa"/>
            <w:vAlign w:val="bottom"/>
            <w:tcBorders>
              <w:bottom w:val="single" w:sz="8" w:color="EEEEEE"/>
            </w:tcBorders>
            <w:shd w:val="clear" w:color="auto" w:fill="EEEEEE"/>
          </w:tcPr>
          <w:p>
            <w:pPr>
              <w:spacing w:after="0"/>
              <w:rPr>
                <w:sz w:val="17"/>
                <w:szCs w:val="17"/>
                <w:color w:val="auto"/>
              </w:rPr>
            </w:pPr>
          </w:p>
        </w:tc>
        <w:tc>
          <w:tcPr>
            <w:tcW w:w="34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134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34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4"/>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5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755,643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212,694</w:t>
            </w:r>
          </w:p>
        </w:tc>
        <w:tc>
          <w:tcPr>
            <w:tcW w:w="0" w:type="dxa"/>
            <w:vAlign w:val="bottom"/>
          </w:tcPr>
          <w:p>
            <w:pPr>
              <w:spacing w:after="0"/>
              <w:rPr>
                <w:sz w:val="1"/>
                <w:szCs w:val="1"/>
                <w:color w:val="auto"/>
              </w:rPr>
            </w:pPr>
          </w:p>
        </w:tc>
      </w:tr>
      <w:tr>
        <w:trPr>
          <w:trHeight w:val="216"/>
        </w:trPr>
        <w:tc>
          <w:tcPr>
            <w:tcW w:w="74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Remaining term in years</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0.58 – 5.42</w:t>
            </w: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7440" w:type="dxa"/>
            <w:vAlign w:val="bottom"/>
            <w:gridSpan w:val="4"/>
          </w:tcPr>
          <w:p>
            <w:pPr>
              <w:spacing w:after="0"/>
              <w:rPr>
                <w:sz w:val="20"/>
                <w:szCs w:val="20"/>
                <w:color w:val="auto"/>
              </w:rPr>
            </w:pPr>
            <w:r>
              <w:rPr>
                <w:rFonts w:ascii="Arial" w:cs="Arial" w:eastAsia="Arial" w:hAnsi="Arial"/>
                <w:sz w:val="18"/>
                <w:szCs w:val="18"/>
                <w:color w:val="auto"/>
              </w:rPr>
              <w:t>Average discount rate - operating leases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5 - 8%</w:t>
            </w:r>
          </w:p>
        </w:tc>
        <w:tc>
          <w:tcPr>
            <w:tcW w:w="2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8"/>
        </w:trPr>
        <w:tc>
          <w:tcPr>
            <w:tcW w:w="7440" w:type="dxa"/>
            <w:vAlign w:val="bottom"/>
            <w:gridSpan w:val="4"/>
          </w:tcPr>
          <w:p>
            <w:pPr>
              <w:spacing w:after="0"/>
              <w:rPr>
                <w:sz w:val="20"/>
                <w:szCs w:val="20"/>
                <w:color w:val="auto"/>
              </w:rPr>
            </w:pPr>
            <w:r>
              <w:rPr>
                <w:rFonts w:ascii="Arial" w:cs="Arial" w:eastAsia="Arial" w:hAnsi="Arial"/>
                <w:sz w:val="18"/>
                <w:szCs w:val="18"/>
                <w:color w:val="auto"/>
              </w:rPr>
              <w:t>Six Months Ended December 31, 2022 and 2021:</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440" w:type="dxa"/>
            <w:vAlign w:val="bottom"/>
            <w:gridSpan w:val="4"/>
          </w:tcPr>
          <w:p>
            <w:pPr>
              <w:spacing w:after="0"/>
              <w:rPr>
                <w:sz w:val="20"/>
                <w:szCs w:val="20"/>
                <w:color w:val="auto"/>
              </w:rPr>
            </w:pPr>
            <w:r>
              <w:rPr>
                <w:rFonts w:ascii="Arial" w:cs="Arial" w:eastAsia="Arial" w:hAnsi="Arial"/>
                <w:sz w:val="18"/>
                <w:szCs w:val="18"/>
                <w:color w:val="auto"/>
              </w:rPr>
              <w:t>Lease cost</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12/31/2022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color w:val="auto"/>
                <w:w w:val="90"/>
              </w:rPr>
              <w:t>12/31/2021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auto"/>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1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440" w:type="dxa"/>
            <w:vAlign w:val="bottom"/>
            <w:gridSpan w:val="4"/>
            <w:shd w:val="clear" w:color="auto" w:fill="EEEEEE"/>
          </w:tcPr>
          <w:p>
            <w:pPr>
              <w:spacing w:after="0"/>
              <w:rPr>
                <w:sz w:val="20"/>
                <w:szCs w:val="20"/>
                <w:color w:val="auto"/>
              </w:rPr>
            </w:pPr>
            <w:r>
              <w:rPr>
                <w:rFonts w:ascii="Arial" w:cs="Arial" w:eastAsia="Arial" w:hAnsi="Arial"/>
                <w:sz w:val="18"/>
                <w:szCs w:val="18"/>
                <w:color w:val="auto"/>
                <w:w w:val="95"/>
              </w:rPr>
              <w:t>Operating lease cost (included in selling and fulfillment in the Company's statement of operations)</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1,554,727</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411,034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20" w:type="dxa"/>
            <w:vAlign w:val="bottom"/>
            <w:tcBorders>
              <w:bottom w:val="single" w:sz="8" w:color="auto"/>
            </w:tcBorders>
            <w:gridSpan w:val="3"/>
            <w:shd w:val="clear" w:color="auto" w:fill="EEEEEE"/>
          </w:tcPr>
          <w:p>
            <w:pPr>
              <w:spacing w:after="0" w:line="176" w:lineRule="exact"/>
              <w:rPr>
                <w:sz w:val="20"/>
                <w:szCs w:val="20"/>
                <w:color w:val="auto"/>
              </w:rPr>
            </w:pPr>
            <w:r>
              <w:rPr>
                <w:rFonts w:ascii="Arial" w:cs="Arial" w:eastAsia="Arial" w:hAnsi="Arial"/>
                <w:sz w:val="18"/>
                <w:szCs w:val="18"/>
                <w:color w:val="auto"/>
                <w:w w:val="93"/>
              </w:rPr>
              <w:t>Other information</w:t>
            </w:r>
          </w:p>
        </w:tc>
        <w:tc>
          <w:tcPr>
            <w:tcW w:w="6120" w:type="dxa"/>
            <w:vAlign w:val="bottom"/>
            <w:tcBorders>
              <w:bottom w:val="single" w:sz="8" w:color="EEEEEE"/>
            </w:tcBorders>
            <w:shd w:val="clear" w:color="auto" w:fill="EEEEEE"/>
          </w:tcPr>
          <w:p>
            <w:pPr>
              <w:spacing w:after="0"/>
              <w:rPr>
                <w:sz w:val="17"/>
                <w:szCs w:val="17"/>
                <w:color w:val="auto"/>
              </w:rPr>
            </w:pPr>
          </w:p>
        </w:tc>
        <w:tc>
          <w:tcPr>
            <w:tcW w:w="34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134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34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gridSpan w:val="4"/>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5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1,524,704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422,457</w:t>
            </w:r>
          </w:p>
        </w:tc>
        <w:tc>
          <w:tcPr>
            <w:tcW w:w="0" w:type="dxa"/>
            <w:vAlign w:val="bottom"/>
          </w:tcPr>
          <w:p>
            <w:pPr>
              <w:spacing w:after="0"/>
              <w:rPr>
                <w:sz w:val="1"/>
                <w:szCs w:val="1"/>
                <w:color w:val="auto"/>
              </w:rPr>
            </w:pPr>
          </w:p>
        </w:tc>
      </w:tr>
      <w:tr>
        <w:trPr>
          <w:trHeight w:val="216"/>
        </w:trPr>
        <w:tc>
          <w:tcPr>
            <w:tcW w:w="74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Remaining term in years</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0.58 – 5.42</w:t>
            </w: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7440" w:type="dxa"/>
            <w:vAlign w:val="bottom"/>
            <w:gridSpan w:val="4"/>
          </w:tcPr>
          <w:p>
            <w:pPr>
              <w:spacing w:after="0"/>
              <w:rPr>
                <w:sz w:val="20"/>
                <w:szCs w:val="20"/>
                <w:color w:val="auto"/>
              </w:rPr>
            </w:pPr>
            <w:r>
              <w:rPr>
                <w:rFonts w:ascii="Arial" w:cs="Arial" w:eastAsia="Arial" w:hAnsi="Arial"/>
                <w:sz w:val="18"/>
                <w:szCs w:val="18"/>
                <w:color w:val="auto"/>
              </w:rPr>
              <w:t>Average discount rate - operating leases</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5 - 8%</w:t>
            </w:r>
          </w:p>
        </w:tc>
        <w:tc>
          <w:tcPr>
            <w:tcW w:w="2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8"/>
        </w:trPr>
        <w:tc>
          <w:tcPr>
            <w:tcW w:w="7440" w:type="dxa"/>
            <w:vAlign w:val="bottom"/>
            <w:gridSpan w:val="4"/>
          </w:tcPr>
          <w:p>
            <w:pPr>
              <w:spacing w:after="0"/>
              <w:rPr>
                <w:sz w:val="20"/>
                <w:szCs w:val="20"/>
                <w:color w:val="auto"/>
              </w:rPr>
            </w:pPr>
            <w:r>
              <w:rPr>
                <w:rFonts w:ascii="Arial" w:cs="Arial" w:eastAsia="Arial" w:hAnsi="Arial"/>
                <w:sz w:val="18"/>
                <w:szCs w:val="18"/>
                <w:color w:val="auto"/>
              </w:rPr>
              <w:t>The supplemental balance sheet information related to leases for the period is as follows: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440" w:type="dxa"/>
            <w:vAlign w:val="bottom"/>
            <w:gridSpan w:val="4"/>
          </w:tcPr>
          <w:p>
            <w:pPr>
              <w:spacing w:after="0"/>
              <w:rPr>
                <w:sz w:val="20"/>
                <w:szCs w:val="20"/>
                <w:color w:val="auto"/>
              </w:rPr>
            </w:pPr>
            <w:r>
              <w:rPr>
                <w:rFonts w:ascii="Arial" w:cs="Arial" w:eastAsia="Arial" w:hAnsi="Arial"/>
                <w:sz w:val="18"/>
                <w:szCs w:val="18"/>
                <w:color w:val="auto"/>
              </w:rPr>
              <w:t>Operating leases</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270"/>
              <w:spacing w:after="0"/>
              <w:rPr>
                <w:sz w:val="20"/>
                <w:szCs w:val="20"/>
                <w:color w:val="auto"/>
              </w:rPr>
            </w:pPr>
            <w:r>
              <w:rPr>
                <w:rFonts w:ascii="Arial" w:cs="Arial" w:eastAsia="Arial" w:hAnsi="Arial"/>
                <w:sz w:val="18"/>
                <w:szCs w:val="18"/>
                <w:color w:val="auto"/>
              </w:rPr>
              <w:t>12/31/2022</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color w:val="auto"/>
                <w:w w:val="92"/>
              </w:rPr>
              <w:t>6/30/2022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auto"/>
              <w:bottom w:val="single" w:sz="8" w:color="EEEEEE"/>
            </w:tcBorders>
          </w:tcPr>
          <w:p>
            <w:pPr>
              <w:spacing w:after="0" w:line="20" w:lineRule="exact"/>
              <w:rPr>
                <w:sz w:val="1"/>
                <w:szCs w:val="1"/>
                <w:color w:val="auto"/>
              </w:rPr>
            </w:pPr>
          </w:p>
        </w:tc>
        <w:tc>
          <w:tcPr>
            <w:tcW w:w="440" w:type="dxa"/>
            <w:vAlign w:val="bottom"/>
            <w:tcBorders>
              <w:top w:val="single" w:sz="8" w:color="auto"/>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1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4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Right of use asset - non-current</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9,161,840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10,453,282</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Lease Liability - current</w:t>
            </w: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2,563,468</w:t>
            </w:r>
          </w:p>
        </w:tc>
        <w:tc>
          <w:tcPr>
            <w:tcW w:w="2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2,582,933</w:t>
            </w:r>
          </w:p>
        </w:tc>
        <w:tc>
          <w:tcPr>
            <w:tcW w:w="0" w:type="dxa"/>
            <w:vAlign w:val="bottom"/>
          </w:tcPr>
          <w:p>
            <w:pPr>
              <w:spacing w:after="0"/>
              <w:rPr>
                <w:sz w:val="1"/>
                <w:szCs w:val="1"/>
                <w:color w:val="auto"/>
              </w:rPr>
            </w:pPr>
          </w:p>
        </w:tc>
      </w:tr>
      <w:tr>
        <w:trPr>
          <w:trHeight w:val="216"/>
        </w:trPr>
        <w:tc>
          <w:tcPr>
            <w:tcW w:w="7440" w:type="dxa"/>
            <w:vAlign w:val="bottom"/>
            <w:gridSpan w:val="4"/>
          </w:tcPr>
          <w:p>
            <w:pPr>
              <w:spacing w:after="0"/>
              <w:rPr>
                <w:sz w:val="20"/>
                <w:szCs w:val="20"/>
                <w:color w:val="auto"/>
              </w:rPr>
            </w:pPr>
            <w:r>
              <w:rPr>
                <w:rFonts w:ascii="Arial" w:cs="Arial" w:eastAsia="Arial" w:hAnsi="Arial"/>
                <w:sz w:val="18"/>
                <w:szCs w:val="18"/>
                <w:color w:val="auto"/>
              </w:rPr>
              <w:t>Lease Liability - non-current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7,023,320</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8,265,611</w:t>
            </w:r>
          </w:p>
        </w:tc>
        <w:tc>
          <w:tcPr>
            <w:tcW w:w="0" w:type="dxa"/>
            <w:vAlign w:val="bottom"/>
          </w:tcPr>
          <w:p>
            <w:pPr>
              <w:spacing w:after="0"/>
              <w:rPr>
                <w:sz w:val="1"/>
                <w:szCs w:val="1"/>
                <w:color w:val="auto"/>
              </w:rPr>
            </w:pPr>
          </w:p>
        </w:tc>
      </w:tr>
      <w:tr>
        <w:trPr>
          <w:trHeight w:val="210"/>
        </w:trPr>
        <w:tc>
          <w:tcPr>
            <w:tcW w:w="7440" w:type="dxa"/>
            <w:vAlign w:val="bottom"/>
            <w:tcBorders>
              <w:top w:val="single" w:sz="8" w:color="EEEEEE"/>
              <w:bottom w:val="single" w:sz="8" w:color="EEEEEE"/>
            </w:tcBorders>
            <w:gridSpan w:val="4"/>
            <w:shd w:val="clear" w:color="auto" w:fill="EEEEEE"/>
          </w:tcPr>
          <w:p>
            <w:pPr>
              <w:spacing w:after="0"/>
              <w:rPr>
                <w:sz w:val="20"/>
                <w:szCs w:val="20"/>
                <w:color w:val="auto"/>
              </w:rPr>
            </w:pPr>
            <w:r>
              <w:rPr>
                <w:rFonts w:ascii="Arial" w:cs="Arial" w:eastAsia="Arial" w:hAnsi="Arial"/>
                <w:sz w:val="18"/>
                <w:szCs w:val="18"/>
                <w:color w:val="auto"/>
              </w:rPr>
              <w:t>Total operating lease liabilities</w:t>
            </w:r>
          </w:p>
        </w:tc>
        <w:tc>
          <w:tcPr>
            <w:tcW w:w="340" w:type="dxa"/>
            <w:vAlign w:val="bottom"/>
            <w:tcBorders>
              <w:top w:val="single" w:sz="8" w:color="EEEEEE"/>
              <w:bottom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9,586,788</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10,848,544</w:t>
            </w: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4"/>
            <w:vMerge w:val="restart"/>
          </w:tcPr>
          <w:p>
            <w:pPr>
              <w:ind w:left="554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7440" w:type="dxa"/>
            <w:vAlign w:val="bottom"/>
            <w:tcBorders>
              <w:bottom w:val="single" w:sz="8" w:color="auto"/>
            </w:tcBorders>
            <w:gridSpan w:val="4"/>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92"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Maturities of the Company’s lease liabilities are as follows: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9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Operating</w:t>
            </w:r>
          </w:p>
        </w:tc>
      </w:tr>
      <w:tr>
        <w:trPr>
          <w:trHeight w:val="230"/>
        </w:trPr>
        <w:tc>
          <w:tcPr>
            <w:tcW w:w="9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Lease</w:t>
            </w:r>
          </w:p>
        </w:tc>
      </w:tr>
      <w:tr>
        <w:trPr>
          <w:trHeight w:val="210"/>
        </w:trPr>
        <w:tc>
          <w:tcPr>
            <w:tcW w:w="95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For Year ending June 30:</w:t>
            </w:r>
          </w:p>
        </w:tc>
        <w:tc>
          <w:tcPr>
            <w:tcW w:w="26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2023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1,550,310</w:t>
            </w:r>
          </w:p>
        </w:tc>
      </w:tr>
      <w:tr>
        <w:trPr>
          <w:trHeight w:val="216"/>
        </w:trPr>
        <w:tc>
          <w:tcPr>
            <w:tcW w:w="9560" w:type="dxa"/>
            <w:vAlign w:val="bottom"/>
            <w:shd w:val="clear" w:color="auto" w:fill="EEEEEE"/>
          </w:tcPr>
          <w:p>
            <w:pPr>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2,510,815</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2,080,331</w:t>
            </w:r>
          </w:p>
        </w:tc>
      </w:tr>
      <w:tr>
        <w:trPr>
          <w:trHeight w:val="216"/>
        </w:trPr>
        <w:tc>
          <w:tcPr>
            <w:tcW w:w="9560" w:type="dxa"/>
            <w:vAlign w:val="bottom"/>
            <w:shd w:val="clear" w:color="auto" w:fill="EEEEEE"/>
          </w:tcPr>
          <w:p>
            <w:pPr>
              <w:spacing w:after="0"/>
              <w:rPr>
                <w:sz w:val="20"/>
                <w:szCs w:val="20"/>
                <w:color w:val="auto"/>
              </w:rPr>
            </w:pPr>
            <w:r>
              <w:rPr>
                <w:rFonts w:ascii="Arial" w:cs="Arial" w:eastAsia="Arial" w:hAnsi="Arial"/>
                <w:sz w:val="18"/>
                <w:szCs w:val="18"/>
                <w:color w:val="auto"/>
              </w:rPr>
              <w:t>2026</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1,533,918</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2027</w:t>
            </w: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1,586,572</w:t>
            </w:r>
          </w:p>
        </w:tc>
      </w:tr>
      <w:tr>
        <w:trPr>
          <w:trHeight w:val="216"/>
        </w:trPr>
        <w:tc>
          <w:tcPr>
            <w:tcW w:w="9560" w:type="dxa"/>
            <w:vAlign w:val="bottom"/>
            <w:shd w:val="clear" w:color="auto" w:fill="EEEEEE"/>
          </w:tcPr>
          <w:p>
            <w:pPr>
              <w:spacing w:after="0"/>
              <w:rPr>
                <w:sz w:val="20"/>
                <w:szCs w:val="20"/>
                <w:color w:val="auto"/>
              </w:rPr>
            </w:pPr>
            <w:r>
              <w:rPr>
                <w:rFonts w:ascii="Arial" w:cs="Arial" w:eastAsia="Arial" w:hAnsi="Arial"/>
                <w:sz w:val="18"/>
                <w:szCs w:val="18"/>
                <w:color w:val="auto"/>
              </w:rPr>
              <w:t>2028 and after</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1,459,407</w:t>
            </w: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Less: Imputed interest/present value discount</w:t>
            </w:r>
          </w:p>
        </w:tc>
        <w:tc>
          <w:tcPr>
            <w:tcW w:w="26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(1,134,565)</w:t>
            </w:r>
          </w:p>
        </w:tc>
      </w:tr>
      <w:tr>
        <w:trPr>
          <w:trHeight w:val="209"/>
        </w:trPr>
        <w:tc>
          <w:tcPr>
            <w:tcW w:w="95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Present value of lease liabilities</w:t>
            </w:r>
          </w:p>
        </w:tc>
        <w:tc>
          <w:tcPr>
            <w:tcW w:w="260" w:type="dxa"/>
            <w:vAlign w:val="bottom"/>
            <w:tcBorders>
              <w:top w:val="single" w:sz="8" w:color="auto"/>
              <w:bottom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9,586,788</w:t>
            </w:r>
          </w:p>
        </w:tc>
        <w:tc>
          <w:tcPr>
            <w:tcW w:w="100" w:type="dxa"/>
            <w:vAlign w:val="bottom"/>
            <w:tcBorders>
              <w:top w:val="single" w:sz="8" w:color="EEEEEE"/>
              <w:bottom w:val="single" w:sz="8" w:color="EEEEEE"/>
            </w:tcBorders>
            <w:shd w:val="clear" w:color="auto" w:fill="EEEEEE"/>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Except as disclosed below, the Company is not currently a party to any material legal proceedings, investigation or claims. As the Company may, from time to time, be involved in legal matters arising in the ordinary course of its business, there can be no assurance that such matters will not arise in the future or that any such matters in which the Company is involved, or which may arise in the ordinary course of the Company’s business, will not at some point proceed to litigation or that such litigation will not have a material adverse effect on the business, financial condition or results of operations of the Company.</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an engagement agreement, dated and effective August 31, 2020 (the “Engagement Agreement”), with Boustead Securities LLC (“Boustead”), the Company engaged Boustead to act as its exclusive placement agent for private placements of its securities and as a potential underwriter for its initial public offering. On February 28, 2021, the Company informed Boustead that it was terminating the Engagement Agreement and any continuing obligations the Company may have had under its terms. On April 15, 2021, the Company provided formal written notice to Boustead of its termination of the Engagement Agreement and all obligations thereunder, effective immediately. On April 30, 2021, Boustead filed a statement of claim with the Financial Institute Regulatory Authority, or FINRA, demanding to arbitrate the dispute, and is seeking, among other things, monetary damages against the Company and D.A. Davidson &amp; Co. (who acted as underwriter in the Company’s IPO). Presently, the matter is scheduled to be heard before a FINRA arbitration appeal over six non-consecutive days during the months of April and May 2023. The Company has agreed to indemnify D.A. Davidson &amp; Co. and the other underwriters against any liability or expense they may incur or be subject to arising out of the Boustead dispute. Additionally, Chenlong Tan, the Company’s Chairman, President and Chief Executive Officer and a beneficial owner more than 5% of the Company’s Common Stock, has agreed to reimburse the Company for any judgments, fines and amounts paid or actually incurred by the Company or an indemnitee in connection with such legal action or in connection with any settlement agreement entered into by the Company or an indemnitee up to a maximum of $3.5 million in the aggregate, with the sole source of funding of such reimbursement to come from sales of shares then owned by Mr. Tan. The Company cannot reasonably estimate the amount of potential exposure as of the date of this report.</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an effort to contain or slow the COVID-19 outbreak, authorities across the world have implemented various measures, some of which have been subsequently rescinded or modified, including travel bans, stay-at-home orders and shutdowns of certain businesses. The Company anticipates that these actions and the global health crisis caused by the COVID-19 outbreak, including any resurgences, will continue to negatively impact global economic activity. While the COVID-19 outbreak has not had a material adverse impact on the Company’s operations to date, it is difficult to predict all of the positive or negative impacts the COVID-19 outbreak may have on the Company’s business in the future.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5" w:name="page36"/>
    <w:bookmarkEnd w:id="35"/>
    <w:p>
      <w:pPr>
        <w:jc w:val="both"/>
        <w:spacing w:after="0" w:line="293" w:lineRule="auto"/>
        <w:rPr>
          <w:sz w:val="20"/>
          <w:szCs w:val="20"/>
          <w:color w:val="auto"/>
        </w:rPr>
      </w:pPr>
      <w:r>
        <w:rPr>
          <w:rFonts w:ascii="Arial" w:cs="Arial" w:eastAsia="Arial" w:hAnsi="Arial"/>
          <w:sz w:val="16"/>
          <w:szCs w:val="16"/>
          <w:color w:val="auto"/>
        </w:rPr>
        <w:t>In February 2022, the Russian Federation began conducting military operations against Ukraine, which have been ongoing ever since, resulting in global economic uncertainty and increased cost of various commodities. In response to these types of events, should they directly impact our supply chain or other operations, we may experience or be exposed to supply chain disruption which could cause us to seek alternate sources for product supply, or suffer consequences that are unexpected and difficult to mitigate. Any of these risks might have a materially adverse impact on our business operations and our financial position or results of operations. Although, it is difficult to predict the impact that these factors may have on our business in the future, they did not have a material effect on our results of operations, financial condition, or liquidity for the three and six months ended December 31,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Subsequent events</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through the date that the consolidated financial statements are available to be issued. Other than as disclosed in Note 12 above, no material subsequent events that required recognition or additional disclosure in the consolidated financial statements presented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720"/>
        <w:spacing w:after="0" w:line="254" w:lineRule="auto"/>
        <w:rPr>
          <w:sz w:val="20"/>
          <w:szCs w:val="20"/>
          <w:color w:val="auto"/>
        </w:rPr>
      </w:pPr>
      <w:r>
        <w:rPr>
          <w:rFonts w:ascii="Arial" w:cs="Arial" w:eastAsia="Arial" w:hAnsi="Arial"/>
          <w:sz w:val="18"/>
          <w:szCs w:val="18"/>
          <w:i w:val="1"/>
          <w:iCs w:val="1"/>
          <w:color w:val="auto"/>
        </w:rPr>
        <w:t>The following Management’s Discussion and Analysis should be read in conjunction with our financial statements and the related notes thereto included elsewhere herein. This Management’s Discussion and Analysis (“MD&amp;A”) contains forward-looking statements that involve risks and uncertainties, such as statements of our plans, objectives, expectations and intentions. Any statements that are not statements of historical fact are forward-looking statements. When used, the words “believe,” “plan,” “intend,” “anticipate,” “target,” “estimate,” “expect,” and the like, and/or future-tense or conditional constructions (“will,” “may,” “could,” “should,” etc.), or similar expressions, identify certain of these forward-looking statements. These forward-looking statements are subject to risks and uncertainties that could cause actual results or events to differ materially from those expressed or implied by the forward-looking statements in this form. Our actual results and the timing of events could differ materially from those anticipated in these forward-looking statements as a result of several factors.</w:t>
      </w:r>
    </w:p>
    <w:p>
      <w:pPr>
        <w:spacing w:after="0" w:line="192"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i w:val="1"/>
          <w:iCs w:val="1"/>
          <w:color w:val="auto"/>
        </w:rPr>
        <w:t>Historical results may not indicate future performance. Our forward-looking statements reflect our current views about future events, are based on assumptions and are subject to known and unknown risks and uncertainties that could cause actual results to differ materially from those contemplated by these statements. We undertake no obligation to publicly update or revise any forward- looking statements, including any changes that might result from any facts, events, or circumstances after the date hereof that may bear upon forward-looking statements. Furthermore, we cannot guarantee future results, events, levels of activity, performance, or achievements.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720"/>
        <w:spacing w:after="0" w:line="291" w:lineRule="auto"/>
        <w:rPr>
          <w:sz w:val="20"/>
          <w:szCs w:val="20"/>
          <w:color w:val="auto"/>
        </w:rPr>
      </w:pPr>
      <w:r>
        <w:rPr>
          <w:rFonts w:ascii="Arial" w:cs="Arial" w:eastAsia="Arial" w:hAnsi="Arial"/>
          <w:sz w:val="16"/>
          <w:szCs w:val="16"/>
          <w:color w:val="auto"/>
        </w:rPr>
        <w:t>iPower Inc. is a U.S.-based online retailer and supplier of consumer home, garden and pet products. Through the operations of our e-commerce platform, www.simpledeluxe.com and www.Zenhydro.com, our combined 121,000 square foot fulfillment centers in Los Angeles, California, as well as our 99,000 square foot fulfillment center in Rancho Cucamonga, California, we believe we are one of the leading marketers, distributors and retailers of home fans, shelving, gaming chairs, grow-light systems, ventilation systems, activated carbon filters, nutrients, hydroponic water-resistant grow tents, trimming machines, pumps, accessories for hydroponic gardening and certain pet products, based on management’s estimates. We have a diverse customer base that includes commercial users and individuals. Our core strategy continues to focus on expanding our geographic reach across the United States through organic growth, both in terms of expanding customer base as well as brand and product development.</w:t>
      </w:r>
    </w:p>
    <w:p>
      <w:pPr>
        <w:spacing w:after="0" w:line="166" w:lineRule="exact"/>
        <w:rPr>
          <w:sz w:val="20"/>
          <w:szCs w:val="20"/>
          <w:color w:val="auto"/>
        </w:rPr>
      </w:pPr>
    </w:p>
    <w:p>
      <w:pPr>
        <w:jc w:val="both"/>
        <w:ind w:firstLine="720"/>
        <w:spacing w:after="0" w:line="296" w:lineRule="auto"/>
        <w:rPr>
          <w:sz w:val="20"/>
          <w:szCs w:val="20"/>
          <w:color w:val="auto"/>
        </w:rPr>
      </w:pPr>
      <w:r>
        <w:rPr>
          <w:rFonts w:ascii="Arial" w:cs="Arial" w:eastAsia="Arial" w:hAnsi="Arial"/>
          <w:sz w:val="16"/>
          <w:szCs w:val="16"/>
          <w:color w:val="auto"/>
        </w:rPr>
        <w:t xml:space="preserve">We are actively developing and acquiring our in-house branded products, which to date include the </w:t>
      </w:r>
      <w:r>
        <w:rPr>
          <w:rFonts w:ascii="Arial" w:cs="Arial" w:eastAsia="Arial" w:hAnsi="Arial"/>
          <w:sz w:val="16"/>
          <w:szCs w:val="16"/>
          <w:b w:val="1"/>
          <w:bCs w:val="1"/>
          <w:i w:val="1"/>
          <w:iCs w:val="1"/>
          <w:color w:val="auto"/>
        </w:rPr>
        <w:t>iPower, Simple Deluxe</w:t>
      </w:r>
      <w:r>
        <w:rPr>
          <w:rFonts w:ascii="Arial" w:cs="Arial" w:eastAsia="Arial" w:hAnsi="Arial"/>
          <w:sz w:val="16"/>
          <w:szCs w:val="16"/>
          <w:color w:val="auto"/>
        </w:rPr>
        <w:t xml:space="preserve"> and other brands and consist of products such as home goods, fans, pet products, grow-light systems, ventilation systems, activated carbon filters, nutrients, hydroponic water-resistant grow tents, trimming machines, pumps and many more hydroponic-related items; some of which have been designated as Amazon best seller product leaders, among others. For the six months ended December 31, 2022, our top five product segments accounted for 78% of total sales. While we continue to focus on our top product categories, we are working to expand our product catalog to include new and adjacent categories.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and Expectations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and Brand Development</w:t>
      </w:r>
    </w:p>
    <w:p>
      <w:pPr>
        <w:spacing w:after="0" w:line="225" w:lineRule="exact"/>
        <w:rPr>
          <w:sz w:val="20"/>
          <w:szCs w:val="20"/>
          <w:color w:val="auto"/>
        </w:rPr>
      </w:pPr>
    </w:p>
    <w:p>
      <w:pPr>
        <w:jc w:val="both"/>
        <w:ind w:firstLine="720"/>
        <w:spacing w:after="0" w:line="308" w:lineRule="auto"/>
        <w:rPr>
          <w:sz w:val="20"/>
          <w:szCs w:val="20"/>
          <w:color w:val="auto"/>
        </w:rPr>
      </w:pPr>
      <w:r>
        <w:rPr>
          <w:rFonts w:ascii="Arial" w:cs="Arial" w:eastAsia="Arial" w:hAnsi="Arial"/>
          <w:sz w:val="17"/>
          <w:szCs w:val="17"/>
          <w:color w:val="auto"/>
        </w:rPr>
        <w:t>We plan to increase our investments in product and brand development. We actively evaluate potential acquisition opportunities of companies and product brand names that can complement our product catalog and improve on existing products and supply chain efficiencies.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Global Economic Disruption</w:t>
      </w:r>
    </w:p>
    <w:p>
      <w:pPr>
        <w:spacing w:after="0" w:line="225"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While at present the majority of our products are sourced either in the United States or Mainland China, the military conflict between Russia and Ukraine may nonetheless increase the likelihood of supply chain disruptions or otherwise hinder our ability to find the materials we need to make our products. In addition, supply chain disruptions may make it harder for us to find favorable pricing and reliable sources for the materials we need, putting upward pressure on our costs and increasing the risk that we may be unable to acquire the materials and services we need to continue to make certain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COVID-19 Epidemic and Related Disruptions</w:t>
      </w:r>
    </w:p>
    <w:p>
      <w:pPr>
        <w:spacing w:after="0" w:line="225" w:lineRule="exact"/>
        <w:rPr>
          <w:sz w:val="20"/>
          <w:szCs w:val="20"/>
          <w:color w:val="auto"/>
        </w:rPr>
      </w:pPr>
    </w:p>
    <w:p>
      <w:pPr>
        <w:jc w:val="both"/>
        <w:ind w:firstLine="720"/>
        <w:spacing w:after="0" w:line="254" w:lineRule="auto"/>
        <w:rPr>
          <w:sz w:val="20"/>
          <w:szCs w:val="20"/>
          <w:color w:val="auto"/>
        </w:rPr>
      </w:pPr>
      <w:r>
        <w:rPr>
          <w:rFonts w:ascii="Arial" w:cs="Arial" w:eastAsia="Arial" w:hAnsi="Arial"/>
          <w:sz w:val="18"/>
          <w:szCs w:val="18"/>
          <w:color w:val="auto"/>
        </w:rPr>
        <w:t>We are continuing to closely monitor the impact of the ongoing COVID-19 epidemic on our business, results of operations and financial results. The situation surrounding the COVID-19 epidemic remains fluid and the full extent of the positive or negative impact of the COVID-19 outbreak on our business will depend on certain developments including the length of time that the epidemic continues, the impact on consumer activity and behaviors and the effect on our customers, employees, suppliers and stockholders, all of which are uncertain and cannot be predicted. Our focus remains on promoting the health, safety and financial security of our employees and serving our customers. As a result, we have taken a number of precautionary measures, including implementing social distancing and enhanced cleaning measures in our facilities, providing emergency paid time off and targeted hourly pay increases as well as developing no contact delivery methods.</w:t>
      </w:r>
    </w:p>
    <w:p>
      <w:pPr>
        <w:spacing w:after="0" w:line="195" w:lineRule="exact"/>
        <w:rPr>
          <w:sz w:val="20"/>
          <w:szCs w:val="20"/>
          <w:color w:val="auto"/>
        </w:rPr>
      </w:pPr>
    </w:p>
    <w:p>
      <w:pPr>
        <w:jc w:val="both"/>
        <w:ind w:firstLine="720"/>
        <w:spacing w:after="0" w:line="296" w:lineRule="auto"/>
        <w:rPr>
          <w:sz w:val="20"/>
          <w:szCs w:val="20"/>
          <w:color w:val="auto"/>
        </w:rPr>
      </w:pPr>
      <w:r>
        <w:rPr>
          <w:rFonts w:ascii="Arial" w:cs="Arial" w:eastAsia="Arial" w:hAnsi="Arial"/>
          <w:sz w:val="16"/>
          <w:szCs w:val="16"/>
          <w:color w:val="auto"/>
        </w:rPr>
        <w:t>In an effort to contain or slow the COVID-19 epidemic, authorities across the world have implemented various measures, some of which have been subsequently rescinded or modified, including travel bans, stay-at-home orders and shutdowns of certain businesses. We anticipate that these actions and the global health crisis caused by the COVID-19 epidemic, including any resurgences, will continue to negatively impact global economic activity. While the COVID-19 epidemic has not had a material adverse impact on our operations to date and we believe the long-term opportunity that we see for shopping online remains unchanged, it is difficult to predict all of the positive or negative impacts the COVID-19 outbreak will have on our business.</w:t>
      </w:r>
    </w:p>
    <w:p>
      <w:pPr>
        <w:spacing w:after="0" w:line="161"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In the short term, we have continued to see increased sales and order activity in the market since the COVID-19 outbreak. In order to keep up with the increased orders, we have hired and are continuing to hire additional personnel. However, much is unknown and, accordingly, the situation remains dynamic and subject to rapid and possibly material change. We will continue to actively monitor the situation and may take further actions that alter our business operations as may be required by federal, state, local or foreign authorities, or that we determine are in the best interests of our customers, employees, suppliers, stockholders and communities.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Environment</w:t>
      </w:r>
    </w:p>
    <w:p>
      <w:pPr>
        <w:spacing w:after="0" w:line="225" w:lineRule="exact"/>
        <w:rPr>
          <w:sz w:val="20"/>
          <w:szCs w:val="20"/>
          <w:color w:val="auto"/>
        </w:rPr>
      </w:pPr>
    </w:p>
    <w:p>
      <w:pPr>
        <w:jc w:val="both"/>
        <w:ind w:firstLine="720"/>
        <w:spacing w:after="0" w:line="272" w:lineRule="auto"/>
        <w:rPr>
          <w:sz w:val="20"/>
          <w:szCs w:val="20"/>
          <w:color w:val="auto"/>
        </w:rPr>
      </w:pPr>
      <w:r>
        <w:rPr>
          <w:rFonts w:ascii="Arial" w:cs="Arial" w:eastAsia="Arial" w:hAnsi="Arial"/>
          <w:sz w:val="17"/>
          <w:szCs w:val="17"/>
          <w:color w:val="auto"/>
        </w:rPr>
        <w:t>We sell hydroponic gardening products to end users that may use such products in new and emerging industries or segments, including the growing of cannabis. The demand for hydroponic gardening products depends on the uncertain growth of these industries or segments due to varying, inconsistent and rapidly changing laws, regulations, administrative practices, enforcement approaches, judicial interpretations and consumer perceptions. For example, certain countries and a total of 44 U.S. states plus the District of Columbia have adopted frameworks that authorize, regulate and tax the cultivation, processing, sale and use of cannabis for medicinal and/or non-medicinal use, including legalization of hemp and CBD, while the U.S. Controlled Substances Act and the laws of certain U.S. states prohibit growing cannabis. Demand for our products could be impacted by changes in the regulatory environment with respect to such industries and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December 31, 2022 and 2021</w:t>
      </w:r>
    </w:p>
    <w:p>
      <w:pPr>
        <w:spacing w:after="0" w:line="225" w:lineRule="exact"/>
        <w:rPr>
          <w:sz w:val="20"/>
          <w:szCs w:val="20"/>
          <w:color w:val="auto"/>
        </w:rPr>
      </w:pPr>
    </w:p>
    <w:p>
      <w:pPr>
        <w:jc w:val="both"/>
        <w:ind w:right="20" w:firstLine="720"/>
        <w:spacing w:after="0" w:line="277" w:lineRule="auto"/>
        <w:rPr>
          <w:sz w:val="20"/>
          <w:szCs w:val="20"/>
          <w:color w:val="auto"/>
        </w:rPr>
      </w:pPr>
      <w:r>
        <w:rPr>
          <w:rFonts w:ascii="Arial" w:cs="Arial" w:eastAsia="Arial" w:hAnsi="Arial"/>
          <w:sz w:val="18"/>
          <w:szCs w:val="18"/>
          <w:color w:val="auto"/>
        </w:rPr>
        <w:t>The following table presents certain unaudited condensed consolidated statement of operations information and presentation of that data as a percentage of change from period to period.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3"/>
              </w:rPr>
              <w:t>Three Months</w:t>
            </w: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Three Months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Variance</w:t>
            </w:r>
          </w:p>
        </w:tc>
      </w:tr>
      <w:tr>
        <w:trPr>
          <w:trHeight w:val="209"/>
        </w:trPr>
        <w:tc>
          <w:tcPr>
            <w:tcW w:w="66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19,254,590</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17,125,663</w:t>
            </w:r>
          </w:p>
        </w:tc>
        <w:tc>
          <w:tcPr>
            <w:tcW w:w="2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12.43%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8"/>
                <w:szCs w:val="18"/>
                <w:color w:val="auto"/>
              </w:rPr>
            </w:pPr>
          </w:p>
        </w:tc>
        <w:tc>
          <w:tcPr>
            <w:tcW w:w="1480" w:type="dxa"/>
            <w:vAlign w:val="bottom"/>
            <w:gridSpan w:val="2"/>
          </w:tcPr>
          <w:p>
            <w:pPr>
              <w:jc w:val="right"/>
              <w:ind w:right="141"/>
              <w:spacing w:after="0"/>
              <w:rPr>
                <w:sz w:val="20"/>
                <w:szCs w:val="20"/>
                <w:color w:val="auto"/>
              </w:rPr>
            </w:pPr>
            <w:r>
              <w:rPr>
                <w:rFonts w:ascii="Arial" w:cs="Arial" w:eastAsia="Arial" w:hAnsi="Arial"/>
                <w:sz w:val="18"/>
                <w:szCs w:val="18"/>
                <w:color w:val="auto"/>
              </w:rPr>
              <w:t>11,285,064</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9,568,051</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17.95%</w:t>
            </w:r>
          </w:p>
        </w:tc>
      </w:tr>
      <w:tr>
        <w:trPr>
          <w:trHeight w:val="210"/>
        </w:trPr>
        <w:tc>
          <w:tcPr>
            <w:tcW w:w="66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7,969,526</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7,557,612</w:t>
            </w:r>
          </w:p>
        </w:tc>
        <w:tc>
          <w:tcPr>
            <w:tcW w:w="220" w:type="dxa"/>
            <w:vAlign w:val="bottom"/>
            <w:tcBorders>
              <w:top w:val="single" w:sz="8" w:color="EEEEEE"/>
            </w:tcBorders>
            <w:shd w:val="clear" w:color="auto" w:fill="EEEEEE"/>
          </w:tcPr>
          <w:p>
            <w:pPr>
              <w:spacing w:after="0"/>
              <w:rPr>
                <w:sz w:val="18"/>
                <w:szCs w:val="18"/>
                <w:color w:val="auto"/>
              </w:rPr>
            </w:pPr>
          </w:p>
        </w:tc>
        <w:tc>
          <w:tcPr>
            <w:tcW w:w="1440" w:type="dxa"/>
            <w:vAlign w:val="bottom"/>
            <w:tcBorders>
              <w:top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5.45%</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480" w:type="dxa"/>
            <w:vAlign w:val="bottom"/>
            <w:gridSpan w:val="2"/>
          </w:tcPr>
          <w:p>
            <w:pPr>
              <w:jc w:val="right"/>
              <w:ind w:right="141"/>
              <w:spacing w:after="0"/>
              <w:rPr>
                <w:sz w:val="20"/>
                <w:szCs w:val="20"/>
                <w:color w:val="auto"/>
              </w:rPr>
            </w:pPr>
            <w:r>
              <w:rPr>
                <w:rFonts w:ascii="Arial" w:cs="Arial" w:eastAsia="Arial" w:hAnsi="Arial"/>
                <w:sz w:val="18"/>
                <w:szCs w:val="18"/>
                <w:color w:val="auto"/>
              </w:rPr>
              <w:t>12,052,092</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6,422,327</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87.66%</w:t>
            </w:r>
          </w:p>
        </w:tc>
      </w:tr>
      <w:tr>
        <w:trPr>
          <w:trHeight w:val="209"/>
        </w:trPr>
        <w:tc>
          <w:tcPr>
            <w:tcW w:w="66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Operating (loss) income</w:t>
            </w: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(4,082,566)</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1,135,285</w:t>
            </w:r>
          </w:p>
        </w:tc>
        <w:tc>
          <w:tcPr>
            <w:tcW w:w="220" w:type="dxa"/>
            <w:vAlign w:val="bottom"/>
            <w:tcBorders>
              <w:top w:val="single" w:sz="8" w:color="EEEEEE"/>
            </w:tcBorders>
            <w:shd w:val="clear" w:color="auto" w:fill="EEEEEE"/>
          </w:tcPr>
          <w:p>
            <w:pPr>
              <w:spacing w:after="0"/>
              <w:rPr>
                <w:sz w:val="18"/>
                <w:szCs w:val="18"/>
                <w:color w:val="auto"/>
              </w:rPr>
            </w:pPr>
          </w:p>
        </w:tc>
        <w:tc>
          <w:tcPr>
            <w:tcW w:w="1440" w:type="dxa"/>
            <w:vAlign w:val="bottom"/>
            <w:tcBorders>
              <w:top w:val="single" w:sz="8" w:color="EEEEEE"/>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(459.61%)</w:t>
            </w:r>
          </w:p>
        </w:tc>
      </w:tr>
      <w:tr>
        <w:trPr>
          <w:trHeight w:val="210"/>
        </w:trPr>
        <w:tc>
          <w:tcPr>
            <w:tcW w:w="66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Other (expenses)</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(258,457)</w:t>
            </w:r>
          </w:p>
        </w:tc>
        <w:tc>
          <w:tcPr>
            <w:tcW w:w="220" w:type="dxa"/>
            <w:vAlign w:val="bottom"/>
            <w:tcBorders>
              <w:bottom w:val="single" w:sz="8" w:color="EEEEEE"/>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(14,709)</w:t>
            </w:r>
          </w:p>
        </w:tc>
        <w:tc>
          <w:tcPr>
            <w:tcW w:w="220" w:type="dxa"/>
            <w:vAlign w:val="bottom"/>
            <w:tcBorders>
              <w:bottom w:val="single" w:sz="8" w:color="EEEEEE"/>
            </w:tcBorders>
          </w:tcPr>
          <w:p>
            <w:pPr>
              <w:spacing w:after="0"/>
              <w:rPr>
                <w:sz w:val="18"/>
                <w:szCs w:val="18"/>
                <w:color w:val="auto"/>
              </w:rPr>
            </w:pPr>
          </w:p>
        </w:tc>
        <w:tc>
          <w:tcPr>
            <w:tcW w:w="144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1,657.13%</w:t>
            </w:r>
          </w:p>
        </w:tc>
      </w:tr>
      <w:tr>
        <w:trPr>
          <w:trHeight w:val="209"/>
        </w:trPr>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(Loss) Income before income taxes</w:t>
            </w: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(4,341,023)</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1,120,576</w:t>
            </w: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(487.39%)</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20" w:type="dxa"/>
            <w:vAlign w:val="bottom"/>
          </w:tcPr>
          <w:p>
            <w:pPr>
              <w:spacing w:after="0"/>
              <w:rPr>
                <w:sz w:val="18"/>
                <w:szCs w:val="18"/>
                <w:color w:val="auto"/>
              </w:rPr>
            </w:pPr>
          </w:p>
        </w:tc>
        <w:tc>
          <w:tcPr>
            <w:tcW w:w="1480" w:type="dxa"/>
            <w:vAlign w:val="bottom"/>
            <w:gridSpan w:val="2"/>
          </w:tcPr>
          <w:p>
            <w:pPr>
              <w:jc w:val="right"/>
              <w:ind w:right="81"/>
              <w:spacing w:after="0"/>
              <w:rPr>
                <w:sz w:val="20"/>
                <w:szCs w:val="20"/>
                <w:color w:val="auto"/>
              </w:rPr>
            </w:pPr>
            <w:r>
              <w:rPr>
                <w:rFonts w:ascii="Arial" w:cs="Arial" w:eastAsia="Arial" w:hAnsi="Arial"/>
                <w:sz w:val="18"/>
                <w:szCs w:val="18"/>
                <w:color w:val="auto"/>
              </w:rPr>
              <w:t>(1,047,749)</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322,715</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(424.67%)</w:t>
            </w:r>
          </w:p>
        </w:tc>
      </w:tr>
      <w:tr>
        <w:trPr>
          <w:trHeight w:val="209"/>
        </w:trPr>
        <w:tc>
          <w:tcPr>
            <w:tcW w:w="66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12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(3,293,274)</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797,861</w:t>
            </w:r>
          </w:p>
        </w:tc>
        <w:tc>
          <w:tcPr>
            <w:tcW w:w="220" w:type="dxa"/>
            <w:vAlign w:val="bottom"/>
            <w:tcBorders>
              <w:top w:val="single" w:sz="8" w:color="EEEEEE"/>
            </w:tcBorders>
            <w:shd w:val="clear" w:color="auto" w:fill="EEEEEE"/>
          </w:tcPr>
          <w:p>
            <w:pPr>
              <w:spacing w:after="0"/>
              <w:rPr>
                <w:sz w:val="18"/>
                <w:szCs w:val="18"/>
                <w:color w:val="auto"/>
              </w:rPr>
            </w:pPr>
          </w:p>
        </w:tc>
        <w:tc>
          <w:tcPr>
            <w:tcW w:w="1440" w:type="dxa"/>
            <w:vAlign w:val="bottom"/>
            <w:tcBorders>
              <w:top w:val="single" w:sz="8" w:color="EEEEEE"/>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(512.76%)</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18"/>
                <w:szCs w:val="18"/>
                <w:color w:val="auto"/>
              </w:rPr>
            </w:pPr>
          </w:p>
        </w:tc>
        <w:tc>
          <w:tcPr>
            <w:tcW w:w="1480" w:type="dxa"/>
            <w:vAlign w:val="bottom"/>
            <w:gridSpan w:val="2"/>
          </w:tcPr>
          <w:p>
            <w:pPr>
              <w:jc w:val="right"/>
              <w:ind w:right="81"/>
              <w:spacing w:after="0"/>
              <w:rPr>
                <w:sz w:val="20"/>
                <w:szCs w:val="20"/>
                <w:color w:val="auto"/>
              </w:rPr>
            </w:pPr>
            <w:r>
              <w:rPr>
                <w:rFonts w:ascii="Arial" w:cs="Arial" w:eastAsia="Arial" w:hAnsi="Arial"/>
                <w:sz w:val="18"/>
                <w:szCs w:val="18"/>
                <w:color w:val="auto"/>
              </w:rPr>
              <w:t>(2,835)</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6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(loss) income attributable to iPower Inc.</w:t>
            </w:r>
          </w:p>
        </w:tc>
        <w:tc>
          <w:tcPr>
            <w:tcW w:w="12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(3,290,439)</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797,861</w:t>
            </w:r>
          </w:p>
        </w:tc>
        <w:tc>
          <w:tcPr>
            <w:tcW w:w="220" w:type="dxa"/>
            <w:vAlign w:val="bottom"/>
            <w:tcBorders>
              <w:top w:val="single" w:sz="8" w:color="EEEEEE"/>
            </w:tcBorders>
            <w:shd w:val="clear" w:color="auto" w:fill="EEEEEE"/>
          </w:tcPr>
          <w:p>
            <w:pPr>
              <w:spacing w:after="0"/>
              <w:rPr>
                <w:sz w:val="18"/>
                <w:szCs w:val="18"/>
                <w:color w:val="auto"/>
              </w:rPr>
            </w:pPr>
          </w:p>
        </w:tc>
        <w:tc>
          <w:tcPr>
            <w:tcW w:w="1440" w:type="dxa"/>
            <w:vAlign w:val="bottom"/>
            <w:tcBorders>
              <w:top w:val="single" w:sz="8" w:color="EEEEEE"/>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(512.41%)</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18"/>
                <w:szCs w:val="18"/>
                <w:color w:val="auto"/>
              </w:rPr>
            </w:pPr>
          </w:p>
        </w:tc>
        <w:tc>
          <w:tcPr>
            <w:tcW w:w="1480" w:type="dxa"/>
            <w:vAlign w:val="bottom"/>
            <w:gridSpan w:val="2"/>
          </w:tcPr>
          <w:p>
            <w:pPr>
              <w:jc w:val="right"/>
              <w:ind w:right="141"/>
              <w:spacing w:after="0"/>
              <w:rPr>
                <w:sz w:val="20"/>
                <w:szCs w:val="20"/>
                <w:color w:val="auto"/>
              </w:rPr>
            </w:pPr>
            <w:r>
              <w:rPr>
                <w:rFonts w:ascii="Arial" w:cs="Arial" w:eastAsia="Arial" w:hAnsi="Arial"/>
                <w:sz w:val="18"/>
                <w:szCs w:val="18"/>
                <w:color w:val="auto"/>
              </w:rPr>
              <w:t>47,149</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6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(loss) income attributable to iPower Inc.</w:t>
            </w: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(3,243,290</w:t>
            </w:r>
          </w:p>
        </w:tc>
        <w:tc>
          <w:tcPr>
            <w:tcW w:w="220" w:type="dxa"/>
            <w:vAlign w:val="bottom"/>
            <w:tcBorders>
              <w:top w:val="single" w:sz="8" w:color="EEEEEE"/>
              <w:bottom w:val="single" w:sz="8" w:color="EEEEEE"/>
            </w:tcBorders>
            <w:shd w:val="clear" w:color="auto" w:fill="EEEEEE"/>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797,861</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440" w:type="dxa"/>
            <w:vAlign w:val="bottom"/>
            <w:tcBorders>
              <w:top w:val="single" w:sz="8" w:color="EEEEEE"/>
              <w:bottom w:val="single" w:sz="8" w:color="EEEEEE"/>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(506.50%)</w:t>
            </w:r>
          </w:p>
        </w:tc>
      </w:tr>
      <w:tr>
        <w:trPr>
          <w:trHeight w:val="20"/>
        </w:trPr>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Gross profit % of revenues</w:t>
            </w:r>
          </w:p>
        </w:tc>
        <w:tc>
          <w:tcPr>
            <w:tcW w:w="1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41.39%</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44.13%</w:t>
            </w: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Operating (loss) income % of revenues</w:t>
            </w:r>
          </w:p>
        </w:tc>
        <w:tc>
          <w:tcPr>
            <w:tcW w:w="120" w:type="dxa"/>
            <w:vAlign w:val="bottom"/>
          </w:tcPr>
          <w:p>
            <w:pPr>
              <w:spacing w:after="0"/>
              <w:rPr>
                <w:sz w:val="18"/>
                <w:szCs w:val="18"/>
                <w:color w:val="auto"/>
              </w:rPr>
            </w:pPr>
          </w:p>
        </w:tc>
        <w:tc>
          <w:tcPr>
            <w:tcW w:w="1480" w:type="dxa"/>
            <w:vAlign w:val="bottom"/>
            <w:gridSpan w:val="2"/>
          </w:tcPr>
          <w:p>
            <w:pPr>
              <w:jc w:val="right"/>
              <w:ind w:right="81"/>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6.63%</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Net (loss) income % of revenues</w:t>
            </w:r>
          </w:p>
        </w:tc>
        <w:tc>
          <w:tcPr>
            <w:tcW w:w="1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4.66%</w:t>
            </w: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Revenues for the three months ended December 31, 2022 increased 12.43% to $19,254,590 as compared to $17,125,663 for the three months ended December 31, 2021. While pricing remained stable, the increased revenue mainly resulted from an increase in sales volume and expansion of sales to other regions, such as Canada, Europe and Asia. In addition to our organic growth and diversified product mix, which we achieved as a result of improved products and more effective online marketing and merchandising efforts, the increase in sales was attributable to more people shopping online and pursuing gardening and growing projects during the COVID-19 pandemic.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w:t>
      </w:r>
    </w:p>
    <w:p>
      <w:pPr>
        <w:spacing w:after="0" w:line="225" w:lineRule="exact"/>
        <w:rPr>
          <w:sz w:val="20"/>
          <w:szCs w:val="20"/>
          <w:color w:val="auto"/>
        </w:rPr>
      </w:pPr>
    </w:p>
    <w:p>
      <w:pPr>
        <w:jc w:val="both"/>
        <w:ind w:firstLine="720"/>
        <w:spacing w:after="0" w:line="311" w:lineRule="auto"/>
        <w:rPr>
          <w:sz w:val="20"/>
          <w:szCs w:val="20"/>
          <w:color w:val="auto"/>
        </w:rPr>
      </w:pPr>
      <w:r>
        <w:rPr>
          <w:rFonts w:ascii="Arial" w:cs="Arial" w:eastAsia="Arial" w:hAnsi="Arial"/>
          <w:sz w:val="16"/>
          <w:szCs w:val="16"/>
          <w:color w:val="auto"/>
        </w:rPr>
        <w:t>Costs of goods sold for the three months ended December 31, 2022 increased 17.95% to $11,285,064 as compared to $9,568,051 for the three months ended December 31, 2021. The increase was due to an increase in sales, which resulted in increased accompanying costs. See discussions on gross profit below. We have seen decreasing freight charges since September 2022 but cannot be assured that this trend will continue.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720"/>
        <w:spacing w:after="0" w:line="291" w:lineRule="auto"/>
        <w:rPr>
          <w:sz w:val="20"/>
          <w:szCs w:val="20"/>
          <w:color w:val="auto"/>
        </w:rPr>
      </w:pPr>
      <w:r>
        <w:rPr>
          <w:rFonts w:ascii="Arial" w:cs="Arial" w:eastAsia="Arial" w:hAnsi="Arial"/>
          <w:sz w:val="16"/>
          <w:szCs w:val="16"/>
          <w:color w:val="auto"/>
        </w:rPr>
        <w:t>Gross profit was $7,969,526 for the three months ended December 31, 2022 as compared to $7,557,612 for the three months ended December 31, 2021. The gross profit ratio decreased to 41.39% for the three months ended December 31, 2022 from 44.13% for the three months ended December 31,</w:t>
      </w:r>
    </w:p>
    <w:p>
      <w:pPr>
        <w:jc w:val="both"/>
        <w:spacing w:after="0" w:line="260" w:lineRule="auto"/>
        <w:rPr>
          <w:sz w:val="20"/>
          <w:szCs w:val="20"/>
          <w:color w:val="auto"/>
        </w:rPr>
      </w:pPr>
      <w:r>
        <w:rPr>
          <w:rFonts w:ascii="Arial" w:cs="Arial" w:eastAsia="Arial" w:hAnsi="Arial"/>
          <w:sz w:val="18"/>
          <w:szCs w:val="18"/>
          <w:color w:val="auto"/>
        </w:rPr>
        <w:t>2021. The decrease in the gross profit ratio was mainly driven by the increase in cost of goods sold as a result of increased freight charges as well as channel and product category mix.</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Operating expenses for the three months ended December 31, 2022 increased 87.66% to $12,052,092 as compared to $6,422,327 for the three months ended December 31, 2021. The increase was mainly due to the combination of an increase in selling and fulfillment expenses of $5.7 million as a result of increased costs related to advertising, merchant fees, and delivery fees, and a decrease in general and administrative expenses of $0.07 million, which included payroll expenses, stock-based compensation expense, insurance expenses and other operating expenses including expenses associated with being a publicly traded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Income from Operations</w:t>
      </w:r>
    </w:p>
    <w:p>
      <w:pPr>
        <w:spacing w:after="0" w:line="225"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8"/>
          <w:szCs w:val="18"/>
          <w:color w:val="auto"/>
        </w:rPr>
        <w:t>(Loss) Income from operations was ($4,082,566) for the three months ended December 31, 2022 as compared to $1,135,285 for the three ended December 31, 2021. The decrease in income was resulted from the increase in operating expenses being greater than the increase in gross profit received, as discussed above.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Expenses</w:t>
      </w:r>
    </w:p>
    <w:p>
      <w:pPr>
        <w:spacing w:after="0" w:line="225"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8"/>
          <w:szCs w:val="18"/>
          <w:color w:val="auto"/>
        </w:rPr>
        <w:t>Other expenses for the three months ended December 31, 2022 was $258,457 as compared to $14,709 for the three months ended December 31, 2021. The increase in other expenses was mainly due to an increase in interest, including amortization of debt discount on the revolving loan of $239,007 during the period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Attributable to iPower Inc.</w:t>
      </w:r>
    </w:p>
    <w:p>
      <w:pPr>
        <w:spacing w:after="0" w:line="225"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8"/>
          <w:szCs w:val="18"/>
          <w:color w:val="auto"/>
        </w:rPr>
        <w:t>Net loss attributable to iPower Inc. for the three months ended December 31, 2022 was ($3,290,439) as compared to net income of $797,861 for the three months ended December 31, 2021, representing a decrease of $4,088,300. The decrease was primarily due to the increase in operating expenses as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 Income Attributable to iPower Inc.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Comprehensive loss attributable to iPower Inc. for the three months ended December 31, 2022 was ($3,243,290) as compared to comprehensive income of $797,861 for the three months ended December 31, 2021, representing a decrease of $4,041,151. The decrease was due to the reasons discussed above, along with the other comprehensive income of $47,149 as a result of foreign currency translation adjustments resulting from the translation of RMB, the functional currency of our VIE in PRC, to USD, the reporting currency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For the six months ended December 31, 2022 and 2021</w:t>
      </w:r>
    </w:p>
    <w:p>
      <w:pPr>
        <w:spacing w:after="0" w:line="225" w:lineRule="exact"/>
        <w:rPr>
          <w:sz w:val="20"/>
          <w:szCs w:val="20"/>
          <w:color w:val="auto"/>
        </w:rPr>
      </w:pPr>
    </w:p>
    <w:p>
      <w:pPr>
        <w:jc w:val="both"/>
        <w:ind w:right="20" w:firstLine="720"/>
        <w:spacing w:after="0" w:line="277" w:lineRule="auto"/>
        <w:rPr>
          <w:sz w:val="20"/>
          <w:szCs w:val="20"/>
          <w:color w:val="auto"/>
        </w:rPr>
      </w:pPr>
      <w:r>
        <w:rPr>
          <w:rFonts w:ascii="Arial" w:cs="Arial" w:eastAsia="Arial" w:hAnsi="Arial"/>
          <w:sz w:val="18"/>
          <w:szCs w:val="18"/>
          <w:color w:val="auto"/>
        </w:rPr>
        <w:t>The following table presents certain unaudited condensed consolidated statement of operations information and presentation of that data as a percentage of change from period to period.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89"/>
              </w:rPr>
              <w:t>Six Months</w:t>
            </w: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Six Months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81"/>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Variance</w:t>
            </w:r>
          </w:p>
        </w:tc>
      </w:tr>
      <w:tr>
        <w:trPr>
          <w:trHeight w:val="210"/>
        </w:trPr>
        <w:tc>
          <w:tcPr>
            <w:tcW w:w="66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45,277,263</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34,492,428</w:t>
            </w:r>
          </w:p>
        </w:tc>
        <w:tc>
          <w:tcPr>
            <w:tcW w:w="2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27,322,021</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19,621,114</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39.25%</w:t>
            </w:r>
          </w:p>
        </w:tc>
      </w:tr>
      <w:tr>
        <w:trPr>
          <w:trHeight w:val="209"/>
        </w:trPr>
        <w:tc>
          <w:tcPr>
            <w:tcW w:w="66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17,955,242</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14,871,314</w:t>
            </w:r>
          </w:p>
        </w:tc>
        <w:tc>
          <w:tcPr>
            <w:tcW w:w="220" w:type="dxa"/>
            <w:vAlign w:val="bottom"/>
            <w:tcBorders>
              <w:top w:val="single" w:sz="8" w:color="EEEEEE"/>
            </w:tcBorders>
            <w:shd w:val="clear" w:color="auto" w:fill="EEEEEE"/>
          </w:tcPr>
          <w:p>
            <w:pPr>
              <w:spacing w:after="0"/>
              <w:rPr>
                <w:sz w:val="18"/>
                <w:szCs w:val="18"/>
                <w:color w:val="auto"/>
              </w:rPr>
            </w:pPr>
          </w:p>
        </w:tc>
        <w:tc>
          <w:tcPr>
            <w:tcW w:w="1440" w:type="dxa"/>
            <w:vAlign w:val="bottom"/>
            <w:tcBorders>
              <w:top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20.74%</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26,631,114</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12,445,714</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113.98%</w:t>
            </w:r>
          </w:p>
        </w:tc>
      </w:tr>
      <w:tr>
        <w:trPr>
          <w:trHeight w:val="210"/>
        </w:trPr>
        <w:tc>
          <w:tcPr>
            <w:tcW w:w="66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Operating (loss) income</w:t>
            </w: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(8,675,872)</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2,425,600</w:t>
            </w:r>
          </w:p>
        </w:tc>
        <w:tc>
          <w:tcPr>
            <w:tcW w:w="220" w:type="dxa"/>
            <w:vAlign w:val="bottom"/>
            <w:tcBorders>
              <w:top w:val="single" w:sz="8" w:color="EEEEEE"/>
            </w:tcBorders>
            <w:shd w:val="clear" w:color="auto" w:fill="EEEEEE"/>
          </w:tcPr>
          <w:p>
            <w:pPr>
              <w:spacing w:after="0"/>
              <w:rPr>
                <w:sz w:val="18"/>
                <w:szCs w:val="18"/>
                <w:color w:val="auto"/>
              </w:rPr>
            </w:pPr>
          </w:p>
        </w:tc>
        <w:tc>
          <w:tcPr>
            <w:tcW w:w="1440" w:type="dxa"/>
            <w:vAlign w:val="bottom"/>
            <w:tcBorders>
              <w:top w:val="single" w:sz="8" w:color="EEEEEE"/>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(457.68%)</w:t>
            </w:r>
          </w:p>
        </w:tc>
      </w:tr>
      <w:tr>
        <w:trPr>
          <w:trHeight w:val="209"/>
        </w:trPr>
        <w:tc>
          <w:tcPr>
            <w:tcW w:w="66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Other (expenses)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(298,128)</w:t>
            </w:r>
          </w:p>
        </w:tc>
        <w:tc>
          <w:tcPr>
            <w:tcW w:w="220" w:type="dxa"/>
            <w:vAlign w:val="bottom"/>
            <w:tcBorders>
              <w:bottom w:val="single" w:sz="8" w:color="EEEEEE"/>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(74,521)</w:t>
            </w:r>
          </w:p>
        </w:tc>
        <w:tc>
          <w:tcPr>
            <w:tcW w:w="220" w:type="dxa"/>
            <w:vAlign w:val="bottom"/>
            <w:tcBorders>
              <w:bottom w:val="single" w:sz="8" w:color="EEEEEE"/>
            </w:tcBorders>
          </w:tcPr>
          <w:p>
            <w:pPr>
              <w:spacing w:after="0"/>
              <w:rPr>
                <w:sz w:val="18"/>
                <w:szCs w:val="18"/>
                <w:color w:val="auto"/>
              </w:rPr>
            </w:pPr>
          </w:p>
        </w:tc>
        <w:tc>
          <w:tcPr>
            <w:tcW w:w="144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300.06%</w:t>
            </w:r>
          </w:p>
        </w:tc>
      </w:tr>
      <w:tr>
        <w:trPr>
          <w:trHeight w:val="210"/>
        </w:trPr>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(Loss) Income before income taxes</w:t>
            </w:r>
          </w:p>
        </w:tc>
        <w:tc>
          <w:tcPr>
            <w:tcW w:w="1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(8,974,000)</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2,351,079</w:t>
            </w: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(481.7%)</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40" w:type="dxa"/>
            <w:vAlign w:val="bottom"/>
          </w:tcPr>
          <w:p>
            <w:pPr>
              <w:spacing w:after="0"/>
              <w:rPr>
                <w:sz w:val="18"/>
                <w:szCs w:val="18"/>
                <w:color w:val="auto"/>
              </w:rPr>
            </w:pP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(1,495,545)</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665,690</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(324.66%)</w:t>
            </w:r>
          </w:p>
        </w:tc>
      </w:tr>
      <w:tr>
        <w:trPr>
          <w:trHeight w:val="209"/>
        </w:trPr>
        <w:tc>
          <w:tcPr>
            <w:tcW w:w="66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(loss) income</w:t>
            </w:r>
          </w:p>
        </w:tc>
        <w:tc>
          <w:tcPr>
            <w:tcW w:w="1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(7,478,455)</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1,685,389</w:t>
            </w:r>
          </w:p>
        </w:tc>
        <w:tc>
          <w:tcPr>
            <w:tcW w:w="220" w:type="dxa"/>
            <w:vAlign w:val="bottom"/>
            <w:tcBorders>
              <w:top w:val="single" w:sz="8" w:color="EEEEEE"/>
            </w:tcBorders>
            <w:shd w:val="clear" w:color="auto" w:fill="EEEEEE"/>
          </w:tcPr>
          <w:p>
            <w:pPr>
              <w:spacing w:after="0"/>
              <w:rPr>
                <w:sz w:val="18"/>
                <w:szCs w:val="18"/>
                <w:color w:val="auto"/>
              </w:rPr>
            </w:pPr>
          </w:p>
        </w:tc>
        <w:tc>
          <w:tcPr>
            <w:tcW w:w="1440" w:type="dxa"/>
            <w:vAlign w:val="bottom"/>
            <w:tcBorders>
              <w:top w:val="single" w:sz="8" w:color="EEEEEE"/>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(543.72%)</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18"/>
                <w:szCs w:val="18"/>
                <w:color w:val="auto"/>
              </w:rPr>
            </w:pP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(5,640)</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6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(loss) income attributable to iPower Inc.</w:t>
            </w:r>
          </w:p>
        </w:tc>
        <w:tc>
          <w:tcPr>
            <w:tcW w:w="14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(7,472,815)</w:t>
            </w:r>
          </w:p>
        </w:tc>
        <w:tc>
          <w:tcPr>
            <w:tcW w:w="2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1,685,389</w:t>
            </w:r>
          </w:p>
        </w:tc>
        <w:tc>
          <w:tcPr>
            <w:tcW w:w="220" w:type="dxa"/>
            <w:vAlign w:val="bottom"/>
            <w:tcBorders>
              <w:top w:val="single" w:sz="8" w:color="EEEEEE"/>
            </w:tcBorders>
            <w:shd w:val="clear" w:color="auto" w:fill="EEEEEE"/>
          </w:tcPr>
          <w:p>
            <w:pPr>
              <w:spacing w:after="0"/>
              <w:rPr>
                <w:sz w:val="18"/>
                <w:szCs w:val="18"/>
                <w:color w:val="auto"/>
              </w:rPr>
            </w:pPr>
          </w:p>
        </w:tc>
        <w:tc>
          <w:tcPr>
            <w:tcW w:w="1440" w:type="dxa"/>
            <w:vAlign w:val="bottom"/>
            <w:tcBorders>
              <w:top w:val="single" w:sz="8" w:color="EEEEEE"/>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(543.72%)</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40" w:type="dxa"/>
            <w:vAlign w:val="bottom"/>
          </w:tcPr>
          <w:p>
            <w:pPr>
              <w:spacing w:after="0"/>
              <w:rPr>
                <w:sz w:val="18"/>
                <w:szCs w:val="18"/>
                <w:color w:val="auto"/>
              </w:rPr>
            </w:pP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(64,326)</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6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(loss) income attributable to iPower Inc.</w:t>
            </w: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(7,537,141</w:t>
            </w:r>
          </w:p>
        </w:tc>
        <w:tc>
          <w:tcPr>
            <w:tcW w:w="220" w:type="dxa"/>
            <w:vAlign w:val="bottom"/>
            <w:tcBorders>
              <w:top w:val="single" w:sz="8" w:color="EEEEEE"/>
              <w:bottom w:val="single" w:sz="8" w:color="EEEEEE"/>
            </w:tcBorders>
            <w:shd w:val="clear" w:color="auto" w:fill="EEEEEE"/>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1,685,389</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440" w:type="dxa"/>
            <w:vAlign w:val="bottom"/>
            <w:tcBorders>
              <w:top w:val="single" w:sz="8" w:color="EEEEEE"/>
              <w:bottom w:val="single" w:sz="8" w:color="EEEEEE"/>
            </w:tcBorders>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(547.20%)</w:t>
            </w:r>
          </w:p>
        </w:tc>
      </w:tr>
      <w:tr>
        <w:trPr>
          <w:trHeight w:val="20"/>
        </w:trPr>
        <w:tc>
          <w:tcPr>
            <w:tcW w:w="6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Gross profit % of revenues</w:t>
            </w: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39.66%</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43.11%</w:t>
            </w: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Operating (loss) income % of revenues</w:t>
            </w:r>
          </w:p>
        </w:tc>
        <w:tc>
          <w:tcPr>
            <w:tcW w:w="140" w:type="dxa"/>
            <w:vAlign w:val="bottom"/>
          </w:tcPr>
          <w:p>
            <w:pPr>
              <w:spacing w:after="0"/>
              <w:rPr>
                <w:sz w:val="18"/>
                <w:szCs w:val="18"/>
                <w:color w:val="auto"/>
              </w:rPr>
            </w:pPr>
          </w:p>
        </w:tc>
        <w:tc>
          <w:tcPr>
            <w:tcW w:w="1460" w:type="dxa"/>
            <w:vAlign w:val="bottom"/>
            <w:gridSpan w:val="2"/>
          </w:tcPr>
          <w:p>
            <w:pPr>
              <w:jc w:val="right"/>
              <w:ind w:right="81"/>
              <w:spacing w:after="0"/>
              <w:rPr>
                <w:sz w:val="20"/>
                <w:szCs w:val="20"/>
                <w:color w:val="auto"/>
              </w:rPr>
            </w:pPr>
            <w:r>
              <w:rPr>
                <w:rFonts w:ascii="Arial" w:cs="Arial" w:eastAsia="Arial" w:hAnsi="Arial"/>
                <w:sz w:val="18"/>
                <w:szCs w:val="18"/>
                <w:color w:val="auto"/>
              </w:rPr>
              <w:t>(19.16%)</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7.03%</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EEEEEE"/>
          </w:tcPr>
          <w:p>
            <w:pPr>
              <w:spacing w:after="0"/>
              <w:rPr>
                <w:sz w:val="20"/>
                <w:szCs w:val="20"/>
                <w:color w:val="auto"/>
              </w:rPr>
            </w:pPr>
            <w:r>
              <w:rPr>
                <w:rFonts w:ascii="Arial" w:cs="Arial" w:eastAsia="Arial" w:hAnsi="Arial"/>
                <w:sz w:val="18"/>
                <w:szCs w:val="18"/>
                <w:color w:val="auto"/>
              </w:rPr>
              <w:t>Net (loss) income % of revenues</w:t>
            </w:r>
          </w:p>
        </w:tc>
        <w:tc>
          <w:tcPr>
            <w:tcW w:w="14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(16.52%)</w:t>
            </w:r>
          </w:p>
        </w:tc>
        <w:tc>
          <w:tcPr>
            <w:tcW w:w="1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4.89%</w:t>
            </w:r>
          </w:p>
        </w:tc>
        <w:tc>
          <w:tcPr>
            <w:tcW w:w="1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Revenues for the six months ended December 31, 2022 increased 31.27% to $45,277,263 as compared to $34,492,428 for the six months ended December 31, 2021. While pricing remained stable, the increased revenue mainly resulted from an increase in sales volume and expansion of sales to other regions, such as Canada, Europe and Asia. In addition to our organic growth and diversified product mix, which we achieved as a result of improved products and more effective online marketing and merchandising efforts, the increase in sales was attributable to more people shopping online and pursuing gardening and growing projects during the COVID-19 pandemic.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w:t>
      </w:r>
    </w:p>
    <w:p>
      <w:pPr>
        <w:spacing w:after="0" w:line="225" w:lineRule="exact"/>
        <w:rPr>
          <w:sz w:val="20"/>
          <w:szCs w:val="20"/>
          <w:color w:val="auto"/>
        </w:rPr>
      </w:pPr>
    </w:p>
    <w:p>
      <w:pPr>
        <w:jc w:val="both"/>
        <w:ind w:firstLine="720"/>
        <w:spacing w:after="0" w:line="255" w:lineRule="auto"/>
        <w:rPr>
          <w:sz w:val="20"/>
          <w:szCs w:val="20"/>
          <w:color w:val="auto"/>
        </w:rPr>
      </w:pPr>
      <w:r>
        <w:rPr>
          <w:rFonts w:ascii="Arial" w:cs="Arial" w:eastAsia="Arial" w:hAnsi="Arial"/>
          <w:sz w:val="18"/>
          <w:szCs w:val="18"/>
          <w:color w:val="auto"/>
        </w:rPr>
        <w:t>Costs of goods sold for the six months ended December 31, 2022 increased 39.25% to $27,322,021 as compared to $19,621,114 for the six months ended December 31, 2021. The increase was due to an increase in sales, as discussed above. In addition, we experienced an increase in costs of goods sold as a percentage of revenue as a result of the increased freight charges during the six months ended December 31, 2022. However, the freight costs have been decreasing since September 2022, causing the increase in costs of goods sold for the six months was more significant comparing to the increase in the three months ended December 31, 2022. See discussions on gross profit below. We have seen decreasing freight charges since September 2022 but could not be assured that this trend will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Gross profit was $17,955,242 for the six months ended December 31, 2022 as compared to $14,871,314 for the six months ended December 31, 2021. The gross profit ratio slightly decreased to 39.66% for the six months ended December 31, 2022 from 43.11% for the six months ended December 31, 2021. The decrease in gross profit ratio was mainly driven by an increase in freight charges during the six months ended December 31, 2022 as well as channel and product category mix.</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720"/>
        <w:spacing w:after="0" w:line="273" w:lineRule="auto"/>
        <w:rPr>
          <w:sz w:val="20"/>
          <w:szCs w:val="20"/>
          <w:color w:val="auto"/>
        </w:rPr>
      </w:pPr>
      <w:r>
        <w:rPr>
          <w:rFonts w:ascii="Arial" w:cs="Arial" w:eastAsia="Arial" w:hAnsi="Arial"/>
          <w:sz w:val="17"/>
          <w:szCs w:val="17"/>
          <w:color w:val="auto"/>
        </w:rPr>
        <w:t>Operating expenses for the six months ended December 31, 2022 increased 113.98% to $26,631,114 as compared to $12,445,714 for the six months ended December 31, 2021. The increase was mainly due to the combination of an increase in selling and fulfillment expenses of $10.4 million as a result of increased advertising, merchant fees, delivery fees, storage costs and fulfillment workforce, general and administrative expenses of $0.7 million, which included payroll expenses, stock-based compensation expense, insurance expenses and other operating expenses including expenses associated with being a publicly traded company, and $3.1 million of impairment loss on goodwill triggered by a decrease in the Company’s share price of its common stock and the net loss incurred during the quarter ended September 30,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Income from Operations</w:t>
      </w:r>
    </w:p>
    <w:p>
      <w:pPr>
        <w:spacing w:after="0" w:line="225" w:lineRule="exact"/>
        <w:rPr>
          <w:sz w:val="20"/>
          <w:szCs w:val="20"/>
          <w:color w:val="auto"/>
        </w:rPr>
      </w:pPr>
    </w:p>
    <w:p>
      <w:pPr>
        <w:jc w:val="both"/>
        <w:ind w:firstLine="720"/>
        <w:spacing w:after="0" w:line="342" w:lineRule="auto"/>
        <w:rPr>
          <w:sz w:val="20"/>
          <w:szCs w:val="20"/>
          <w:color w:val="auto"/>
        </w:rPr>
      </w:pPr>
      <w:r>
        <w:rPr>
          <w:rFonts w:ascii="Arial" w:cs="Arial" w:eastAsia="Arial" w:hAnsi="Arial"/>
          <w:sz w:val="16"/>
          <w:szCs w:val="16"/>
          <w:color w:val="auto"/>
        </w:rPr>
        <w:t>(Loss) Income from operations was ($8,675,872) for the six months ended December 31, 2022 as compared to $2,425,600 for the six months ended December 31, 2021. The decrease was due to the increase in operating expenses was greater than the increase in gross profit as discussed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25" w:lineRule="exact"/>
        <w:rPr>
          <w:sz w:val="20"/>
          <w:szCs w:val="20"/>
          <w:color w:val="auto"/>
        </w:rPr>
      </w:pPr>
    </w:p>
    <w:p>
      <w:pPr>
        <w:jc w:val="both"/>
        <w:ind w:firstLine="720"/>
        <w:spacing w:after="0" w:line="286" w:lineRule="auto"/>
        <w:rPr>
          <w:sz w:val="20"/>
          <w:szCs w:val="20"/>
          <w:color w:val="auto"/>
        </w:rPr>
      </w:pPr>
      <w:r>
        <w:rPr>
          <w:rFonts w:ascii="Arial" w:cs="Arial" w:eastAsia="Arial" w:hAnsi="Arial"/>
          <w:sz w:val="17"/>
          <w:szCs w:val="17"/>
          <w:color w:val="auto"/>
        </w:rPr>
        <w:t>Other expenses for the six months ended December 31, 2022 was $298,128 as compared to $74,521 for the six months ended December 31, 2021. The increase in other expenses was mainly due to a combined result of an increase in other non-operating income of $261,770, and an increase in interest, including amortization of debt discount on the revolving loan of $487,048 during the period ended December 31,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Income Attributable to iPower Inc.</w:t>
      </w:r>
    </w:p>
    <w:p>
      <w:pPr>
        <w:spacing w:after="0" w:line="225"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8"/>
          <w:szCs w:val="18"/>
          <w:color w:val="auto"/>
        </w:rPr>
        <w:t>Net loss attributable to iPower Inc. for the six months ended December 31, 2022 was ($7,472,815) as compared to net income of $1,685,389 for the six months ended December 31, 2021, representing a decrease of $9,158,204. The decrease was primarily due to the increase in operating expenses as discussed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 Income Attributable to iPower Inc.</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Comprehensive loss attributable to iPower Inc. for the six months ended December 31, 2022 was ($7,537,141) as compared to comprehensive income of $1,685,389 for the six months ended December 31, 2021, representing a decrease of $9,222,530. The decrease was due to the reasons discussed above, along with other comprehensive loss of $64,326 as a result of foreign currency translation adjustments resulting from the translation of RMB, the functional currency of our VIE in PRC, to USD, the reporting currency of the Company.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During the six months ended December 31, 2022 we primarily funded our operations with cash and cash equivalents generated from operations, as well as through the completion of two private placements in 2020 and 2021, completion of our initial public offering in May of 2021, and borrowing under our credit facility and loans from the Small Business Administration and JPMorgan Chase Bank ("JPM”). We had cash and cash equivalents of $3,997,125 as of December 31, 2022, representing a $2.2 million increase from $1,821,947 of cash as of June 30, 2022. The cash increase was primarily the result of the increase in net cash provided by operating activities.</w:t>
      </w:r>
    </w:p>
    <w:p>
      <w:pPr>
        <w:spacing w:after="0" w:line="188" w:lineRule="exact"/>
        <w:rPr>
          <w:sz w:val="20"/>
          <w:szCs w:val="20"/>
          <w:color w:val="auto"/>
        </w:rPr>
      </w:pPr>
    </w:p>
    <w:p>
      <w:pPr>
        <w:jc w:val="both"/>
        <w:ind w:firstLine="720"/>
        <w:spacing w:after="0" w:line="308" w:lineRule="auto"/>
        <w:rPr>
          <w:sz w:val="20"/>
          <w:szCs w:val="20"/>
          <w:color w:val="auto"/>
        </w:rPr>
      </w:pPr>
      <w:r>
        <w:rPr>
          <w:rFonts w:ascii="Arial" w:cs="Arial" w:eastAsia="Arial" w:hAnsi="Arial"/>
          <w:sz w:val="17"/>
          <w:szCs w:val="17"/>
          <w:color w:val="auto"/>
        </w:rPr>
        <w:t>Based on our current operating plan, and despite the current uncertainty resulting from the ongoing COVID-19 pandemic, we believe that our existing cash and cash equivalents and cash flows from operations will be sufficient to finance our operations during the next 12 months.</w:t>
      </w:r>
    </w:p>
    <w:p>
      <w:pPr>
        <w:spacing w:after="0" w:line="146" w:lineRule="exact"/>
        <w:rPr>
          <w:sz w:val="20"/>
          <w:szCs w:val="20"/>
          <w:color w:val="auto"/>
        </w:rPr>
      </w:pPr>
    </w:p>
    <w:p>
      <w:pPr>
        <w:jc w:val="both"/>
        <w:ind w:firstLine="720"/>
        <w:spacing w:after="0" w:line="270" w:lineRule="auto"/>
        <w:rPr>
          <w:sz w:val="20"/>
          <w:szCs w:val="20"/>
          <w:color w:val="auto"/>
        </w:rPr>
      </w:pPr>
      <w:r>
        <w:rPr>
          <w:rFonts w:ascii="Arial" w:cs="Arial" w:eastAsia="Arial" w:hAnsi="Arial"/>
          <w:sz w:val="17"/>
          <w:szCs w:val="17"/>
          <w:color w:val="auto"/>
        </w:rPr>
        <w:t>Our cash requirements consist primarily of day-to-day operating expenses and obligations with respect to warehouse leases. We lease all our office and warehouse facilities. We expect to make future payments on existing leases from cash generated from operations. We have credit terms in place with our major suppliers, however, as we bring on new suppliers, we are often required to prepay our inventory purchases from them. This is consistent with our historical operating model which allowed us to operate using only cash generated by the business. Beyond the next 12 months we believe that our cash flows from operations should improve as supply chains begin to return to normal and new suppliers that we bring online transition to credit terms more favorable to us. In addition, we plan to increase the size of our in-house product catalog, which will have a net beneficial impact to our margin profile and ability to generate cash. In addition, we have approximately $9.0 million in unused credit under our revolving line of credit with JPM as of December 31, 2022. Given our current working capital position and available funding from our revolving credit line, we believe we will be able to manage through the current challenges by managing payment terms with our customers and vendors.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As of December 31, 2022 and June 30, 2022, our working capital was $22.96 million and $32.3 million, respectively. The historical seasonality in our business during the year can cause cash and cash equivalents, inventory and accounts payable to fluctuate, resulting in changes in our working capital. We anticipate that past historical trends will remain in place through the balance of the fiscal year with working capital remaining near this level for the foreseeable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8"/>
          <w:szCs w:val="18"/>
          <w:color w:val="auto"/>
        </w:rPr>
        <w:t>Net cash provided by (used in) operating activities for the six months ended December 31, 2022 and December 31, 2021 was $7,778,208 and ($12,243,043), respectively. The increase in cash provided by operating activities mainly resulted from decreased accounts receivable, inventories, prepayments and other current assets and increased accounts payable.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8"/>
          <w:szCs w:val="18"/>
          <w:color w:val="auto"/>
        </w:rPr>
        <w:t>For the six months ended December 31, 2022 and December 31, 2021, net cash used in investing activities was $127,367 and $56,424, respectively. The increase in cash used in investing activities was because the Company made additional purchase of equipment during the six months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Net cash (used in) provided by financing activities was ($5,540,436) and $6,739,520, respectively, for the six months ended December 31, 2022 and December 31, 2021. The main reason the Company experienced a decrease in net cash provided by financing activities was primarily due to our payment of $8.6 million for: 1) $1.5 million to pay off investment payable; 2) $0.88 million to pay down note payable; and 3) $6.2 million to pay down the outstanding balance of the asset-based revolving loan facility with JPMorgan Chase Bank.</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720"/>
        <w:spacing w:after="0" w:line="342" w:lineRule="auto"/>
        <w:rPr>
          <w:sz w:val="20"/>
          <w:szCs w:val="20"/>
          <w:color w:val="auto"/>
        </w:rPr>
      </w:pPr>
      <w:r>
        <w:rPr>
          <w:rFonts w:ascii="Arial" w:cs="Arial" w:eastAsia="Arial" w:hAnsi="Arial"/>
          <w:sz w:val="16"/>
          <w:szCs w:val="16"/>
          <w:color w:val="auto"/>
        </w:rPr>
        <w:t>We do not have any off-balance sheet arrangements (as that term is defined in Item 303 of Regulation S-K) that are reasonably likely to have a current or future material effect on our financial condition, revenue or expenses, results of operations, liquidity, capital expenditures or capital resources.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720"/>
        <w:spacing w:after="0" w:line="269" w:lineRule="auto"/>
        <w:rPr>
          <w:sz w:val="20"/>
          <w:szCs w:val="20"/>
          <w:color w:val="auto"/>
        </w:rPr>
      </w:pPr>
      <w:r>
        <w:rPr>
          <w:rFonts w:ascii="Arial" w:cs="Arial" w:eastAsia="Arial" w:hAnsi="Arial"/>
          <w:sz w:val="17"/>
          <w:szCs w:val="17"/>
          <w:color w:val="auto"/>
        </w:rPr>
        <w:t>We prepare our consolidated financial statements in accordance with accounting principles generally accepted in the United States, or GAAP and pursuant to the rules and regulations of the Securities Exchange Commission (“SEC”). The preparation of consolidated financial statements in conformity with GAAP requires management to make estimates and assumptions that affect the amounts reported in the consolidated financial statements and accompanying notes. Actual results could differ from those estimates. In some cases, changes in the accounting estimates are reasonably likely to occur from period to period. Accordingly, actual results could differ materially from our estimates. To the extent that there are material differences between these estimates and actual results, our financial condition and results of operations will be affected. We base our estimates on experience and other assumptions that we believe are reasonable under the circumstances, and we evaluate these estimates on an ongoing basis. We refer to accounting estimates of this type as critical accounting policies, which we discuss further below. While our significant accounting policies are more fully described in Note 2 to our consolidated financial statements, we believe that the following accounting policies are critical to the process of making significant judgments and estimates in the preparation of our audited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w:t>
      </w:r>
      <w:r>
        <w:rPr>
          <w:rFonts w:ascii="Arial" w:cs="Arial" w:eastAsia="Arial" w:hAnsi="Arial"/>
          <w:sz w:val="18"/>
          <w:szCs w:val="18"/>
          <w:color w:val="auto"/>
        </w:rPr>
        <w:t>g</w:t>
      </w:r>
      <w:r>
        <w:rPr>
          <w:rFonts w:ascii="Arial" w:cs="Arial" w:eastAsia="Arial" w:hAnsi="Arial"/>
          <w:sz w:val="18"/>
          <w:szCs w:val="18"/>
          <w:u w:val="single" w:color="auto"/>
          <w:color w:val="auto"/>
        </w:rPr>
        <w:t>nition</w:t>
      </w:r>
    </w:p>
    <w:p>
      <w:pPr>
        <w:spacing w:after="0" w:line="225" w:lineRule="exact"/>
        <w:rPr>
          <w:sz w:val="20"/>
          <w:szCs w:val="20"/>
          <w:color w:val="auto"/>
        </w:rPr>
      </w:pPr>
    </w:p>
    <w:p>
      <w:pPr>
        <w:jc w:val="both"/>
        <w:ind w:firstLine="720"/>
        <w:spacing w:after="0" w:line="296" w:lineRule="auto"/>
        <w:rPr>
          <w:sz w:val="20"/>
          <w:szCs w:val="20"/>
          <w:color w:val="auto"/>
        </w:rPr>
      </w:pPr>
      <w:r>
        <w:rPr>
          <w:rFonts w:ascii="Arial" w:cs="Arial" w:eastAsia="Arial" w:hAnsi="Arial"/>
          <w:sz w:val="16"/>
          <w:szCs w:val="16"/>
          <w:color w:val="auto"/>
        </w:rPr>
        <w:t>The Company recognizes revenue from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spacing w:after="0" w:line="161" w:lineRule="exact"/>
        <w:rPr>
          <w:sz w:val="20"/>
          <w:szCs w:val="20"/>
          <w:color w:val="auto"/>
        </w:rPr>
      </w:pPr>
    </w:p>
    <w:p>
      <w:pPr>
        <w:jc w:val="both"/>
        <w:ind w:firstLine="720"/>
        <w:spacing w:after="0" w:line="279" w:lineRule="auto"/>
        <w:rPr>
          <w:sz w:val="20"/>
          <w:szCs w:val="20"/>
          <w:color w:val="auto"/>
        </w:rPr>
      </w:pPr>
      <w:r>
        <w:rPr>
          <w:rFonts w:ascii="Arial" w:cs="Arial" w:eastAsia="Arial" w:hAnsi="Arial"/>
          <w:sz w:val="17"/>
          <w:szCs w:val="17"/>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Payments received prior to the shipment of goods to customers are recorded as customer deposits.</w:t>
      </w:r>
    </w:p>
    <w:p>
      <w:pPr>
        <w:spacing w:after="0" w:line="225"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84" w:lineRule="exact"/>
        <w:rPr>
          <w:sz w:val="20"/>
          <w:szCs w:val="20"/>
          <w:color w:val="auto"/>
        </w:rPr>
      </w:pPr>
    </w:p>
    <w:p>
      <w:pPr>
        <w:jc w:val="both"/>
        <w:ind w:right="20" w:firstLine="720"/>
        <w:spacing w:after="0" w:line="277" w:lineRule="auto"/>
        <w:rPr>
          <w:sz w:val="20"/>
          <w:szCs w:val="20"/>
          <w:color w:val="auto"/>
        </w:rPr>
      </w:pPr>
      <w:r>
        <w:rPr>
          <w:rFonts w:ascii="Arial" w:cs="Arial" w:eastAsia="Arial" w:hAnsi="Arial"/>
          <w:sz w:val="18"/>
          <w:szCs w:val="18"/>
          <w:color w:val="auto"/>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net</w:t>
      </w:r>
    </w:p>
    <w:p>
      <w:pPr>
        <w:spacing w:after="0" w:line="225" w:lineRule="exact"/>
        <w:rPr>
          <w:sz w:val="20"/>
          <w:szCs w:val="20"/>
          <w:color w:val="auto"/>
        </w:rPr>
      </w:pPr>
    </w:p>
    <w:p>
      <w:pPr>
        <w:jc w:val="both"/>
        <w:ind w:firstLine="720"/>
        <w:spacing w:after="0" w:line="257" w:lineRule="auto"/>
        <w:rPr>
          <w:sz w:val="20"/>
          <w:szCs w:val="20"/>
          <w:color w:val="auto"/>
        </w:rPr>
      </w:pPr>
      <w:r>
        <w:rPr>
          <w:rFonts w:ascii="Arial" w:cs="Arial" w:eastAsia="Arial" w:hAnsi="Arial"/>
          <w:sz w:val="18"/>
          <w:szCs w:val="18"/>
          <w:color w:val="auto"/>
        </w:rPr>
        <w:t>Inventory consists of finished goods ready for sale and is stated at the lower of cost or market. The Company values its inventory using the weighted average costing method. The Company’s policy is to include as a part of inventory and costs of goods sold any freight incurred to ship the product from its vendors to warehouses. Outbound freight costs related to shipping costs to customers are considered period costs and reflected in selling, fulfillment, general and administrative expenses. The Company regularly reviews inventory and considers forecasts of future demand, market conditions and product obsolescence.</w:t>
      </w:r>
    </w:p>
    <w:p>
      <w:pPr>
        <w:spacing w:after="0" w:line="188" w:lineRule="exact"/>
        <w:rPr>
          <w:sz w:val="20"/>
          <w:szCs w:val="20"/>
          <w:color w:val="auto"/>
        </w:rPr>
      </w:pPr>
    </w:p>
    <w:p>
      <w:pPr>
        <w:jc w:val="both"/>
        <w:ind w:right="20" w:firstLine="720"/>
        <w:spacing w:after="0" w:line="308" w:lineRule="auto"/>
        <w:rPr>
          <w:sz w:val="20"/>
          <w:szCs w:val="20"/>
          <w:color w:val="auto"/>
        </w:rPr>
      </w:pPr>
      <w:r>
        <w:rPr>
          <w:rFonts w:ascii="Arial" w:cs="Arial" w:eastAsia="Arial" w:hAnsi="Arial"/>
          <w:sz w:val="17"/>
          <w:szCs w:val="17"/>
          <w:color w:val="auto"/>
        </w:rPr>
        <w:t>If the estimated realizable value of the inventory is less than cost, the Company makes provisions in order to reduce its carrying value to its estimated market value. The Company also reviews inventory for slow moving and obsolescence and records allowance for obsolescence.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auto"/>
        </w:rPr>
        <w:t>Business Combination</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February 15, 2022, the Company acquired 100% of the ordinary shares of Anivia Limited (“Anivia”) and its subsidiaries, including its variable interest entity (“VIE”), Daheshou (Shenzhen) Information Technology Co., Ltd., a company organized under the laws of the People’s Republic of China (“DHS”). The Company applies the acquisition method of accounting for business combinations. Under the acquisition method, the acquiring entity in a business combination recognizes 100% of the assets acquired and liabilities assumed at their acquisition date fair values. Management utilizes valuation techniques appropriate for the asset or liability being measured in determining these fair values. Any excess of the purchase price paid over amounts allocated to assets acquired, including identifiable intangible assets and liabilities assumed is recorded as goodwill. Where amounts allocated to assets acquired and liabilities assumed is greater than the purchase price, a bargain purchase gain is recognized. Acquisition-related costs are expensed as incurred. See Note 4 for details on acquisition.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Variable interest entities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February 15, 2022, the Company acquired 100% of the ordinary shares of Anivia Limited (“Anivia”) and its subsidiaries, including DHS. Pursuant to the terms of the Agreements, the Company does not have direct ownership in DHS but is actively involved in DHS’s operations as the sole manager to direct the activities and significantly impact DHS’s economic performance. DHS’s operational funding has been provided by the Company following the February 15, 2022 acquisition. During the term of the Agreements, the Company bears all the risk of loss and has the right to receive all of the benefits from DHS. As such, based on the determination that the Company is the primary beneficiary of DHS, in accordance with ASC 810-10-25-38A through 25-38J, DHS is considered a VIE of the Company and the financial statements of DHS have been consolidated from the date such control existed, February 15, 2022. See Note 4 and Note 5 for details on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Goodwill represents the excess of the purchase price over the fair value of assets acquired and liabilities assumed. The Company accounts for goodwill under </w:t>
      </w:r>
      <w:r>
        <w:rPr>
          <w:rFonts w:ascii="Arial" w:cs="Arial" w:eastAsia="Arial" w:hAnsi="Arial"/>
          <w:sz w:val="18"/>
          <w:szCs w:val="18"/>
          <w:i w:val="1"/>
          <w:iCs w:val="1"/>
          <w:color w:val="auto"/>
        </w:rPr>
        <w:t>ASC Topic 350, Intangibles-Goodwill and Other</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shall be recognized in an amount equal to that excess, limited to the total amount of goodwill allocated to that reporting unit The Company engaged an independent third-party valuation firm in August 2022 to conduct an evaluation of goodwill impairment for the Company as a whole at the consolidated reporting unit level as of June 30, 2022, which evaluation was conducted prior to the Company’s filing of its Annual Report on Form 10-K. Due to the decrease in the Company’s share price subsequent to the filing of the Form 10-K and the net loss incurred during the quarter ended September 30, 2022, the Company engaged the same valuation firm to review goodwill for impairment. Based on this review, the Company concluded an impairment loss of $3,060,034 as of September 30, 2022 was required. The impairment amount was determined based on the discounted cash flows with the revised projections reflecting the increase in freight and storage costs in the current interim quarter. The Company also considered the Market Capital Method, which is an alternative market approach, suggested the Company’s goodwill is partially impaired.</w:t>
      </w:r>
    </w:p>
    <w:p>
      <w:pPr>
        <w:spacing w:after="0" w:line="18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three months ended December 31, 2022, the Company performed a qualitative goodwill impairment analysis following the steps laid out in ASC 350-20-35-3C and noted no goodwill impairment. As of December 31, 2022, the remaining goodwill balance amounted to $3,034,110.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auto"/>
        </w:rPr>
        <w:t>Intangible Assets, net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Finite life intangible assets at June 30, 2022 include a covenant not to compete, supplier relationship, and software recognized as part of the acquisition of Anivia Limited. Intangible assets are recorded at the estimated fair value of these items at the date of acquisition, February 15, 2022. Intangible assets are amortized on a straight-line basis over their estimated useful life as followings: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40" w:type="dxa"/>
            <w:vAlign w:val="bottom"/>
            <w:tcBorders>
              <w:bottom w:val="single" w:sz="8" w:color="EEEEEE"/>
            </w:tcBorders>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Useful Life</w:t>
            </w:r>
          </w:p>
        </w:tc>
      </w:tr>
      <w:tr>
        <w:trPr>
          <w:trHeight w:val="210"/>
        </w:trPr>
        <w:tc>
          <w:tcPr>
            <w:tcW w:w="8440" w:type="dxa"/>
            <w:vAlign w:val="bottom"/>
            <w:shd w:val="clear" w:color="auto" w:fill="EEEEEE"/>
          </w:tcPr>
          <w:p>
            <w:pPr>
              <w:spacing w:after="0"/>
              <w:rPr>
                <w:sz w:val="20"/>
                <w:szCs w:val="20"/>
                <w:color w:val="auto"/>
              </w:rPr>
            </w:pPr>
            <w:r>
              <w:rPr>
                <w:rFonts w:ascii="Arial" w:cs="Arial" w:eastAsia="Arial" w:hAnsi="Arial"/>
                <w:sz w:val="18"/>
                <w:szCs w:val="18"/>
                <w:color w:val="auto"/>
              </w:rPr>
              <w:t>Covenant Not to Compete</w:t>
            </w:r>
          </w:p>
        </w:tc>
        <w:tc>
          <w:tcPr>
            <w:tcW w:w="2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10 years</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Supplier relationships</w:t>
            </w:r>
          </w:p>
        </w:tc>
        <w:tc>
          <w:tcPr>
            <w:tcW w:w="2800" w:type="dxa"/>
            <w:vAlign w:val="bottom"/>
          </w:tcPr>
          <w:p>
            <w:pPr>
              <w:jc w:val="center"/>
              <w:spacing w:after="0"/>
              <w:rPr>
                <w:sz w:val="20"/>
                <w:szCs w:val="20"/>
                <w:color w:val="auto"/>
              </w:rPr>
            </w:pPr>
            <w:r>
              <w:rPr>
                <w:rFonts w:ascii="Arial" w:cs="Arial" w:eastAsia="Arial" w:hAnsi="Arial"/>
                <w:sz w:val="18"/>
                <w:szCs w:val="18"/>
                <w:color w:val="auto"/>
                <w:w w:val="88"/>
              </w:rPr>
              <w:t>6 years</w:t>
            </w:r>
          </w:p>
        </w:tc>
      </w:tr>
      <w:tr>
        <w:trPr>
          <w:trHeight w:val="216"/>
        </w:trPr>
        <w:tc>
          <w:tcPr>
            <w:tcW w:w="8440" w:type="dxa"/>
            <w:vAlign w:val="bottom"/>
            <w:shd w:val="clear" w:color="auto" w:fill="EEEEEE"/>
          </w:tcPr>
          <w:p>
            <w:pPr>
              <w:spacing w:after="0"/>
              <w:rPr>
                <w:sz w:val="20"/>
                <w:szCs w:val="20"/>
                <w:color w:val="auto"/>
              </w:rPr>
            </w:pPr>
            <w:r>
              <w:rPr>
                <w:rFonts w:ascii="Arial" w:cs="Arial" w:eastAsia="Arial" w:hAnsi="Arial"/>
                <w:sz w:val="18"/>
                <w:szCs w:val="18"/>
                <w:color w:val="auto"/>
              </w:rPr>
              <w:t>Software</w:t>
            </w:r>
          </w:p>
        </w:tc>
        <w:tc>
          <w:tcPr>
            <w:tcW w:w="2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5 years</w:t>
            </w: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reviews the recoverability of long-lived assets, including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As of December 31, 2022, there were no indicators of impairment.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that contains both a performance and a market condition, and where both conditions must be satisfied in order for the award to vest, the market condition is incorporated into the fair value of the award, and that fair value is recognized over the employee’s requisite service period or nonemployee’s vesting period if it is probable that the performance condition will be met. If the performance condition is ultimately not met, compensation cost related to the award should not be recognized (or should be reversed) because the vesting condition in the award has not been satisfied.</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recognize forfeitures of such equity-based compensation as they occur.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Deferred income tax assets are recognized only to the extent that management determines that it is more-likely-than-not that the deferred income tax assets will be realized. Valuation allowances are recorded, when necessary, to reduce deferred tax assets to the amount expected to be realized.</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6" w:name="page47"/>
    <w:bookmarkEnd w:id="46"/>
    <w:p>
      <w:pPr>
        <w:jc w:val="both"/>
        <w:ind w:firstLine="648"/>
        <w:spacing w:after="0" w:line="272" w:lineRule="auto"/>
        <w:rPr>
          <w:sz w:val="20"/>
          <w:szCs w:val="20"/>
          <w:color w:val="auto"/>
        </w:rPr>
      </w:pPr>
      <w:r>
        <w:rPr>
          <w:rFonts w:ascii="Arial" w:cs="Arial" w:eastAsia="Arial" w:hAnsi="Arial"/>
          <w:sz w:val="17"/>
          <w:szCs w:val="17"/>
          <w:color w:val="auto"/>
        </w:rPr>
        <w:t>As a result of the implementation of certain provisions of ASC 740, Income Taxes (“ASC 740”), which clarifies the accounting and disclosure for uncertainty in tax position, as defined, ASC 740 seeks to reduce the diversity in practice associated with certain aspects of the recognition and measurement related to accounting for income taxes. The Company has adopted the provisions of ASC 740 since inception, April 11, 2018, and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17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 believes that our income tax filing positions and deductions will be sustained on audit and do not anticipate any adjustments that will result in a material change to its financial position. Therefore, no reserves for uncertain income tax positions have been recorded pursuant to ASC 740. The Company’s policy for recording interest and penalties associated with income-based tax audits is to record such items as a component of income taxes.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pronouncements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June 2022, FASB issued ASU 2022-03, Fair Value Measurement (Topic 82): Fair Value Measurement of Equity Securities Subject to Contractual Sale Restrictions. The amendments in this ASU clarify the guidance in ASC 820 on the fair value measurement of an equity security that is subject to a contractual sale restriction and require specific disclosures related to such an equity security. This standard is effective for fiscal years beginning after December 15, 2024. The Company does not expect the adoption of this standard to have a material impact on the consolidated financial statements.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October 2021, the FASB issued ASU 2021-08, Business Combinations (Topic 805), Accounting for Contract Assets and Contract Liabilities from Contracts with Customers. This ASU clarifies that an acquirer of a business should recognize and measure contract assets and contract liabilities in a business combination in accordance with ASU 2014-09, Revenue from Contracts with Customers (Topic 606) as if the entity had originated the contracts. The guidance is effective for fiscal years beginning after December 15, 2023, with early application permitted. The Company does not expect the adoption of this standard to have a material impact on the consolidated financial statements.</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March 2020 and January 2021, the FASB issued ASU No. 2020-04, Reference Rate Reform (Topic 848): Facilitation of the Effects of Reference Rate Reform on Financial Reporting and ASU No. 2021-01, Reference Rate Reform (Topic 848): Scope, respectively (collectively, "Topic 848”). Topic 848 provides optional expedients and exceptions for applying GAAP to contracts, hedging relationships and other transactions that reference the London Interbank Offered Rate (“LIBOR”) or another reference rate expected to be discontinued because of reference rate reform. The expedients and exceptions provided by Topic 848 are effective for all entities as of March 12, 2020 through December 31, 2022. The Company does not expect the adoption of this standard to have a material impact on the Company's consolidated financial statements.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the Company on July 1, 2024, including interim periods within those fiscal years. Adoption is either a modified retrospective method or a fully retrospective method of transition. The Company does not expect the adoption of this standard to have a material impact on the consolidated financial statements.</w:t>
      </w:r>
    </w:p>
    <w:p>
      <w:pPr>
        <w:spacing w:after="0" w:line="16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January 2020, the FASB issued ASU 2020-01, “Investments - Equity Securities (Topic 321), Investments - Equity Method and Joint Ventures (Topic 323), and Derivatives and Hedging (Topic 815) - Clarifying the Interactions between Topic 321, Topic 323, and Topic 815.” This ASU among other things clarifies that a company should consider observable transactions that require a company to either apply or discontinue the equity method of accounting under Topic 323, Investments—Equity Method and Joint Ventures, for the purposes of applying the measurement alternative in accordance with Topic 321 immediately before applying or upon discontinuing the equity method. The new ASU clarifies that, when determining the accounting for certain forward contracts and purchased options a company should not consider, whether upon settlement or exercise, if the underlying securities would be accounted for under the equity method or fair value option. ASU 2020-01 is effective. For public business entities for fiscal years, and interim periods within those fiscal years, beginning after December 15, 2021. An entity should apply ASU 2020-01 prospectively at the beginning of the interim period that includes the adoption date. The adoption of ASU 2020-01 did not have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7" w:name="page48"/>
    <w:bookmarkEnd w:id="47"/>
    <w:p>
      <w:pPr>
        <w:jc w:val="both"/>
        <w:ind w:firstLine="648"/>
        <w:spacing w:after="0" w:line="255" w:lineRule="auto"/>
        <w:rPr>
          <w:sz w:val="20"/>
          <w:szCs w:val="20"/>
          <w:color w:val="auto"/>
        </w:rPr>
      </w:pPr>
      <w:r>
        <w:rPr>
          <w:rFonts w:ascii="Arial" w:cs="Arial" w:eastAsia="Arial" w:hAnsi="Arial"/>
          <w:sz w:val="18"/>
          <w:szCs w:val="18"/>
          <w:color w:val="auto"/>
        </w:rPr>
        <w:t>In December 2019, the FASB issued ASU 2019-12, Income Taxes (Topic 740) – Simplifying the Accounting for Income Taxes. The update is intended to simplify the current rules regarding the accounting for income taxes and addresses several technical topics including accounting for franchise taxes, allocating income taxes between a loss in continuing operations and in other categories such as discontinued operations, reporting income taxes for legal entities that are not subject to income taxes, and interim accounting for enacted changes in tax laws. The new standard is effective for fiscal years beginning after December 15, 2021; however, early adoption is permitted. The adoption of this standard did not have material impact on the consolidated financial statements.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which eliminates step two from the goodwill impairment test. Under ASU 2017-04, an entity should recognize an impairment charge for the amount by which the carrying amount of a reporting unit exceeds its fair value up to the amount of goodwill allocated to that reporting unit. ASU 2017-04 became effective for accelerated filing companies for annual periods or any interim goodwill impairment tests in fiscal years beginning after December 15, 2019. All other entities, including not-for-profit entities, that are adopting the amendments in this Update should do so for their annual or any interim goodwill impairment tests in fiscal years beginning after December 15, 2022. Early adoption is permitted for interim or annual goodwill impairment tests performed on testing dates after January 1, 2017. The Company has adopted ASU 2017-04. See disclosures above on Goodwill for further details.</w:t>
      </w:r>
    </w:p>
    <w:p>
      <w:pPr>
        <w:spacing w:after="0" w:line="166" w:lineRule="exact"/>
        <w:rPr>
          <w:sz w:val="20"/>
          <w:szCs w:val="20"/>
          <w:color w:val="auto"/>
        </w:rPr>
      </w:pPr>
    </w:p>
    <w:p>
      <w:pPr>
        <w:jc w:val="both"/>
        <w:ind w:right="20" w:firstLine="720"/>
        <w:spacing w:after="0" w:line="277" w:lineRule="auto"/>
        <w:rPr>
          <w:sz w:val="20"/>
          <w:szCs w:val="20"/>
          <w:color w:val="auto"/>
        </w:rPr>
      </w:pPr>
      <w:r>
        <w:rPr>
          <w:rFonts w:ascii="Arial" w:cs="Arial" w:eastAsia="Arial" w:hAnsi="Arial"/>
          <w:sz w:val="18"/>
          <w:szCs w:val="18"/>
          <w:color w:val="auto"/>
        </w:rPr>
        <w:t>The Company does not believe other recently issued but not yet effective accounting standards, if currently adopted, would have a material effect on the consolidated financial position, statements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jc w:val="both"/>
        <w:ind w:firstLine="720"/>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for timely decisions regarding required disclosure.</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of December 31, 2022, our management carried out an evaluation, under the supervision and with the participation of our Chief Executive Officer and Chief Financial Officer, of the effectiveness of the design and operation of our disclosure controls and procedures. Based on the foregoing, our management concluded that our internal controls over financial reporting were not effective because, among other things, (i) we did not maintain a sufficient complement of personnel with an appropriate degree of technical knowledge commensurate with the Company’s accounting and reporting requirements and complex transactions, (ii) we lack effective communication procedures in our controlled subsidiaries, and (iii) our controls related to the financial statements closing process were not adequately designed or appropriately implemented to identify material misstatements in our financial reporting on a timely basis. Management has evaluated remediation plans to address these deficiencies and is implementing changes to address the material weakness identified, including hiring additional accountants and consultants and implementing controls and procedures over the financial reporting process.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occurred during the quarter ended December 31, 2022 that have materially affected, or are reasonably likely to materially affect, our internal controls over financial reporting.</w:t>
      </w:r>
    </w:p>
    <w:p>
      <w:pPr>
        <w:spacing w:after="0" w:line="170" w:lineRule="exact"/>
        <w:rPr>
          <w:sz w:val="20"/>
          <w:szCs w:val="20"/>
          <w:color w:val="auto"/>
        </w:rPr>
      </w:pPr>
    </w:p>
    <w:p>
      <w:pPr>
        <w:jc w:val="both"/>
        <w:ind w:right="20" w:firstLine="720"/>
        <w:spacing w:after="0" w:line="277" w:lineRule="auto"/>
        <w:rPr>
          <w:sz w:val="20"/>
          <w:szCs w:val="20"/>
          <w:color w:val="auto"/>
        </w:rPr>
      </w:pPr>
      <w:r>
        <w:rPr>
          <w:rFonts w:ascii="Arial" w:cs="Arial" w:eastAsia="Arial" w:hAnsi="Arial"/>
          <w:sz w:val="18"/>
          <w:szCs w:val="18"/>
          <w:color w:val="auto"/>
        </w:rPr>
        <w:t>UHY LLP, our independent registered public accounting firm, is not required to and has not provided an assessment over the design or effectiveness of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720"/>
        <w:spacing w:after="0" w:line="286" w:lineRule="auto"/>
        <w:rPr>
          <w:sz w:val="20"/>
          <w:szCs w:val="20"/>
          <w:color w:val="auto"/>
        </w:rPr>
      </w:pPr>
      <w:r>
        <w:rPr>
          <w:rFonts w:ascii="Arial" w:cs="Arial" w:eastAsia="Arial" w:hAnsi="Arial"/>
          <w:sz w:val="16"/>
          <w:szCs w:val="16"/>
          <w:color w:val="auto"/>
        </w:rPr>
        <w:t xml:space="preserve">Our former placement agent, Boustead Securities LLC ("Boustead”), has brought a legal action against us following our communication to Boustead to unilaterally terminate an engagement agreement under which we and Boustead had originally intended for Boustead to be engaged to act as an exclusive underwriter in our initial public offering. To date, we have been unable to reach a settlement with Boustead. On April 30, 2021, Boustead filed a statement of claim with FINRA demanding to arbitrate the dispute, and is seeking, among other things, monetary damages against the Company and D.A. Davidson &amp; Co. The matter is presently scheduled to be heard before a FINRA arbitration panel over six non-consecutive days in the months of April and May 2023. We believe that we have meritorious defenses to any claims that Boustead may assert, and we do not believe that such claims will have a material adverse effect on our business, financial condition or operating results. However, we have agreed to indemnify D.A. Davidson &amp; Co. and the other underwriters who participated in our initial public offering against any liability or expense they may incur or be subject to arising out of the Boustead dispute. In addition, Chenlong Tan, our Chairman, President and Chief Executive Officer and a beneficial owner more than 5% of our common stock, has agreed to reimburse us for any judgments, fines and amounts paid or actually incurred by us or an indemnitee in connection with such legal action or in connection with any settlement agreement entered into by us or an indemnitee up to a maximum of $3.5 million in the aggregate, with the sole source of funding for such reimbursement to come from sales of shares then owned by Mr. Tan. For further information, see “Risk Factors – </w:t>
      </w:r>
      <w:r>
        <w:rPr>
          <w:rFonts w:ascii="Arial" w:cs="Arial" w:eastAsia="Arial" w:hAnsi="Arial"/>
          <w:sz w:val="16"/>
          <w:szCs w:val="16"/>
          <w:i w:val="1"/>
          <w:iCs w:val="1"/>
          <w:color w:val="auto"/>
        </w:rPr>
        <w:t>Prior to our initial</w:t>
      </w:r>
      <w:r>
        <w:rPr>
          <w:rFonts w:ascii="Arial" w:cs="Arial" w:eastAsia="Arial" w:hAnsi="Arial"/>
          <w:sz w:val="16"/>
          <w:szCs w:val="16"/>
          <w:color w:val="auto"/>
        </w:rPr>
        <w:t xml:space="preserve"> </w:t>
      </w:r>
      <w:r>
        <w:rPr>
          <w:rFonts w:ascii="Arial" w:cs="Arial" w:eastAsia="Arial" w:hAnsi="Arial"/>
          <w:sz w:val="16"/>
          <w:szCs w:val="16"/>
          <w:i w:val="1"/>
          <w:iCs w:val="1"/>
          <w:color w:val="auto"/>
        </w:rPr>
        <w:t>public offering we unilaterally terminated an engagement agreement with Boustead Securities LLC and may be subject to litigation in the event we are not able to come to agreement on the amounts Boustead deems itself to be owed under such agreement</w:t>
      </w:r>
      <w:r>
        <w:rPr>
          <w:rFonts w:ascii="Arial" w:cs="Arial" w:eastAsia="Arial" w:hAnsi="Arial"/>
          <w:sz w:val="16"/>
          <w:szCs w:val="16"/>
          <w:color w:val="auto"/>
        </w:rPr>
        <w:t>” and “Certain Relationships and Related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in our Annual Report on Form 10-K filed with the SEC on September 28, 2022.</w:t>
      </w:r>
    </w:p>
    <w:p>
      <w:pPr>
        <w:spacing w:after="0" w:line="167" w:lineRule="exact"/>
        <w:rPr>
          <w:sz w:val="20"/>
          <w:szCs w:val="20"/>
          <w:color w:val="auto"/>
        </w:rPr>
      </w:pPr>
    </w:p>
    <w:p>
      <w:pPr>
        <w:jc w:val="both"/>
        <w:ind w:firstLine="720"/>
        <w:spacing w:after="0" w:line="263" w:lineRule="auto"/>
        <w:rPr>
          <w:sz w:val="20"/>
          <w:szCs w:val="20"/>
          <w:color w:val="auto"/>
        </w:rPr>
      </w:pPr>
      <w:r>
        <w:rPr>
          <w:rFonts w:ascii="Arial" w:cs="Arial" w:eastAsia="Arial" w:hAnsi="Arial"/>
          <w:sz w:val="18"/>
          <w:szCs w:val="18"/>
          <w:color w:val="auto"/>
        </w:rPr>
        <w:t>Other than the above, we are not presently party to any pending or other threatened legal proceedings or claims that we believe will have a material adverse effect on our business, financial condition or operating results, although from time to time, we may become involved in legal proceedings in the ordinary course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meet the continued listing requirements of Nasdaq Stock Market (“Nasdaq”) could result in a de-listing of our common stock.</w:t>
      </w:r>
    </w:p>
    <w:p>
      <w:pPr>
        <w:spacing w:after="0" w:line="2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we fail to maintain the continued listing requirements of Nasdaq, including maintaining the minimum closing bid price requirement of $1.00 per share, Nasdaq will take steps to de-list our common stock. As a result of several factors, including but not limited to recent market sentiment concerning our industry, the ongoing COVID-19 epidemic and its effects on the global marketplace, recent volatility in the financial markets generally due to the expectation of a tightening in monetary policy by the U.S. Federal Reserve and other geopolitical events, the per share price of our common stock has declined below the minimum bid price threshold required for continued listing. Were we to be delisted from Nasdaq, such a de-listing would likely have a negative effect on the price of our common stock and would impair your ability to sell or purchase our common stock when you wish to do so, as well as adversely affect our ability to issue additional securities and obtain additional financing in the future.</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9, 2022, we received a deficiency notice from Nasdaq (the “Deficiency Notice”) informing us that our common stock had failed to comply with the $1.00 minimum bid price required for continued listing under Nasdaq Listing Rule 5550(a)(1) (“Rule 5550(a)(1)”) based upon the closing bid price of our common stock for the 30 consecutive business days prior to the date of the Deficiency Notice. In accordance with Nasdaq Listing Rule 5810(c)(3)(A), we have been given 180 calendar days from September 9, 2022, or until May 8, 2023, to regain compliance with Rule 5550(a)(1). Thus, if at any time before May 8, 2023 the bid price of our common stock closes at $1.00 per share or more for a minimum of 10 consecutive business days, Nasdaq will provide us with written confirmation that we have regained compliance.</w:t>
      </w:r>
    </w:p>
    <w:p>
      <w:pPr>
        <w:spacing w:after="0" w:line="19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If we do not regain compliance with Rule 5550(a)(1) by May 8, 2023, we may be afforded a second 180 calendar day period to regain compliance. To qualify, we would be required to meet the continued listing requirement for market value of publicly held shares and all other initial listing standards for the Nasdaq, except for the minimum bid price requirement. In addition, we would be required to notify Nasdaq of our intent and plan to cure the deficiency during the second compliance period.</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event of a de-listing or threatened de-listing, we would take actions to restore our compliance with Nasdaq Rules, but we can provide no assurances that the listing of our common stock would be restored, that our common stock will remain above the Nasdaq minimum bid price requirement or that we otherwise will remain in compliance with the Nasdaq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2. RECENT SALES OF UNREGISTERED EQUITY SECURITIES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exhibits are filed or furnished with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0120" w:type="dxa"/>
            <w:vAlign w:val="bottom"/>
            <w:gridSpan w:val="6"/>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391"/>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71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Certification of Chief Executive Officer pursuant to Section 302 of the Sarbanes-Oxley Act of 2002</w:t>
            </w:r>
          </w:p>
        </w:tc>
        <w:tc>
          <w:tcPr>
            <w:tcW w:w="2940" w:type="dxa"/>
            <w:vAlign w:val="bottom"/>
            <w:gridSpan w:val="2"/>
          </w:tcPr>
          <w:p>
            <w:pPr>
              <w:spacing w:after="0"/>
              <w:rPr>
                <w:sz w:val="24"/>
                <w:szCs w:val="24"/>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0120" w:type="dxa"/>
            <w:vAlign w:val="bottom"/>
            <w:gridSpan w:val="6"/>
          </w:tcPr>
          <w:p>
            <w:pPr>
              <w:spacing w:after="0" w:line="196" w:lineRule="exact"/>
              <w:rPr>
                <w:sz w:val="20"/>
                <w:szCs w:val="20"/>
                <w:color w:val="auto"/>
              </w:rPr>
            </w:pPr>
            <w:r>
              <w:rPr>
                <w:rFonts w:ascii="Arial" w:cs="Arial" w:eastAsia="Arial" w:hAnsi="Arial"/>
                <w:sz w:val="18"/>
                <w:szCs w:val="18"/>
                <w:color w:val="0000EE"/>
              </w:rPr>
              <w:t>Certification of Chief Financial Officer pursuant to Section 302 of the Sarbanes-Oxley Act of 2002</w:t>
            </w: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60" w:type="dxa"/>
            <w:vAlign w:val="bottom"/>
            <w:shd w:val="clear" w:color="auto" w:fill="0000EE"/>
          </w:tcPr>
          <w:p>
            <w:pPr>
              <w:spacing w:after="0" w:line="20" w:lineRule="exact"/>
              <w:rPr>
                <w:sz w:val="1"/>
                <w:szCs w:val="1"/>
                <w:color w:val="auto"/>
              </w:rPr>
            </w:pPr>
          </w:p>
        </w:tc>
        <w:tc>
          <w:tcPr>
            <w:tcW w:w="2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120" w:type="dxa"/>
            <w:vAlign w:val="bottom"/>
            <w:tcBorders>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3"/>
              </w:rPr>
              <w:t>Certification of Chief Executive Officer Pursuant to 18 U.S.C. Section 1350, As Adopted Pursuant to Section 906 of the Sarbanes-Oxley</w:t>
            </w:r>
          </w:p>
        </w:tc>
      </w:tr>
      <w:tr>
        <w:trPr>
          <w:trHeight w:val="196"/>
        </w:trPr>
        <w:tc>
          <w:tcPr>
            <w:tcW w:w="1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Act of 2002</w:t>
            </w:r>
          </w:p>
        </w:tc>
        <w:tc>
          <w:tcPr>
            <w:tcW w:w="9260" w:type="dxa"/>
            <w:vAlign w:val="bottom"/>
            <w:gridSpan w:val="4"/>
          </w:tcPr>
          <w:p>
            <w:pPr>
              <w:spacing w:after="0"/>
              <w:rPr>
                <w:sz w:val="17"/>
                <w:szCs w:val="17"/>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120" w:type="dxa"/>
            <w:vAlign w:val="bottom"/>
            <w:gridSpan w:val="6"/>
          </w:tcPr>
          <w:p>
            <w:pPr>
              <w:spacing w:after="0" w:line="196" w:lineRule="exact"/>
              <w:rPr>
                <w:sz w:val="20"/>
                <w:szCs w:val="20"/>
                <w:color w:val="auto"/>
              </w:rPr>
            </w:pPr>
            <w:r>
              <w:rPr>
                <w:rFonts w:ascii="Arial" w:cs="Arial" w:eastAsia="Arial" w:hAnsi="Arial"/>
                <w:sz w:val="18"/>
                <w:szCs w:val="18"/>
                <w:color w:val="0000EE"/>
                <w:w w:val="91"/>
              </w:rPr>
              <w:t>Certification of Chief Financial Officer Pursuant to 18 U.S.C. Section 1350, As Adopted Pursuant to Section 906 of the Sarbanes-Oxley Act</w:t>
            </w:r>
          </w:p>
        </w:tc>
      </w:tr>
      <w:tr>
        <w:trPr>
          <w:trHeight w:val="196"/>
        </w:trPr>
        <w:tc>
          <w:tcPr>
            <w:tcW w:w="1120" w:type="dxa"/>
            <w:vAlign w:val="bottom"/>
          </w:tcPr>
          <w:p>
            <w:pPr>
              <w:spacing w:after="0"/>
              <w:rPr>
                <w:sz w:val="17"/>
                <w:szCs w:val="17"/>
                <w:color w:val="auto"/>
              </w:rPr>
            </w:pPr>
          </w:p>
        </w:tc>
        <w:tc>
          <w:tcPr>
            <w:tcW w:w="10100" w:type="dxa"/>
            <w:vAlign w:val="bottom"/>
            <w:tcBorders>
              <w:top w:val="single" w:sz="8" w:color="0000EE"/>
            </w:tcBorders>
            <w:gridSpan w:val="5"/>
          </w:tcPr>
          <w:p>
            <w:pPr>
              <w:spacing w:after="0" w:line="196" w:lineRule="exact"/>
              <w:rPr>
                <w:sz w:val="20"/>
                <w:szCs w:val="20"/>
                <w:color w:val="auto"/>
              </w:rPr>
            </w:pPr>
            <w:r>
              <w:rPr>
                <w:rFonts w:ascii="Arial" w:cs="Arial" w:eastAsia="Arial" w:hAnsi="Arial"/>
                <w:sz w:val="18"/>
                <w:szCs w:val="18"/>
                <w:color w:val="0000EE"/>
              </w:rPr>
              <w:t>of 2002</w:t>
            </w:r>
          </w:p>
        </w:tc>
        <w:tc>
          <w:tcPr>
            <w:tcW w:w="20" w:type="dxa"/>
            <w:vAlign w:val="bottom"/>
          </w:tcPr>
          <w:p>
            <w:pPr>
              <w:spacing w:after="0"/>
              <w:rPr>
                <w:sz w:val="17"/>
                <w:szCs w:val="17"/>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9580" w:type="dxa"/>
            <w:vAlign w:val="bottom"/>
            <w:gridSpan w:val="5"/>
          </w:tcPr>
          <w:p>
            <w:pPr>
              <w:spacing w:after="0" w:line="20" w:lineRule="exact"/>
              <w:rPr>
                <w:sz w:val="1"/>
                <w:szCs w:val="1"/>
                <w:color w:val="auto"/>
              </w:rPr>
            </w:pPr>
          </w:p>
        </w:tc>
      </w:tr>
      <w:tr>
        <w:trPr>
          <w:trHeight w:val="222"/>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10120" w:type="dxa"/>
            <w:vAlign w:val="bottom"/>
            <w:gridSpan w:val="6"/>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XBRL tags are embedded</w:t>
            </w:r>
          </w:p>
        </w:tc>
      </w:tr>
      <w:tr>
        <w:trPr>
          <w:trHeight w:val="216"/>
        </w:trPr>
        <w:tc>
          <w:tcPr>
            <w:tcW w:w="1120" w:type="dxa"/>
            <w:vAlign w:val="bottom"/>
          </w:tcPr>
          <w:p>
            <w:pPr>
              <w:spacing w:after="0"/>
              <w:rPr>
                <w:sz w:val="18"/>
                <w:szCs w:val="18"/>
                <w:color w:val="auto"/>
              </w:rPr>
            </w:pPr>
          </w:p>
        </w:tc>
        <w:tc>
          <w:tcPr>
            <w:tcW w:w="1012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6"/>
          </w:tcPr>
          <w:p>
            <w:pPr>
              <w:spacing w:after="0"/>
              <w:rPr>
                <w:sz w:val="20"/>
                <w:szCs w:val="20"/>
                <w:color w:val="auto"/>
              </w:rPr>
            </w:pPr>
            <w:r>
              <w:rPr>
                <w:rFonts w:ascii="Arial" w:cs="Arial" w:eastAsia="Arial" w:hAnsi="Arial"/>
                <w:sz w:val="18"/>
                <w:szCs w:val="18"/>
                <w:color w:val="auto"/>
              </w:rPr>
              <w:t>Inline XBRL Taxonomy Schema Document</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10120" w:type="dxa"/>
            <w:vAlign w:val="bottom"/>
            <w:gridSpan w:val="6"/>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10120" w:type="dxa"/>
            <w:vAlign w:val="bottom"/>
            <w:gridSpan w:val="6"/>
          </w:tcPr>
          <w:p>
            <w:pPr>
              <w:spacing w:after="0"/>
              <w:rPr>
                <w:sz w:val="20"/>
                <w:szCs w:val="20"/>
                <w:color w:val="auto"/>
              </w:rPr>
            </w:pPr>
            <w:r>
              <w:rPr>
                <w:rFonts w:ascii="Arial" w:cs="Arial" w:eastAsia="Arial" w:hAnsi="Arial"/>
                <w:sz w:val="18"/>
                <w:szCs w:val="18"/>
                <w:color w:val="auto"/>
              </w:rPr>
              <w:t>Inline XBRL Taxonomy Definition Linkbase Data</w:t>
            </w: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10120" w:type="dxa"/>
            <w:vAlign w:val="bottom"/>
            <w:gridSpan w:val="6"/>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10120" w:type="dxa"/>
            <w:vAlign w:val="bottom"/>
            <w:gridSpan w:val="6"/>
          </w:tcPr>
          <w:p>
            <w:pPr>
              <w:spacing w:after="0"/>
              <w:rPr>
                <w:sz w:val="20"/>
                <w:szCs w:val="20"/>
                <w:color w:val="auto"/>
              </w:rPr>
            </w:pPr>
            <w:r>
              <w:rPr>
                <w:rFonts w:ascii="Arial" w:cs="Arial" w:eastAsia="Arial" w:hAnsi="Arial"/>
                <w:sz w:val="18"/>
                <w:szCs w:val="18"/>
                <w:color w:val="auto"/>
              </w:rPr>
              <w:t>Inline XBRL Taxonomy Presentation Linkbase Document</w:t>
            </w:r>
          </w:p>
        </w:tc>
      </w:tr>
    </w:tbl>
    <w:p>
      <w:pPr>
        <w:ind w:left="1120" w:hanging="1112"/>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3820" w:type="dxa"/>
            <w:vAlign w:val="bottom"/>
            <w:gridSpan w:val="2"/>
          </w:tcPr>
          <w:p>
            <w:pPr>
              <w:ind w:left="2520"/>
              <w:spacing w:after="0"/>
              <w:rPr>
                <w:sz w:val="20"/>
                <w:szCs w:val="20"/>
                <w:color w:val="auto"/>
              </w:rPr>
            </w:pPr>
            <w:r>
              <w:rPr>
                <w:rFonts w:ascii="Arial" w:cs="Arial" w:eastAsia="Arial" w:hAnsi="Arial"/>
                <w:sz w:val="18"/>
                <w:szCs w:val="18"/>
                <w:b w:val="1"/>
                <w:bCs w:val="1"/>
                <w:color w:val="auto"/>
              </w:rPr>
              <w:t>iPower Inc.</w:t>
            </w:r>
          </w:p>
        </w:tc>
        <w:tc>
          <w:tcPr>
            <w:tcW w:w="3560" w:type="dxa"/>
            <w:vAlign w:val="bottom"/>
          </w:tcPr>
          <w:p>
            <w:pPr>
              <w:spacing w:after="0"/>
              <w:rPr>
                <w:sz w:val="20"/>
                <w:szCs w:val="20"/>
                <w:color w:val="auto"/>
              </w:rPr>
            </w:pP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February 14, 2023</w:t>
            </w:r>
          </w:p>
        </w:tc>
        <w:tc>
          <w:tcPr>
            <w:tcW w:w="3820" w:type="dxa"/>
            <w:vAlign w:val="bottom"/>
            <w:gridSpan w:val="2"/>
          </w:tcPr>
          <w:p>
            <w:pPr>
              <w:ind w:left="2520"/>
              <w:spacing w:after="0"/>
              <w:rPr>
                <w:sz w:val="20"/>
                <w:szCs w:val="20"/>
                <w:color w:val="auto"/>
              </w:rPr>
            </w:pPr>
            <w:r>
              <w:rPr>
                <w:rFonts w:ascii="Arial" w:cs="Arial" w:eastAsia="Arial" w:hAnsi="Arial"/>
                <w:sz w:val="18"/>
                <w:szCs w:val="18"/>
                <w:color w:val="auto"/>
              </w:rPr>
              <w:t>By:</w:t>
            </w:r>
          </w:p>
        </w:tc>
        <w:tc>
          <w:tcPr>
            <w:tcW w:w="3560" w:type="dxa"/>
            <w:vAlign w:val="bottom"/>
          </w:tcPr>
          <w:p>
            <w:pPr>
              <w:jc w:val="center"/>
              <w:ind w:right="930"/>
              <w:spacing w:after="0"/>
              <w:rPr>
                <w:sz w:val="20"/>
                <w:szCs w:val="20"/>
                <w:color w:val="auto"/>
              </w:rPr>
            </w:pPr>
            <w:r>
              <w:rPr>
                <w:rFonts w:ascii="Arial" w:cs="Arial" w:eastAsia="Arial" w:hAnsi="Arial"/>
                <w:sz w:val="18"/>
                <w:szCs w:val="18"/>
                <w:color w:val="auto"/>
                <w:w w:val="88"/>
              </w:rPr>
              <w:t>/s/ Chenlong Tan</w:t>
            </w:r>
          </w:p>
        </w:tc>
      </w:tr>
      <w:tr>
        <w:trPr>
          <w:trHeight w:val="195"/>
        </w:trPr>
        <w:tc>
          <w:tcPr>
            <w:tcW w:w="38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tcPr>
          <w:p>
            <w:pPr>
              <w:jc w:val="center"/>
              <w:ind w:right="930"/>
              <w:spacing w:after="0" w:line="195" w:lineRule="exact"/>
              <w:rPr>
                <w:sz w:val="20"/>
                <w:szCs w:val="20"/>
                <w:color w:val="auto"/>
              </w:rPr>
            </w:pPr>
            <w:r>
              <w:rPr>
                <w:rFonts w:ascii="Arial" w:cs="Arial" w:eastAsia="Arial" w:hAnsi="Arial"/>
                <w:sz w:val="18"/>
                <w:szCs w:val="18"/>
                <w:color w:val="auto"/>
                <w:w w:val="90"/>
              </w:rPr>
              <w:t>Chenlong Tan</w:t>
            </w:r>
          </w:p>
        </w:tc>
      </w:tr>
      <w:tr>
        <w:trPr>
          <w:trHeight w:val="230"/>
        </w:trPr>
        <w:tc>
          <w:tcPr>
            <w:tcW w:w="38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560" w:type="dxa"/>
            <w:vAlign w:val="bottom"/>
          </w:tcPr>
          <w:p>
            <w:pPr>
              <w:jc w:val="center"/>
              <w:ind w:right="950"/>
              <w:spacing w:after="0"/>
              <w:rPr>
                <w:sz w:val="20"/>
                <w:szCs w:val="20"/>
                <w:color w:val="auto"/>
              </w:rPr>
            </w:pPr>
            <w:r>
              <w:rPr>
                <w:rFonts w:ascii="Arial" w:cs="Arial" w:eastAsia="Arial" w:hAnsi="Arial"/>
                <w:sz w:val="18"/>
                <w:szCs w:val="18"/>
                <w:color w:val="auto"/>
                <w:w w:val="93"/>
              </w:rPr>
              <w:t>Chief Executive Officer</w:t>
            </w:r>
          </w:p>
        </w:tc>
      </w:tr>
      <w:tr>
        <w:trPr>
          <w:trHeight w:val="432"/>
        </w:trPr>
        <w:tc>
          <w:tcPr>
            <w:tcW w:w="3860" w:type="dxa"/>
            <w:vAlign w:val="bottom"/>
          </w:tcPr>
          <w:p>
            <w:pPr>
              <w:spacing w:after="0"/>
              <w:rPr>
                <w:sz w:val="20"/>
                <w:szCs w:val="20"/>
                <w:color w:val="auto"/>
              </w:rPr>
            </w:pPr>
            <w:r>
              <w:rPr>
                <w:rFonts w:ascii="Arial" w:cs="Arial" w:eastAsia="Arial" w:hAnsi="Arial"/>
                <w:sz w:val="18"/>
                <w:szCs w:val="18"/>
                <w:color w:val="auto"/>
              </w:rPr>
              <w:t>February 14, 2023</w:t>
            </w:r>
          </w:p>
        </w:tc>
        <w:tc>
          <w:tcPr>
            <w:tcW w:w="3820" w:type="dxa"/>
            <w:vAlign w:val="bottom"/>
            <w:gridSpan w:val="2"/>
          </w:tcPr>
          <w:p>
            <w:pPr>
              <w:ind w:left="2520"/>
              <w:spacing w:after="0"/>
              <w:rPr>
                <w:sz w:val="20"/>
                <w:szCs w:val="20"/>
                <w:color w:val="auto"/>
              </w:rPr>
            </w:pPr>
            <w:r>
              <w:rPr>
                <w:rFonts w:ascii="Arial" w:cs="Arial" w:eastAsia="Arial" w:hAnsi="Arial"/>
                <w:sz w:val="18"/>
                <w:szCs w:val="18"/>
                <w:color w:val="auto"/>
              </w:rPr>
              <w:t>By:</w:t>
            </w:r>
          </w:p>
        </w:tc>
        <w:tc>
          <w:tcPr>
            <w:tcW w:w="3560" w:type="dxa"/>
            <w:vAlign w:val="bottom"/>
          </w:tcPr>
          <w:p>
            <w:pPr>
              <w:jc w:val="center"/>
              <w:ind w:right="930"/>
              <w:spacing w:after="0"/>
              <w:rPr>
                <w:sz w:val="20"/>
                <w:szCs w:val="20"/>
                <w:color w:val="auto"/>
              </w:rPr>
            </w:pPr>
            <w:r>
              <w:rPr>
                <w:rFonts w:ascii="Arial" w:cs="Arial" w:eastAsia="Arial" w:hAnsi="Arial"/>
                <w:sz w:val="18"/>
                <w:szCs w:val="18"/>
                <w:color w:val="auto"/>
                <w:w w:val="93"/>
              </w:rPr>
              <w:t>/s/ Kevin Vassily</w:t>
            </w:r>
          </w:p>
        </w:tc>
      </w:tr>
      <w:tr>
        <w:trPr>
          <w:trHeight w:val="195"/>
        </w:trPr>
        <w:tc>
          <w:tcPr>
            <w:tcW w:w="38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560" w:type="dxa"/>
            <w:vAlign w:val="bottom"/>
            <w:tcBorders>
              <w:top w:val="single" w:sz="8" w:color="auto"/>
            </w:tcBorders>
          </w:tcPr>
          <w:p>
            <w:pPr>
              <w:jc w:val="center"/>
              <w:ind w:right="950"/>
              <w:spacing w:after="0" w:line="195" w:lineRule="exact"/>
              <w:rPr>
                <w:sz w:val="20"/>
                <w:szCs w:val="20"/>
                <w:color w:val="auto"/>
              </w:rPr>
            </w:pPr>
            <w:r>
              <w:rPr>
                <w:rFonts w:ascii="Arial" w:cs="Arial" w:eastAsia="Arial" w:hAnsi="Arial"/>
                <w:sz w:val="18"/>
                <w:szCs w:val="18"/>
                <w:color w:val="auto"/>
                <w:w w:val="93"/>
              </w:rPr>
              <w:t>Kevin Vassily</w:t>
            </w:r>
          </w:p>
        </w:tc>
      </w:tr>
      <w:tr>
        <w:trPr>
          <w:trHeight w:val="230"/>
        </w:trPr>
        <w:tc>
          <w:tcPr>
            <w:tcW w:w="386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560" w:type="dxa"/>
            <w:vAlign w:val="bottom"/>
          </w:tcPr>
          <w:p>
            <w:pPr>
              <w:jc w:val="center"/>
              <w:ind w:right="950"/>
              <w:spacing w:after="0"/>
              <w:rPr>
                <w:sz w:val="20"/>
                <w:szCs w:val="20"/>
                <w:color w:val="auto"/>
              </w:rPr>
            </w:pPr>
            <w:r>
              <w:rPr>
                <w:rFonts w:ascii="Arial" w:cs="Arial" w:eastAsia="Arial" w:hAnsi="Arial"/>
                <w:sz w:val="18"/>
                <w:szCs w:val="18"/>
                <w:color w:val="auto"/>
                <w:w w:val="94"/>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Chenlong Tan, certify that:</w:t>
      </w:r>
    </w:p>
    <w:p>
      <w:pPr>
        <w:spacing w:after="0" w:line="225" w:lineRule="exact"/>
        <w:rPr>
          <w:sz w:val="20"/>
          <w:szCs w:val="20"/>
          <w:color w:val="auto"/>
        </w:rPr>
      </w:pPr>
    </w:p>
    <w:p>
      <w:pPr>
        <w:ind w:firstLine="526"/>
        <w:spacing w:after="0" w:line="277" w:lineRule="auto"/>
        <w:tabs>
          <w:tab w:leader="none" w:pos="7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Pursuant to Rule 15d-2 under the Securities Exchange Act of 1934 for the period ended December 31, 2022 of iPower Inc. (the “registrant”);</w:t>
      </w:r>
    </w:p>
    <w:p>
      <w:pPr>
        <w:spacing w:after="0" w:line="170" w:lineRule="exact"/>
        <w:rPr>
          <w:rFonts w:ascii="Arial" w:cs="Arial" w:eastAsia="Arial" w:hAnsi="Arial"/>
          <w:sz w:val="18"/>
          <w:szCs w:val="18"/>
          <w:color w:val="auto"/>
        </w:rPr>
      </w:pPr>
    </w:p>
    <w:p>
      <w:pPr>
        <w:ind w:right="20" w:firstLine="526"/>
        <w:spacing w:after="0" w:line="342" w:lineRule="auto"/>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526"/>
        <w:spacing w:after="0" w:line="277" w:lineRule="auto"/>
        <w:tabs>
          <w:tab w:leader="none" w:pos="699"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526"/>
        <w:spacing w:after="0" w:line="263" w:lineRule="auto"/>
        <w:tabs>
          <w:tab w:leader="none" w:pos="7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08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103"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915"/>
        <w:spacing w:after="0" w:line="308" w:lineRule="auto"/>
        <w:tabs>
          <w:tab w:leader="none" w:pos="11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915"/>
        <w:spacing w:after="0" w:line="263" w:lineRule="auto"/>
        <w:tabs>
          <w:tab w:leader="none" w:pos="110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526"/>
        <w:spacing w:after="0" w:line="308" w:lineRule="auto"/>
        <w:tabs>
          <w:tab w:leader="none" w:pos="70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915"/>
        <w:spacing w:after="0" w:line="277" w:lineRule="auto"/>
        <w:tabs>
          <w:tab w:leader="none" w:pos="11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915"/>
        <w:spacing w:after="0" w:line="277" w:lineRule="auto"/>
        <w:tabs>
          <w:tab w:leader="none" w:pos="110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February 14, 2023</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Chenlong Tan</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Chenlong Tan</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Kevin Vassily, certify that:</w:t>
      </w:r>
    </w:p>
    <w:p>
      <w:pPr>
        <w:spacing w:after="0" w:line="225" w:lineRule="exact"/>
        <w:rPr>
          <w:sz w:val="20"/>
          <w:szCs w:val="20"/>
          <w:color w:val="auto"/>
        </w:rPr>
      </w:pPr>
    </w:p>
    <w:p>
      <w:pPr>
        <w:ind w:firstLine="526"/>
        <w:spacing w:after="0" w:line="277" w:lineRule="auto"/>
        <w:tabs>
          <w:tab w:leader="none" w:pos="7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Pursuant to Rule 15d-2 under the Securities Exchange Act of 1934 for the period ended December 31, 2022 of iPower Inc. (the “registrant”);</w:t>
      </w:r>
    </w:p>
    <w:p>
      <w:pPr>
        <w:spacing w:after="0" w:line="170" w:lineRule="exact"/>
        <w:rPr>
          <w:rFonts w:ascii="Arial" w:cs="Arial" w:eastAsia="Arial" w:hAnsi="Arial"/>
          <w:sz w:val="18"/>
          <w:szCs w:val="18"/>
          <w:color w:val="auto"/>
        </w:rPr>
      </w:pPr>
    </w:p>
    <w:p>
      <w:pPr>
        <w:ind w:right="20" w:firstLine="526"/>
        <w:spacing w:after="0" w:line="342" w:lineRule="auto"/>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526"/>
        <w:spacing w:after="0" w:line="277" w:lineRule="auto"/>
        <w:tabs>
          <w:tab w:leader="none" w:pos="699"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526"/>
        <w:spacing w:after="0" w:line="263" w:lineRule="auto"/>
        <w:tabs>
          <w:tab w:leader="none" w:pos="7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08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10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915"/>
        <w:spacing w:after="0" w:line="308" w:lineRule="auto"/>
        <w:tabs>
          <w:tab w:leader="none" w:pos="11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915"/>
        <w:spacing w:after="0" w:line="263" w:lineRule="auto"/>
        <w:tabs>
          <w:tab w:leader="none" w:pos="110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526"/>
        <w:spacing w:after="0" w:line="308" w:lineRule="auto"/>
        <w:tabs>
          <w:tab w:leader="none" w:pos="70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915"/>
        <w:spacing w:after="0" w:line="277" w:lineRule="auto"/>
        <w:tabs>
          <w:tab w:leader="none" w:pos="1112"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915"/>
        <w:spacing w:after="0" w:line="277" w:lineRule="auto"/>
        <w:tabs>
          <w:tab w:leader="none" w:pos="110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February 14, 2023</w:t>
            </w: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Vassily</w:t>
            </w:r>
          </w:p>
        </w:tc>
      </w:tr>
      <w:tr>
        <w:trPr>
          <w:trHeight w:val="195"/>
        </w:trPr>
        <w:tc>
          <w:tcPr>
            <w:tcW w:w="5620" w:type="dxa"/>
            <w:vAlign w:val="bottom"/>
          </w:tcPr>
          <w:p>
            <w:pPr>
              <w:spacing w:after="0"/>
              <w:rPr>
                <w:sz w:val="16"/>
                <w:szCs w:val="16"/>
                <w:color w:val="auto"/>
              </w:rPr>
            </w:pPr>
          </w:p>
        </w:tc>
        <w:tc>
          <w:tcPr>
            <w:tcW w:w="5620" w:type="dxa"/>
            <w:vAlign w:val="bottom"/>
          </w:tcPr>
          <w:p>
            <w:pPr>
              <w:spacing w:after="0" w:line="195" w:lineRule="exact"/>
              <w:rPr>
                <w:sz w:val="20"/>
                <w:szCs w:val="20"/>
                <w:color w:val="auto"/>
              </w:rPr>
            </w:pPr>
            <w:r>
              <w:rPr>
                <w:rFonts w:ascii="Arial" w:cs="Arial" w:eastAsia="Arial" w:hAnsi="Arial"/>
                <w:sz w:val="18"/>
                <w:szCs w:val="18"/>
                <w:color w:val="auto"/>
              </w:rPr>
              <w:t>Kevin Vassily</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iPower Inc. (the “Company”) on Form 10-Q pursuant to Rule 15d-2 Under the Securities Exchange Act of 1934 for the period ended December 31, 2022, as filed with the Securities and Exchange Commission on the date hereof (the “Report”), I, Chenlong Tan, Chief Executive Officer of the Company, certify, pursuant to 18 U.S.C. Section 1350, as adopted pursuant to Section 906 of the Sarbanes-Oxley Act of 2002, that:</w:t>
      </w:r>
    </w:p>
    <w:p>
      <w:pPr>
        <w:spacing w:after="0" w:line="149" w:lineRule="exact"/>
        <w:rPr>
          <w:sz w:val="20"/>
          <w:szCs w:val="20"/>
          <w:color w:val="auto"/>
        </w:rPr>
      </w:pPr>
    </w:p>
    <w:p>
      <w:pPr>
        <w:ind w:left="740" w:hanging="246"/>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0" w:firstLine="494"/>
        <w:spacing w:after="0" w:line="500" w:lineRule="auto"/>
        <w:tabs>
          <w:tab w:leader="none" w:pos="74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14, 2023</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Chenlong Tan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iPower Inc. (the “Company”) on Form 10-Q pursuant to Rule 15d-2 Under the Securities Exchange Act of 1934 for the period ended December 31, 2022, as filed with the Securities and Exchange Commission on the date hereof (the “Report”), I, Kevin Vassily, Chief Financial Officer of the Company, certify, pursuant to 18 U.S.C. Section 1350, as adopted pursuant to Section 906 of the Sarbanes-Oxley Act of 2002, that:</w:t>
      </w:r>
    </w:p>
    <w:p>
      <w:pPr>
        <w:spacing w:after="0" w:line="149" w:lineRule="exact"/>
        <w:rPr>
          <w:sz w:val="20"/>
          <w:szCs w:val="20"/>
          <w:color w:val="auto"/>
        </w:rPr>
      </w:pPr>
    </w:p>
    <w:p>
      <w:pPr>
        <w:ind w:left="740" w:hanging="246"/>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0" w:firstLine="494"/>
        <w:spacing w:after="0" w:line="500" w:lineRule="auto"/>
        <w:tabs>
          <w:tab w:leader="none" w:pos="741"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14, 2023</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Kevin Vassily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Kevin Vassily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lowerRoman"/>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1"/>
      <w:numFmt w:val="decimal"/>
      <w:start w:val="104"/>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2023-02-14T17:45:55Z</dcterms:created>
  <dcterms:modified xsi:type="dcterms:W3CDTF">2023-02-14T17:45:55Z</dcterms:modified>
</cp:coreProperties>
</file>