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hyperlink w:anchor="k_007">
        <w:bookmarkStart w:id="0" w:name="ipower_i10k-063023.htm"/>
        <w:bookmarkStart w:id="1" w:name="ksipower_i10k063023"/>
        <w:bookmarkEnd w:id="0"/>
        <w:bookmarkEnd w:id="1"/>
        <w:r>
          <w:rPr>
            <w:rStyle w:val="InternetLink"/>
            <w:rFonts w:ascii="Times New Roman;Times;Serif" w:hAnsi="Times New Roman;Times;Serif"/>
            <w:b w:val="false"/>
            <w:i w:val="false"/>
            <w:caps w:val="false"/>
            <w:smallCaps w:val="false"/>
            <w:sz w:val="14"/>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B_edei--DocumentType_c20220701__20"/>
      <w:bookmarkEnd w:id="2"/>
      <w:r>
        <w:rPr>
          <w:rFonts w:ascii="Times New Roman;Times;Serif" w:hAnsi="Times New Roman;Times;Serif"/>
          <w:b/>
          <w:i w:val="false"/>
          <w:caps w:val="false"/>
          <w:smallCaps w:val="false"/>
          <w:sz w:val="20"/>
        </w:rPr>
        <w:t>10-K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One)</w:t>
      </w:r>
    </w:p>
    <w:p>
      <w:pPr>
        <w:pStyle w:val="TextBody"/>
        <w:bidi w:val="0"/>
        <w:spacing w:before="0" w:after="0"/>
        <w:ind w:left="0" w:right="0" w:hanging="0"/>
        <w:jc w:val="left"/>
        <w:rPr>
          <w:caps w:val="false"/>
          <w:smallCaps w:val="false"/>
        </w:rPr>
      </w:pPr>
      <w:r>
        <w:rPr>
          <w:caps w:val="false"/>
          <w:smallCaps w:val="false"/>
        </w:rPr>
        <w:t> </w:t>
      </w:r>
    </w:p>
    <w:tbl>
      <w:tblPr>
        <w:tblW w:w="8665" w:type="dxa"/>
        <w:jc w:val="left"/>
        <w:tblInd w:w="0" w:type="dxa"/>
        <w:tblLayout w:type="fixed"/>
        <w:tblCellMar>
          <w:top w:w="0" w:type="dxa"/>
          <w:left w:w="0" w:type="dxa"/>
          <w:bottom w:w="0" w:type="dxa"/>
          <w:right w:w="0" w:type="dxa"/>
        </w:tblCellMar>
      </w:tblPr>
      <w:tblGrid>
        <w:gridCol w:w="75"/>
        <w:gridCol w:w="230"/>
        <w:gridCol w:w="8360"/>
      </w:tblGrid>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caps/>
              </w:rPr>
            </w:pPr>
            <w:bookmarkStart w:id="3" w:name="xdx_90E_edei--DocumentAnnualReport_c2022"/>
            <w:bookmarkEnd w:id="3"/>
            <w:r>
              <w:rPr>
                <w:caps/>
              </w:rPr>
              <w:t>☒</w:t>
            </w:r>
          </w:p>
        </w:tc>
        <w:tc>
          <w:tcPr>
            <w:tcW w:w="8360" w:type="dxa"/>
            <w:tcBorders/>
            <w:vAlign w:val="center"/>
          </w:tcPr>
          <w:p>
            <w:pPr>
              <w:pStyle w:val="TableContents"/>
              <w:bidi w:val="0"/>
              <w:spacing w:before="0" w:after="283"/>
              <w:jc w:val="both"/>
              <w:rPr>
                <w:sz w:val="20"/>
              </w:rPr>
            </w:pPr>
            <w:r>
              <w:rPr>
                <w:rFonts w:ascii="Times New Roman;Times;Serif" w:hAnsi="Times New Roman;Times;Serif"/>
                <w:caps/>
                <w:sz w:val="20"/>
              </w:rPr>
              <w:t>annual Report UNDER Section 13 or 15(</w:t>
            </w:r>
            <w:r>
              <w:rPr>
                <w:rFonts w:ascii="Times New Roman;Times;Serif" w:hAnsi="Times New Roman;Times;Serif"/>
                <w:sz w:val="20"/>
              </w:rPr>
              <w:t>d</w:t>
            </w:r>
            <w:r>
              <w:rPr>
                <w:rFonts w:ascii="Times New Roman;Times;Serif" w:hAnsi="Times New Roman;Times;Serif"/>
                <w:caps/>
                <w:sz w:val="20"/>
              </w:rPr>
              <w:t>) of the Securities Exchange Act of 1934</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Fiscal Year </w:t>
      </w:r>
      <w:bookmarkStart w:id="4" w:name="xdx_90E_edei--CurrentFiscalYearEndDate_c"/>
      <w:bookmarkStart w:id="5" w:name="xdx_904_edei--DocumentPeriodEndDate_c202"/>
      <w:bookmarkEnd w:id="4"/>
      <w:bookmarkEnd w:id="5"/>
      <w:r>
        <w:rPr>
          <w:rFonts w:ascii="Times New Roman;Times;Serif" w:hAnsi="Times New Roman;Times;Serif"/>
          <w:b w:val="false"/>
          <w:i w:val="false"/>
          <w:caps w:val="false"/>
          <w:smallCaps w:val="false"/>
          <w:sz w:val="20"/>
        </w:rPr>
        <w:t>June 30, 2023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tbl>
      <w:tblPr>
        <w:tblW w:w="9040" w:type="dxa"/>
        <w:jc w:val="left"/>
        <w:tblInd w:w="0" w:type="dxa"/>
        <w:tblLayout w:type="fixed"/>
        <w:tblCellMar>
          <w:top w:w="0" w:type="dxa"/>
          <w:left w:w="0" w:type="dxa"/>
          <w:bottom w:w="0" w:type="dxa"/>
          <w:right w:w="0" w:type="dxa"/>
        </w:tblCellMar>
      </w:tblPr>
      <w:tblGrid>
        <w:gridCol w:w="75"/>
        <w:gridCol w:w="230"/>
        <w:gridCol w:w="873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aps/>
              </w:rPr>
            </w:pPr>
            <w:bookmarkStart w:id="6" w:name="xdx_90A_edei--DocumentTransitionReport_c"/>
            <w:bookmarkEnd w:id="6"/>
            <w:r>
              <w:rPr>
                <w:caps/>
              </w:rPr>
              <w:t>☐</w:t>
            </w:r>
          </w:p>
        </w:tc>
        <w:tc>
          <w:tcPr>
            <w:tcW w:w="8735" w:type="dxa"/>
            <w:tcBorders/>
            <w:vAlign w:val="center"/>
          </w:tcPr>
          <w:p>
            <w:pPr>
              <w:pStyle w:val="TableContents"/>
              <w:bidi w:val="0"/>
              <w:spacing w:before="0" w:after="283"/>
              <w:jc w:val="both"/>
              <w:rPr>
                <w:rFonts w:ascii="Times New Roman;Times;Serif" w:hAnsi="Times New Roman;Times;Serif"/>
                <w:caps/>
                <w:sz w:val="20"/>
              </w:rPr>
            </w:pPr>
            <w:r>
              <w:rPr>
                <w:rFonts w:ascii="Times New Roman;Times;Serif" w:hAnsi="Times New Roman;Times;Serif"/>
                <w:caps/>
                <w:sz w:val="20"/>
              </w:rPr>
              <w:t>Transition Report UNDER Section 13 or 15(d) of the Securities Exchange Act of 1934</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from ______________ to 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file number: </w:t>
      </w:r>
      <w:bookmarkStart w:id="7" w:name="xdx_909_edei--EntityFileNumber_c20220701"/>
      <w:bookmarkEnd w:id="7"/>
      <w:r>
        <w:rPr>
          <w:rFonts w:ascii="Times New Roman;Times;Serif" w:hAnsi="Times New Roman;Times;Serif"/>
          <w:b w:val="false"/>
          <w:i w:val="false"/>
          <w:caps w:val="false"/>
          <w:smallCaps w:val="false"/>
          <w:sz w:val="20"/>
        </w:rPr>
        <w:t>001-40391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bookmarkStart w:id="8" w:name="xdx_903_edei--EntityRegistrantName_c2022"/>
      <w:bookmarkEnd w:id="8"/>
      <w:r>
        <w:rPr>
          <w:rFonts w:ascii="Times New Roman;Times;Serif" w:hAnsi="Times New Roman;Times;Serif"/>
          <w:b/>
          <w:i w:val="false"/>
          <w:caps w:val="false"/>
          <w:smallCaps w:val="false"/>
          <w:sz w:val="24"/>
        </w:rPr>
        <w:t>iPower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510" w:type="dxa"/>
        <w:jc w:val="left"/>
        <w:tblInd w:w="0" w:type="dxa"/>
        <w:tblLayout w:type="fixed"/>
        <w:tblCellMar>
          <w:top w:w="0" w:type="dxa"/>
          <w:left w:w="0" w:type="dxa"/>
          <w:bottom w:w="28" w:type="dxa"/>
          <w:right w:w="0" w:type="dxa"/>
        </w:tblCellMar>
      </w:tblPr>
      <w:tblGrid>
        <w:gridCol w:w="2495"/>
        <w:gridCol w:w="60"/>
        <w:gridCol w:w="60"/>
        <w:gridCol w:w="1895"/>
      </w:tblGrid>
      <w:tr>
        <w:trPr/>
        <w:tc>
          <w:tcPr>
            <w:tcW w:w="249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9" w:name="xdx_904_edei--EntityIncorporationStateCo"/>
            <w:bookmarkEnd w:id="9"/>
            <w:r>
              <w:rPr>
                <w:rFonts w:ascii="Times New Roman;Times;Serif" w:hAnsi="Times New Roman;Times;Serif"/>
                <w:b/>
                <w:sz w:val="20"/>
              </w:rPr>
              <w:t>Nevada</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89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10" w:name="xdx_909_edei--EntityTaxIdentificationNum"/>
            <w:bookmarkEnd w:id="10"/>
            <w:r>
              <w:rPr>
                <w:rFonts w:ascii="Times New Roman;Times;Serif" w:hAnsi="Times New Roman;Times;Serif"/>
                <w:b/>
                <w:sz w:val="20"/>
              </w:rPr>
              <w:t xml:space="preserve">82-5144171 </w:t>
            </w:r>
          </w:p>
        </w:tc>
      </w:tr>
      <w:tr>
        <w:trPr/>
        <w:tc>
          <w:tcPr>
            <w:tcW w:w="24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8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r>
          </w:p>
        </w:tc>
      </w:tr>
      <w:tr>
        <w:trPr/>
        <w:tc>
          <w:tcPr>
            <w:tcW w:w="24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incorporation or organization)</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8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xdx_902_edei--EntityAddressAddressLine1_"/>
      <w:bookmarkEnd w:id="11"/>
      <w:r>
        <w:rPr>
          <w:rFonts w:ascii="Times New Roman;Times;Serif" w:hAnsi="Times New Roman;Times;Serif"/>
          <w:b/>
          <w:i w:val="false"/>
          <w:caps w:val="false"/>
          <w:smallCaps w:val="false"/>
          <w:sz w:val="20"/>
        </w:rPr>
        <w:t>8798 9th Street</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xdx_908_edei--EntityAddressCityOrTown_c2"/>
      <w:bookmarkEnd w:id="12"/>
      <w:r>
        <w:rPr>
          <w:rFonts w:ascii="Times New Roman;Times;Serif" w:hAnsi="Times New Roman;Times;Serif"/>
          <w:b/>
          <w:i w:val="false"/>
          <w:caps w:val="false"/>
          <w:smallCaps w:val="false"/>
          <w:sz w:val="20"/>
        </w:rPr>
        <w:t xml:space="preserve">Rancho Cucamonga, </w:t>
      </w:r>
      <w:bookmarkStart w:id="13" w:name="xdx_902_edei--EntityAddressStateOrProvin"/>
      <w:bookmarkEnd w:id="13"/>
      <w:r>
        <w:rPr>
          <w:rFonts w:ascii="Times New Roman;Times;Serif" w:hAnsi="Times New Roman;Times;Serif"/>
          <w:b/>
          <w:i w:val="false"/>
          <w:caps w:val="false"/>
          <w:smallCaps w:val="false"/>
          <w:sz w:val="20"/>
        </w:rPr>
        <w:t xml:space="preserve">CA </w:t>
      </w:r>
      <w:bookmarkStart w:id="14" w:name="xdx_90F_edei--EntityAddressPostalZipCode"/>
      <w:bookmarkEnd w:id="14"/>
      <w:r>
        <w:rPr>
          <w:rFonts w:ascii="Times New Roman;Times;Serif" w:hAnsi="Times New Roman;Times;Serif"/>
          <w:b/>
          <w:i w:val="false"/>
          <w:caps w:val="false"/>
          <w:smallCaps w:val="false"/>
          <w:sz w:val="20"/>
        </w:rPr>
        <w:t>91730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xdx_900_edei--CityAreaCode_c20220701__20"/>
      <w:bookmarkEnd w:id="15"/>
      <w:r>
        <w:rPr>
          <w:rFonts w:ascii="Times New Roman;Times;Serif" w:hAnsi="Times New Roman;Times;Serif"/>
          <w:b/>
          <w:i w:val="false"/>
          <w:caps w:val="false"/>
          <w:smallCaps w:val="false"/>
          <w:sz w:val="20"/>
        </w:rPr>
        <w:t xml:space="preserve">(626) </w:t>
      </w:r>
      <w:bookmarkStart w:id="16" w:name="xdx_90C_edei--LocalPhoneNumber_c20220701"/>
      <w:bookmarkEnd w:id="16"/>
      <w:r>
        <w:rPr>
          <w:rFonts w:ascii="Times New Roman;Times;Serif" w:hAnsi="Times New Roman;Times;Serif"/>
          <w:b/>
          <w:i w:val="false"/>
          <w:caps w:val="false"/>
          <w:smallCaps w:val="false"/>
          <w:sz w:val="20"/>
        </w:rPr>
        <w:t>863-7344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6975" w:type="dxa"/>
        <w:jc w:val="left"/>
        <w:tblInd w:w="0" w:type="dxa"/>
        <w:tblLayout w:type="fixed"/>
        <w:tblCellMar>
          <w:top w:w="0" w:type="dxa"/>
          <w:left w:w="0" w:type="dxa"/>
          <w:bottom w:w="28" w:type="dxa"/>
          <w:right w:w="0" w:type="dxa"/>
        </w:tblCellMar>
      </w:tblPr>
      <w:tblGrid>
        <w:gridCol w:w="1535"/>
        <w:gridCol w:w="60"/>
        <w:gridCol w:w="1610"/>
        <w:gridCol w:w="60"/>
        <w:gridCol w:w="3710"/>
      </w:tblGrid>
      <w:tr>
        <w:trPr/>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1535" w:type="dxa"/>
            <w:tcBorders/>
            <w:tcMar>
              <w:bottom w:w="0" w:type="dxa"/>
            </w:tcMar>
            <w:vAlign w:val="center"/>
          </w:tcPr>
          <w:p>
            <w:pPr>
              <w:pStyle w:val="TableContents"/>
              <w:bidi w:val="0"/>
              <w:spacing w:before="0" w:after="283"/>
              <w:jc w:val="left"/>
              <w:rPr>
                <w:rFonts w:ascii="Times New Roman;Times;Serif" w:hAnsi="Times New Roman;Times;Serif"/>
                <w:sz w:val="20"/>
              </w:rPr>
            </w:pPr>
            <w:bookmarkStart w:id="17" w:name="xdx_904_edei--Security12bTitle_c20220701"/>
            <w:bookmarkEnd w:id="17"/>
            <w:r>
              <w:rPr>
                <w:rFonts w:ascii="Times New Roman;Times;Serif" w:hAnsi="Times New Roman;Times;Serif"/>
                <w:sz w:val="20"/>
              </w:rPr>
              <w:t>Common Stock</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8" w:name="xdx_903_edei--TradingSymbol_c20220701__2"/>
            <w:bookmarkEnd w:id="18"/>
            <w:r>
              <w:rPr>
                <w:rFonts w:ascii="Times New Roman;Times;Serif" w:hAnsi="Times New Roman;Times;Serif"/>
                <w:sz w:val="20"/>
              </w:rPr>
              <w:t>IPW</w:t>
            </w:r>
          </w:p>
        </w:tc>
        <w:tc>
          <w:tcPr>
            <w:tcW w:w="6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The </w:t>
            </w:r>
            <w:bookmarkStart w:id="19" w:name="xdx_906_edei--SecurityExchangeName_c2022"/>
            <w:bookmarkEnd w:id="19"/>
            <w:r>
              <w:rPr>
                <w:rFonts w:ascii="Times New Roman;Times;Serif" w:hAnsi="Times New Roman;Times;Serif"/>
                <w:sz w:val="20"/>
              </w:rPr>
              <w:t>Nasdaq Stock Market LLC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12(g) of the Act: 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a well-known seasoned issuer, as defined in Rule 405 of the Securities Act. Yes ☐</w:t>
      </w:r>
      <w:bookmarkStart w:id="20" w:name="xdx_908_edei--EntityWellKnownSeasonedIss"/>
      <w:bookmarkEnd w:id="20"/>
      <w:r>
        <w:rPr>
          <w:rFonts w:ascii="Times New Roman;Times;Serif" w:hAnsi="Times New Roman;Times;Serif"/>
          <w:b w:val="false"/>
          <w:i w:val="false"/>
          <w:caps w:val="false"/>
          <w:smallCaps w:val="false"/>
          <w:sz w:val="20"/>
        </w:rPr>
        <w:t>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if the registrant is not required to file reports pursuant to Section 13 or Section 15(d) of the Act. Yes ☐ </w:t>
      </w:r>
      <w:bookmarkStart w:id="21" w:name="xdx_905_edei--EntityVoluntaryFilers_c202"/>
      <w:bookmarkEnd w:id="21"/>
      <w:r>
        <w:rPr>
          <w:rFonts w:ascii="Times New Roman;Times;Serif" w:hAnsi="Times New Roman;Times;Serif"/>
          <w:b w:val="false"/>
          <w:i w:val="false"/>
          <w:caps w:val="false"/>
          <w:smallCaps w:val="false"/>
          <w:sz w:val="20"/>
        </w:rPr>
        <w:t>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22" w:name="xdx_90D_edei--EntityCurrentReportingStat"/>
      <w:bookmarkEnd w:id="22"/>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 les). </w:t>
      </w:r>
      <w:bookmarkStart w:id="23" w:name="xdx_90E_edei--EntityInteractiveDataCurre"/>
      <w:bookmarkEnd w:id="23"/>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ind w:left="0" w:right="0" w:hanging="0"/>
        <w:jc w:val="both"/>
        <w:rPr>
          <w:caps w:val="false"/>
          <w:smallCaps w:val="false"/>
        </w:rPr>
      </w:pPr>
      <w:r>
        <w:rPr>
          <w:caps w:val="false"/>
          <w:smallCaps w:val="false"/>
        </w:rPr>
        <w:t> </w:t>
      </w:r>
    </w:p>
    <w:tbl>
      <w:tblPr>
        <w:tblW w:w="4655" w:type="dxa"/>
        <w:jc w:val="left"/>
        <w:tblInd w:w="0" w:type="dxa"/>
        <w:tblLayout w:type="fixed"/>
        <w:tblCellMar>
          <w:top w:w="0" w:type="dxa"/>
          <w:left w:w="0" w:type="dxa"/>
          <w:bottom w:w="0" w:type="dxa"/>
          <w:right w:w="0" w:type="dxa"/>
        </w:tblCellMar>
      </w:tblPr>
      <w:tblGrid>
        <w:gridCol w:w="75"/>
        <w:gridCol w:w="1820"/>
        <w:gridCol w:w="230"/>
        <w:gridCol w:w="2225"/>
        <w:gridCol w:w="230"/>
        <w:gridCol w:w="75"/>
      </w:tblGrid>
      <w:tr>
        <w:trPr/>
        <w:tc>
          <w:tcPr>
            <w:tcW w:w="75"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Large accelerated filer</w:t>
            </w:r>
          </w:p>
        </w:tc>
        <w:tc>
          <w:tcPr>
            <w:tcW w:w="230" w:type="dxa"/>
            <w:tcBorders/>
            <w:vAlign w:val="center"/>
          </w:tcPr>
          <w:p>
            <w:pPr>
              <w:pStyle w:val="TableContents"/>
              <w:bidi w:val="0"/>
              <w:spacing w:before="0" w:after="283"/>
              <w:jc w:val="both"/>
              <w:rPr/>
            </w:pPr>
            <w:r>
              <w:rPr/>
              <w:t>☐</w:t>
            </w:r>
          </w:p>
        </w:tc>
        <w:tc>
          <w:tcPr>
            <w:tcW w:w="22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Accelerated filer</w:t>
            </w:r>
          </w:p>
        </w:tc>
        <w:tc>
          <w:tcPr>
            <w:tcW w:w="230" w:type="dxa"/>
            <w:tcBorders/>
            <w:vAlign w:val="center"/>
          </w:tcPr>
          <w:p>
            <w:pPr>
              <w:pStyle w:val="TableContents"/>
              <w:bidi w:val="0"/>
              <w:spacing w:before="0" w:after="283"/>
              <w:jc w:val="both"/>
              <w:rPr/>
            </w:pPr>
            <w:r>
              <w:rPr/>
              <w:t>☐</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 </w:t>
            </w:r>
          </w:p>
        </w:tc>
        <w:tc>
          <w:tcPr>
            <w:tcW w:w="222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both"/>
              <w:rPr>
                <w:rFonts w:ascii="Times New Roman;Times;Serif" w:hAnsi="Times New Roman;Times;Serif"/>
                <w:sz w:val="20"/>
              </w:rPr>
            </w:pPr>
            <w:bookmarkStart w:id="24" w:name="xdx_909_edei--EntityFilerCategory_c20220"/>
            <w:bookmarkEnd w:id="24"/>
            <w:r>
              <w:rPr>
                <w:rFonts w:ascii="Times New Roman;Times;Serif" w:hAnsi="Times New Roman;Times;Serif"/>
                <w:sz w:val="20"/>
              </w:rPr>
              <w:t>Non-accelerated filer</w:t>
            </w:r>
          </w:p>
        </w:tc>
        <w:tc>
          <w:tcPr>
            <w:tcW w:w="230" w:type="dxa"/>
            <w:tcBorders/>
            <w:vAlign w:val="center"/>
          </w:tcPr>
          <w:p>
            <w:pPr>
              <w:pStyle w:val="TableContents"/>
              <w:bidi w:val="0"/>
              <w:spacing w:before="0" w:after="283"/>
              <w:jc w:val="both"/>
              <w:rPr/>
            </w:pPr>
            <w:r>
              <w:rPr/>
              <w:t>☒</w:t>
            </w:r>
          </w:p>
        </w:tc>
        <w:tc>
          <w:tcPr>
            <w:tcW w:w="22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Smaller reporting company</w:t>
            </w:r>
          </w:p>
        </w:tc>
        <w:tc>
          <w:tcPr>
            <w:tcW w:w="230" w:type="dxa"/>
            <w:tcBorders/>
            <w:vAlign w:val="center"/>
          </w:tcPr>
          <w:p>
            <w:pPr>
              <w:pStyle w:val="TableContents"/>
              <w:bidi w:val="0"/>
              <w:spacing w:before="0" w:after="283"/>
              <w:jc w:val="both"/>
              <w:rPr/>
            </w:pPr>
            <w:bookmarkStart w:id="25" w:name="xdx_902_edei--EntitySmallBusiness_c20220"/>
            <w:bookmarkEnd w:id="25"/>
            <w:r>
              <w:rPr/>
              <w:t>☒</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 </w:t>
            </w:r>
          </w:p>
        </w:tc>
        <w:tc>
          <w:tcPr>
            <w:tcW w:w="222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 </w:t>
            </w:r>
          </w:p>
        </w:tc>
        <w:tc>
          <w:tcPr>
            <w:tcW w:w="22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Emerging growth company</w:t>
            </w:r>
          </w:p>
        </w:tc>
        <w:tc>
          <w:tcPr>
            <w:tcW w:w="230" w:type="dxa"/>
            <w:tcBorders/>
            <w:vAlign w:val="center"/>
          </w:tcPr>
          <w:p>
            <w:pPr>
              <w:pStyle w:val="TableContents"/>
              <w:bidi w:val="0"/>
              <w:spacing w:before="0" w:after="283"/>
              <w:jc w:val="both"/>
              <w:rPr/>
            </w:pPr>
            <w:bookmarkStart w:id="26" w:name="xdx_903_edei--EntityEmergingGrowthCompan"/>
            <w:bookmarkEnd w:id="26"/>
            <w:r>
              <w:rPr/>
              <w: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7" w:name="xdx_90E_edei--EntityExTransitionPeriod_c"/>
      <w:bookmarkEnd w:id="27"/>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securities are registered pursuant to Section 12(b) of the Act, indicate by check mark whether the financial statements of the registrant included in the filing reflect the correction of an error to previously issued financial statements. </w:t>
      </w:r>
      <w:bookmarkStart w:id="28" w:name="xdx_90A_edei--DocumentFinStmtErrorCorrec"/>
      <w:bookmarkEnd w:id="28"/>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Act) Yes ☐ </w:t>
      </w:r>
      <w:bookmarkStart w:id="29" w:name="xdx_901_edei--EntityShellCompany_c202207"/>
      <w:bookmarkEnd w:id="29"/>
      <w:r>
        <w:rPr>
          <w:rFonts w:ascii="Times New Roman;Times;Serif" w:hAnsi="Times New Roman;Times;Serif"/>
          <w:b w:val="false"/>
          <w:i w:val="false"/>
          <w:caps w:val="false"/>
          <w:smallCaps w:val="false"/>
          <w:sz w:val="20"/>
        </w:rPr>
        <w:t>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30, 2022, the last business day of the registrant’s most recently completed second fiscal quarter, the aggregate market value of the voting and non-voting common equity held by non-affiliates was $</w:t>
      </w:r>
      <w:bookmarkStart w:id="30" w:name="xdx_902_edei--EntityPublicFloat_iI_c2022"/>
      <w:bookmarkEnd w:id="30"/>
      <w:r>
        <w:rPr>
          <w:rFonts w:ascii="Times New Roman;Times;Serif" w:hAnsi="Times New Roman;Times;Serif"/>
          <w:b w:val="false"/>
          <w:i w:val="false"/>
          <w:caps w:val="false"/>
          <w:smallCaps w:val="false"/>
          <w:sz w:val="20"/>
        </w:rPr>
        <w:t>3,953,680 based on the closing sale price of the registrant’s common stock on such date as reported on The Nasdaq Capital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number of shares outstanding of the registrant’s common stock on September 14, 2023 was </w:t>
      </w:r>
      <w:bookmarkStart w:id="31" w:name="xdx_905_edei--EntityCommonStockSharesOut"/>
      <w:bookmarkEnd w:id="31"/>
      <w:r>
        <w:rPr>
          <w:rFonts w:ascii="Times New Roman;Times;Serif" w:hAnsi="Times New Roman;Times;Serif"/>
          <w:b w:val="false"/>
          <w:i w:val="false"/>
          <w:caps w:val="false"/>
          <w:smallCaps w:val="false"/>
          <w:sz w:val="20"/>
        </w:rPr>
        <w:t>29,764,374.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iPOWER INC.</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32" w:name="k_007"/>
      <w:bookmarkEnd w:id="32"/>
      <w:r>
        <w:rPr>
          <w:rFonts w:ascii="Times New Roman;Times;Serif" w:hAnsi="Times New Roman;Times;Serif"/>
          <w:b/>
          <w:i w:val="false"/>
          <w:caps w:val="false"/>
          <w:smallCaps w:val="false"/>
          <w:sz w:val="20"/>
        </w:rPr>
        <w:t>TABLE OF CONTENTS</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10200" w:type="dxa"/>
        <w:jc w:val="left"/>
        <w:tblInd w:w="0" w:type="dxa"/>
        <w:tblLayout w:type="fixed"/>
        <w:tblCellMar>
          <w:top w:w="0" w:type="dxa"/>
          <w:left w:w="0" w:type="dxa"/>
          <w:bottom w:w="0" w:type="dxa"/>
          <w:right w:w="0" w:type="dxa"/>
        </w:tblCellMar>
      </w:tblPr>
      <w:tblGrid>
        <w:gridCol w:w="725"/>
        <w:gridCol w:w="9050"/>
        <w:gridCol w:w="425"/>
      </w:tblGrid>
      <w:tr>
        <w:trPr/>
        <w:tc>
          <w:tcPr>
            <w:tcW w:w="725" w:type="dxa"/>
            <w:tcBorders/>
            <w:vAlign w:val="center"/>
          </w:tcPr>
          <w:p>
            <w:pPr>
              <w:pStyle w:val="TableContents"/>
              <w:bidi w:val="0"/>
              <w:spacing w:before="0" w:after="283"/>
              <w:jc w:val="both"/>
              <w:rPr/>
            </w:pPr>
            <w:r>
              <w:rPr/>
              <w:t> </w:t>
            </w:r>
          </w:p>
        </w:tc>
        <w:tc>
          <w:tcPr>
            <w:tcW w:w="9050" w:type="dxa"/>
            <w:tcBorders/>
            <w:vAlign w:val="center"/>
          </w:tcPr>
          <w:p>
            <w:pPr>
              <w:pStyle w:val="TableContents"/>
              <w:bidi w:val="0"/>
              <w:spacing w:before="0" w:after="283"/>
              <w:jc w:val="both"/>
              <w:rPr/>
            </w:pPr>
            <w:r>
              <w:rPr/>
              <w:t> </w:t>
            </w:r>
          </w:p>
        </w:tc>
        <w:tc>
          <w:tcPr>
            <w:tcW w:w="4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Page</w:t>
            </w:r>
          </w:p>
        </w:tc>
      </w:tr>
      <w:tr>
        <w:trPr/>
        <w:tc>
          <w:tcPr>
            <w:tcW w:w="725" w:type="dxa"/>
            <w:tcBorders/>
            <w:shd w:fill="EEEEEE" w:val="clear"/>
            <w:vAlign w:val="center"/>
          </w:tcPr>
          <w:p>
            <w:pPr>
              <w:pStyle w:val="TableContents"/>
              <w:bidi w:val="0"/>
              <w:spacing w:before="0" w:after="283"/>
              <w:jc w:val="both"/>
              <w:rPr/>
            </w:pPr>
            <w:r>
              <w:rPr/>
              <w:t> </w:t>
            </w:r>
          </w:p>
        </w:tc>
        <w:tc>
          <w:tcPr>
            <w:tcW w:w="9050" w:type="dxa"/>
            <w:tcBorders/>
            <w:shd w:fill="EEEEEE" w:val="clear"/>
            <w:vAlign w:val="center"/>
          </w:tcPr>
          <w:p>
            <w:pPr>
              <w:pStyle w:val="TableContents"/>
              <w:bidi w:val="0"/>
              <w:spacing w:before="0" w:after="283"/>
              <w:jc w:val="center"/>
              <w:rPr/>
            </w:pPr>
            <w:hyperlink w:anchor="k_008">
              <w:r>
                <w:rPr>
                  <w:rStyle w:val="InternetLink"/>
                  <w:rFonts w:ascii="Times New Roman;Times;Serif" w:hAnsi="Times New Roman;Times;Serif"/>
                  <w:sz w:val="20"/>
                </w:rPr>
                <w:t>PART I</w:t>
              </w:r>
            </w:hyperlink>
          </w:p>
        </w:tc>
        <w:tc>
          <w:tcPr>
            <w:tcW w:w="425" w:type="dxa"/>
            <w:tcBorders/>
            <w:shd w:fill="EEEEEE" w:val="clear"/>
            <w:vAlign w:val="center"/>
          </w:tcPr>
          <w:p>
            <w:pPr>
              <w:pStyle w:val="TableContents"/>
              <w:bidi w:val="0"/>
              <w:spacing w:before="0" w:after="283"/>
              <w:jc w:val="center"/>
              <w:rPr/>
            </w:pPr>
            <w:r>
              <w:rPr/>
              <w:t> </w:t>
            </w:r>
          </w:p>
        </w:tc>
      </w:tr>
      <w:tr>
        <w:trPr/>
        <w:tc>
          <w:tcPr>
            <w:tcW w:w="72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Item 1.</w:t>
            </w:r>
          </w:p>
        </w:tc>
        <w:tc>
          <w:tcPr>
            <w:tcW w:w="9050" w:type="dxa"/>
            <w:tcBorders/>
            <w:shd w:fill="FFFFFF" w:val="clear"/>
            <w:vAlign w:val="center"/>
          </w:tcPr>
          <w:p>
            <w:pPr>
              <w:pStyle w:val="TableContents"/>
              <w:bidi w:val="0"/>
              <w:spacing w:before="0" w:after="283"/>
              <w:jc w:val="both"/>
              <w:rPr/>
            </w:pPr>
            <w:hyperlink w:anchor="k_009">
              <w:r>
                <w:rPr>
                  <w:rStyle w:val="InternetLink"/>
                  <w:rFonts w:ascii="Times New Roman;Times;Serif" w:hAnsi="Times New Roman;Times;Serif"/>
                  <w:sz w:val="20"/>
                </w:rPr>
                <w:t>Business</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725" w:type="dxa"/>
            <w:tcBorders/>
            <w:shd w:fill="EEEEEE"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Item 1A.</w:t>
            </w:r>
          </w:p>
        </w:tc>
        <w:tc>
          <w:tcPr>
            <w:tcW w:w="9050" w:type="dxa"/>
            <w:tcBorders/>
            <w:shd w:fill="EEEEEE" w:val="clear"/>
            <w:vAlign w:val="center"/>
          </w:tcPr>
          <w:p>
            <w:pPr>
              <w:pStyle w:val="TableContents"/>
              <w:bidi w:val="0"/>
              <w:spacing w:before="0" w:after="283"/>
              <w:jc w:val="both"/>
              <w:rPr/>
            </w:pPr>
            <w:hyperlink w:anchor="k_010">
              <w:r>
                <w:rPr>
                  <w:rStyle w:val="InternetLink"/>
                  <w:rFonts w:ascii="Times New Roman;Times;Serif" w:hAnsi="Times New Roman;Times;Serif"/>
                  <w:sz w:val="20"/>
                </w:rPr>
                <w:t>Risk Factors</w:t>
              </w:r>
            </w:hyperlink>
          </w:p>
        </w:tc>
        <w:tc>
          <w:tcPr>
            <w:tcW w:w="425" w:type="dxa"/>
            <w:tcBorders/>
            <w:shd w:fill="EEEEEE"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r>
      <w:tr>
        <w:trPr/>
        <w:tc>
          <w:tcPr>
            <w:tcW w:w="72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Item 1B.</w:t>
            </w:r>
          </w:p>
        </w:tc>
        <w:tc>
          <w:tcPr>
            <w:tcW w:w="9050" w:type="dxa"/>
            <w:tcBorders/>
            <w:shd w:fill="FFFFFF" w:val="clear"/>
            <w:vAlign w:val="center"/>
          </w:tcPr>
          <w:p>
            <w:pPr>
              <w:pStyle w:val="TableContents"/>
              <w:bidi w:val="0"/>
              <w:spacing w:before="0" w:after="283"/>
              <w:jc w:val="both"/>
              <w:rPr/>
            </w:pPr>
            <w:hyperlink w:anchor="k_011">
              <w:r>
                <w:rPr>
                  <w:rStyle w:val="InternetLink"/>
                  <w:rFonts w:ascii="Times New Roman;Times;Serif" w:hAnsi="Times New Roman;Times;Serif"/>
                  <w:sz w:val="20"/>
                </w:rPr>
                <w:t>Unresolved Staff Comments.</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w:t>
            </w:r>
          </w:p>
        </w:tc>
      </w:tr>
      <w:tr>
        <w:trPr/>
        <w:tc>
          <w:tcPr>
            <w:tcW w:w="725" w:type="dxa"/>
            <w:tcBorders/>
            <w:shd w:fill="EEEEEE"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Item 2.</w:t>
            </w:r>
          </w:p>
        </w:tc>
        <w:tc>
          <w:tcPr>
            <w:tcW w:w="9050" w:type="dxa"/>
            <w:tcBorders/>
            <w:shd w:fill="EEEEEE" w:val="clear"/>
            <w:vAlign w:val="center"/>
          </w:tcPr>
          <w:p>
            <w:pPr>
              <w:pStyle w:val="TableContents"/>
              <w:bidi w:val="0"/>
              <w:spacing w:before="0" w:after="283"/>
              <w:jc w:val="both"/>
              <w:rPr/>
            </w:pPr>
            <w:hyperlink w:anchor="k_012">
              <w:r>
                <w:rPr>
                  <w:rStyle w:val="InternetLink"/>
                  <w:rFonts w:ascii="Times New Roman;Times;Serif" w:hAnsi="Times New Roman;Times;Serif"/>
                  <w:sz w:val="20"/>
                </w:rPr>
                <w:t>Properties</w:t>
              </w:r>
            </w:hyperlink>
          </w:p>
        </w:tc>
        <w:tc>
          <w:tcPr>
            <w:tcW w:w="425" w:type="dxa"/>
            <w:tcBorders/>
            <w:shd w:fill="EEEEEE"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w:t>
            </w:r>
          </w:p>
        </w:tc>
      </w:tr>
      <w:tr>
        <w:trPr/>
        <w:tc>
          <w:tcPr>
            <w:tcW w:w="72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Item 3.</w:t>
            </w:r>
          </w:p>
        </w:tc>
        <w:tc>
          <w:tcPr>
            <w:tcW w:w="9050" w:type="dxa"/>
            <w:tcBorders/>
            <w:shd w:fill="FFFFFF" w:val="clear"/>
            <w:vAlign w:val="center"/>
          </w:tcPr>
          <w:p>
            <w:pPr>
              <w:pStyle w:val="TableContents"/>
              <w:bidi w:val="0"/>
              <w:spacing w:before="0" w:after="283"/>
              <w:jc w:val="both"/>
              <w:rPr/>
            </w:pPr>
            <w:hyperlink w:anchor="k_013">
              <w:r>
                <w:rPr>
                  <w:rStyle w:val="InternetLink"/>
                  <w:rFonts w:ascii="Times New Roman;Times;Serif" w:hAnsi="Times New Roman;Times;Serif"/>
                  <w:sz w:val="20"/>
                </w:rPr>
                <w:t>Legal Proceedings</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w:t>
            </w:r>
          </w:p>
        </w:tc>
      </w:tr>
      <w:tr>
        <w:trPr/>
        <w:tc>
          <w:tcPr>
            <w:tcW w:w="725" w:type="dxa"/>
            <w:tcBorders/>
            <w:shd w:fill="EEEEEE"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Item 4.</w:t>
            </w:r>
          </w:p>
        </w:tc>
        <w:tc>
          <w:tcPr>
            <w:tcW w:w="9050" w:type="dxa"/>
            <w:tcBorders/>
            <w:shd w:fill="EEEEEE" w:val="clear"/>
            <w:vAlign w:val="center"/>
          </w:tcPr>
          <w:p>
            <w:pPr>
              <w:pStyle w:val="TableContents"/>
              <w:bidi w:val="0"/>
              <w:spacing w:before="0" w:after="283"/>
              <w:jc w:val="both"/>
              <w:rPr/>
            </w:pPr>
            <w:hyperlink w:anchor="k_014">
              <w:r>
                <w:rPr>
                  <w:rStyle w:val="InternetLink"/>
                  <w:rFonts w:ascii="Times New Roman;Times;Serif" w:hAnsi="Times New Roman;Times;Serif"/>
                  <w:sz w:val="20"/>
                </w:rPr>
                <w:t>Mine Safety Disclosures</w:t>
              </w:r>
            </w:hyperlink>
          </w:p>
        </w:tc>
        <w:tc>
          <w:tcPr>
            <w:tcW w:w="425" w:type="dxa"/>
            <w:tcBorders/>
            <w:shd w:fill="EEEEEE" w:val="clear"/>
            <w:vAlign w:val="center"/>
          </w:tcPr>
          <w:p>
            <w:pPr>
              <w:pStyle w:val="TableContents"/>
              <w:bidi w:val="0"/>
              <w:spacing w:before="0" w:after="283"/>
              <w:jc w:val="center"/>
              <w:rPr/>
            </w:pPr>
            <w:r>
              <w:rPr/>
              <w:t>28</w:t>
            </w:r>
          </w:p>
        </w:tc>
      </w:tr>
      <w:tr>
        <w:trPr/>
        <w:tc>
          <w:tcPr>
            <w:tcW w:w="725" w:type="dxa"/>
            <w:tcBorders/>
            <w:shd w:fill="FFFFFF" w:val="clear"/>
            <w:vAlign w:val="center"/>
          </w:tcPr>
          <w:p>
            <w:pPr>
              <w:pStyle w:val="TableContents"/>
              <w:bidi w:val="0"/>
              <w:spacing w:before="0" w:after="283"/>
              <w:jc w:val="both"/>
              <w:rPr/>
            </w:pPr>
            <w:r>
              <w:rPr/>
              <w:t> </w:t>
            </w:r>
          </w:p>
        </w:tc>
        <w:tc>
          <w:tcPr>
            <w:tcW w:w="9050" w:type="dxa"/>
            <w:tcBorders/>
            <w:shd w:fill="FFFFFF" w:val="clear"/>
            <w:vAlign w:val="center"/>
          </w:tcPr>
          <w:p>
            <w:pPr>
              <w:pStyle w:val="TableContents"/>
              <w:bidi w:val="0"/>
              <w:spacing w:before="0" w:after="283"/>
              <w:jc w:val="both"/>
              <w:rPr/>
            </w:pPr>
            <w:r>
              <w:rPr/>
              <w:t> </w:t>
            </w:r>
          </w:p>
        </w:tc>
        <w:tc>
          <w:tcPr>
            <w:tcW w:w="425" w:type="dxa"/>
            <w:tcBorders/>
            <w:shd w:fill="FFFFFF" w:val="clear"/>
            <w:vAlign w:val="center"/>
          </w:tcPr>
          <w:p>
            <w:pPr>
              <w:pStyle w:val="TableContents"/>
              <w:bidi w:val="0"/>
              <w:spacing w:before="0" w:after="283"/>
              <w:jc w:val="center"/>
              <w:rPr/>
            </w:pPr>
            <w:r>
              <w:rPr/>
              <w:t> </w:t>
            </w:r>
          </w:p>
        </w:tc>
      </w:tr>
      <w:tr>
        <w:trPr/>
        <w:tc>
          <w:tcPr>
            <w:tcW w:w="725" w:type="dxa"/>
            <w:tcBorders/>
            <w:shd w:fill="EEEEEE" w:val="clear"/>
            <w:vAlign w:val="center"/>
          </w:tcPr>
          <w:p>
            <w:pPr>
              <w:pStyle w:val="TableContents"/>
              <w:bidi w:val="0"/>
              <w:spacing w:before="0" w:after="283"/>
              <w:jc w:val="both"/>
              <w:rPr/>
            </w:pPr>
            <w:r>
              <w:rPr/>
              <w:t> </w:t>
            </w:r>
          </w:p>
        </w:tc>
        <w:tc>
          <w:tcPr>
            <w:tcW w:w="9050" w:type="dxa"/>
            <w:tcBorders/>
            <w:shd w:fill="EEEEEE" w:val="clear"/>
            <w:vAlign w:val="center"/>
          </w:tcPr>
          <w:p>
            <w:pPr>
              <w:pStyle w:val="TableContents"/>
              <w:bidi w:val="0"/>
              <w:spacing w:before="0" w:after="283"/>
              <w:jc w:val="center"/>
              <w:rPr/>
            </w:pPr>
            <w:hyperlink w:anchor="k_015">
              <w:r>
                <w:rPr>
                  <w:rStyle w:val="InternetLink"/>
                  <w:rFonts w:ascii="Times New Roman;Times;Serif" w:hAnsi="Times New Roman;Times;Serif"/>
                  <w:sz w:val="20"/>
                </w:rPr>
                <w:t>PART II</w:t>
              </w:r>
            </w:hyperlink>
          </w:p>
        </w:tc>
        <w:tc>
          <w:tcPr>
            <w:tcW w:w="425" w:type="dxa"/>
            <w:tcBorders/>
            <w:shd w:fill="EEEEEE" w:val="clear"/>
            <w:vAlign w:val="center"/>
          </w:tcPr>
          <w:p>
            <w:pPr>
              <w:pStyle w:val="TableContents"/>
              <w:bidi w:val="0"/>
              <w:spacing w:before="0" w:after="283"/>
              <w:jc w:val="center"/>
              <w:rPr/>
            </w:pPr>
            <w:r>
              <w:rPr/>
              <w:t> </w:t>
            </w:r>
          </w:p>
        </w:tc>
      </w:tr>
      <w:tr>
        <w:trPr/>
        <w:tc>
          <w:tcPr>
            <w:tcW w:w="72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Item 5.</w:t>
            </w:r>
          </w:p>
        </w:tc>
        <w:tc>
          <w:tcPr>
            <w:tcW w:w="9050" w:type="dxa"/>
            <w:tcBorders/>
            <w:shd w:fill="FFFFFF" w:val="clear"/>
            <w:vAlign w:val="center"/>
          </w:tcPr>
          <w:p>
            <w:pPr>
              <w:pStyle w:val="TableContents"/>
              <w:bidi w:val="0"/>
              <w:spacing w:before="0" w:after="283"/>
              <w:jc w:val="both"/>
              <w:rPr/>
            </w:pPr>
            <w:hyperlink w:anchor="k_016">
              <w:r>
                <w:rPr>
                  <w:rStyle w:val="InternetLink"/>
                  <w:rFonts w:ascii="Times New Roman;Times;Serif" w:hAnsi="Times New Roman;Times;Serif"/>
                  <w:sz w:val="20"/>
                </w:rPr>
                <w:t>Market for Registrant’s Common Equity, Related Stockholder Matters and Issuer Purchases of Equity Securities</w:t>
              </w:r>
            </w:hyperlink>
          </w:p>
        </w:tc>
        <w:tc>
          <w:tcPr>
            <w:tcW w:w="425" w:type="dxa"/>
            <w:tcBorders/>
            <w:shd w:fill="FFFFFF" w:val="clear"/>
            <w:vAlign w:val="center"/>
          </w:tcPr>
          <w:p>
            <w:pPr>
              <w:pStyle w:val="TableContents"/>
              <w:bidi w:val="0"/>
              <w:spacing w:before="0" w:after="283"/>
              <w:jc w:val="center"/>
              <w:rPr/>
            </w:pPr>
            <w:r>
              <w:rPr/>
              <w:t>29</w:t>
            </w:r>
          </w:p>
        </w:tc>
      </w:tr>
      <w:tr>
        <w:trPr/>
        <w:tc>
          <w:tcPr>
            <w:tcW w:w="725" w:type="dxa"/>
            <w:tcBorders/>
            <w:shd w:fill="EEEEEE"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Item 6.</w:t>
            </w:r>
          </w:p>
        </w:tc>
        <w:tc>
          <w:tcPr>
            <w:tcW w:w="9050" w:type="dxa"/>
            <w:tcBorders/>
            <w:shd w:fill="EEEEEE" w:val="clear"/>
            <w:vAlign w:val="center"/>
          </w:tcPr>
          <w:p>
            <w:pPr>
              <w:pStyle w:val="TableContents"/>
              <w:bidi w:val="0"/>
              <w:spacing w:before="0" w:after="283"/>
              <w:jc w:val="both"/>
              <w:rPr/>
            </w:pPr>
            <w:hyperlink w:anchor="k_017">
              <w:r>
                <w:rPr>
                  <w:rStyle w:val="InternetLink"/>
                  <w:rFonts w:ascii="Times New Roman;Times;Serif" w:hAnsi="Times New Roman;Times;Serif"/>
                  <w:sz w:val="20"/>
                </w:rPr>
                <w:t>[Reserved]</w:t>
              </w:r>
            </w:hyperlink>
            <w:r>
              <w:rPr>
                <w:rFonts w:ascii="Times New Roman;Times;Serif" w:hAnsi="Times New Roman;Times;Serif"/>
                <w:sz w:val="20"/>
              </w:rPr>
              <w:t xml:space="preserve"> </w:t>
            </w:r>
          </w:p>
        </w:tc>
        <w:tc>
          <w:tcPr>
            <w:tcW w:w="425" w:type="dxa"/>
            <w:tcBorders/>
            <w:shd w:fill="EEEEEE"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w:t>
            </w:r>
          </w:p>
        </w:tc>
      </w:tr>
      <w:tr>
        <w:trPr/>
        <w:tc>
          <w:tcPr>
            <w:tcW w:w="72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Item 7.</w:t>
            </w:r>
          </w:p>
        </w:tc>
        <w:tc>
          <w:tcPr>
            <w:tcW w:w="9050" w:type="dxa"/>
            <w:tcBorders/>
            <w:shd w:fill="FFFFFF" w:val="clear"/>
            <w:vAlign w:val="center"/>
          </w:tcPr>
          <w:p>
            <w:pPr>
              <w:pStyle w:val="TableContents"/>
              <w:bidi w:val="0"/>
              <w:spacing w:before="0" w:after="283"/>
              <w:jc w:val="both"/>
              <w:rPr/>
            </w:pPr>
            <w:hyperlink w:anchor="k_018">
              <w:r>
                <w:rPr>
                  <w:rStyle w:val="InternetLink"/>
                  <w:rFonts w:ascii="Times New Roman;Times;Serif" w:hAnsi="Times New Roman;Times;Serif"/>
                  <w:sz w:val="20"/>
                </w:rPr>
                <w:t>Management’s Discussion and Analysis of Financial Condition and Results of Operations</w:t>
              </w:r>
            </w:hyperlink>
          </w:p>
        </w:tc>
        <w:tc>
          <w:tcPr>
            <w:tcW w:w="425" w:type="dxa"/>
            <w:tcBorders/>
            <w:shd w:fill="FFFFFF" w:val="clear"/>
            <w:vAlign w:val="center"/>
          </w:tcPr>
          <w:p>
            <w:pPr>
              <w:pStyle w:val="TableContents"/>
              <w:bidi w:val="0"/>
              <w:spacing w:before="0" w:after="283"/>
              <w:jc w:val="center"/>
              <w:rPr/>
            </w:pPr>
            <w:r>
              <w:rPr/>
              <w:t>30</w:t>
            </w:r>
          </w:p>
        </w:tc>
      </w:tr>
      <w:tr>
        <w:trPr/>
        <w:tc>
          <w:tcPr>
            <w:tcW w:w="725" w:type="dxa"/>
            <w:tcBorders/>
            <w:shd w:fill="EEEEEE"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Item 7A.</w:t>
            </w:r>
          </w:p>
        </w:tc>
        <w:tc>
          <w:tcPr>
            <w:tcW w:w="9050" w:type="dxa"/>
            <w:tcBorders/>
            <w:shd w:fill="EEEEEE" w:val="clear"/>
            <w:vAlign w:val="center"/>
          </w:tcPr>
          <w:p>
            <w:pPr>
              <w:pStyle w:val="TableContents"/>
              <w:bidi w:val="0"/>
              <w:spacing w:before="0" w:after="283"/>
              <w:jc w:val="both"/>
              <w:rPr/>
            </w:pPr>
            <w:hyperlink w:anchor="k_019">
              <w:r>
                <w:rPr>
                  <w:rStyle w:val="InternetLink"/>
                  <w:rFonts w:ascii="Times New Roman;Times;Serif" w:hAnsi="Times New Roman;Times;Serif"/>
                  <w:sz w:val="20"/>
                </w:rPr>
                <w:t>Quantitative and Qualitative Disclosures About Market Risk</w:t>
              </w:r>
            </w:hyperlink>
          </w:p>
        </w:tc>
        <w:tc>
          <w:tcPr>
            <w:tcW w:w="425" w:type="dxa"/>
            <w:tcBorders/>
            <w:shd w:fill="EEEEEE"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r>
      <w:tr>
        <w:trPr/>
        <w:tc>
          <w:tcPr>
            <w:tcW w:w="72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Item 8.</w:t>
            </w:r>
          </w:p>
        </w:tc>
        <w:tc>
          <w:tcPr>
            <w:tcW w:w="9050" w:type="dxa"/>
            <w:tcBorders/>
            <w:shd w:fill="FFFFFF" w:val="clear"/>
            <w:vAlign w:val="center"/>
          </w:tcPr>
          <w:p>
            <w:pPr>
              <w:pStyle w:val="TableContents"/>
              <w:bidi w:val="0"/>
              <w:spacing w:before="0" w:after="283"/>
              <w:jc w:val="both"/>
              <w:rPr/>
            </w:pPr>
            <w:hyperlink w:anchor="k_020">
              <w:r>
                <w:rPr>
                  <w:rStyle w:val="InternetLink"/>
                  <w:rFonts w:ascii="Times New Roman;Times;Serif" w:hAnsi="Times New Roman;Times;Serif"/>
                  <w:sz w:val="20"/>
                </w:rPr>
                <w:t>Financial Statements and Supplementary Data</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w:t>
            </w:r>
          </w:p>
        </w:tc>
      </w:tr>
      <w:tr>
        <w:trPr/>
        <w:tc>
          <w:tcPr>
            <w:tcW w:w="725" w:type="dxa"/>
            <w:tcBorders/>
            <w:shd w:fill="EEEEEE"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Item 9.</w:t>
            </w:r>
          </w:p>
        </w:tc>
        <w:tc>
          <w:tcPr>
            <w:tcW w:w="9050" w:type="dxa"/>
            <w:tcBorders/>
            <w:shd w:fill="EEEEEE" w:val="clear"/>
            <w:vAlign w:val="center"/>
          </w:tcPr>
          <w:p>
            <w:pPr>
              <w:pStyle w:val="TableContents"/>
              <w:bidi w:val="0"/>
              <w:spacing w:before="0" w:after="283"/>
              <w:jc w:val="both"/>
              <w:rPr/>
            </w:pPr>
            <w:hyperlink w:anchor="k_021">
              <w:r>
                <w:rPr>
                  <w:rStyle w:val="InternetLink"/>
                  <w:rFonts w:ascii="Times New Roman;Times;Serif" w:hAnsi="Times New Roman;Times;Serif"/>
                  <w:sz w:val="20"/>
                </w:rPr>
                <w:t>Changes In and Disagreements with Accountants on Accounting and Financial Disclosure</w:t>
              </w:r>
            </w:hyperlink>
          </w:p>
        </w:tc>
        <w:tc>
          <w:tcPr>
            <w:tcW w:w="425" w:type="dxa"/>
            <w:tcBorders/>
            <w:shd w:fill="EEEEEE"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w:t>
            </w:r>
          </w:p>
        </w:tc>
      </w:tr>
      <w:tr>
        <w:trPr/>
        <w:tc>
          <w:tcPr>
            <w:tcW w:w="72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Item 9A.</w:t>
            </w:r>
          </w:p>
        </w:tc>
        <w:tc>
          <w:tcPr>
            <w:tcW w:w="9050" w:type="dxa"/>
            <w:tcBorders/>
            <w:shd w:fill="FFFFFF" w:val="clear"/>
            <w:vAlign w:val="center"/>
          </w:tcPr>
          <w:p>
            <w:pPr>
              <w:pStyle w:val="TableContents"/>
              <w:bidi w:val="0"/>
              <w:spacing w:before="0" w:after="283"/>
              <w:jc w:val="both"/>
              <w:rPr/>
            </w:pPr>
            <w:hyperlink w:anchor="k_022">
              <w:r>
                <w:rPr>
                  <w:rStyle w:val="InternetLink"/>
                  <w:rFonts w:ascii="Times New Roman;Times;Serif" w:hAnsi="Times New Roman;Times;Serif"/>
                  <w:sz w:val="20"/>
                </w:rPr>
                <w:t>Controls and Procedures</w:t>
              </w:r>
            </w:hyperlink>
          </w:p>
        </w:tc>
        <w:tc>
          <w:tcPr>
            <w:tcW w:w="425" w:type="dxa"/>
            <w:tcBorders/>
            <w:shd w:fill="FFFFFF" w:val="clear"/>
            <w:vAlign w:val="center"/>
          </w:tcPr>
          <w:p>
            <w:pPr>
              <w:pStyle w:val="TableContents"/>
              <w:bidi w:val="0"/>
              <w:spacing w:before="0" w:after="283"/>
              <w:jc w:val="center"/>
              <w:rPr/>
            </w:pPr>
            <w:r>
              <w:rPr/>
              <w:t>43</w:t>
            </w:r>
          </w:p>
        </w:tc>
      </w:tr>
      <w:tr>
        <w:trPr/>
        <w:tc>
          <w:tcPr>
            <w:tcW w:w="725" w:type="dxa"/>
            <w:tcBorders/>
            <w:shd w:fill="EEEEEE"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Item 9B.</w:t>
            </w:r>
          </w:p>
        </w:tc>
        <w:tc>
          <w:tcPr>
            <w:tcW w:w="9050" w:type="dxa"/>
            <w:tcBorders/>
            <w:shd w:fill="EEEEEE" w:val="clear"/>
            <w:vAlign w:val="center"/>
          </w:tcPr>
          <w:p>
            <w:pPr>
              <w:pStyle w:val="TableContents"/>
              <w:bidi w:val="0"/>
              <w:spacing w:before="0" w:after="283"/>
              <w:jc w:val="both"/>
              <w:rPr/>
            </w:pPr>
            <w:hyperlink w:anchor="k_023">
              <w:r>
                <w:rPr>
                  <w:rStyle w:val="InternetLink"/>
                  <w:rFonts w:ascii="Times New Roman;Times;Serif" w:hAnsi="Times New Roman;Times;Serif"/>
                  <w:sz w:val="20"/>
                </w:rPr>
                <w:t>Other Information</w:t>
              </w:r>
            </w:hyperlink>
          </w:p>
        </w:tc>
        <w:tc>
          <w:tcPr>
            <w:tcW w:w="425" w:type="dxa"/>
            <w:tcBorders/>
            <w:shd w:fill="EEEEEE"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44</w:t>
            </w:r>
          </w:p>
        </w:tc>
      </w:tr>
      <w:tr>
        <w:trPr/>
        <w:tc>
          <w:tcPr>
            <w:tcW w:w="72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Item 9C.</w:t>
            </w:r>
          </w:p>
        </w:tc>
        <w:tc>
          <w:tcPr>
            <w:tcW w:w="9050" w:type="dxa"/>
            <w:tcBorders/>
            <w:shd w:fill="FFFFFF" w:val="clear"/>
            <w:vAlign w:val="center"/>
          </w:tcPr>
          <w:p>
            <w:pPr>
              <w:pStyle w:val="TableContents"/>
              <w:bidi w:val="0"/>
              <w:spacing w:before="0" w:after="283"/>
              <w:jc w:val="both"/>
              <w:rPr/>
            </w:pPr>
            <w:hyperlink w:anchor="k_024">
              <w:r>
                <w:rPr>
                  <w:rStyle w:val="InternetLink"/>
                  <w:rFonts w:ascii="Times New Roman;Times;Serif" w:hAnsi="Times New Roman;Times;Serif"/>
                  <w:sz w:val="20"/>
                </w:rPr>
                <w:t>Disclosure Regarding Foreign Jurisdictions that Prevent Inspections</w:t>
              </w:r>
            </w:hyperlink>
          </w:p>
        </w:tc>
        <w:tc>
          <w:tcPr>
            <w:tcW w:w="425" w:type="dxa"/>
            <w:tcBorders/>
            <w:shd w:fill="FFFFFF" w:val="clear"/>
            <w:vAlign w:val="center"/>
          </w:tcPr>
          <w:p>
            <w:pPr>
              <w:pStyle w:val="TableContents"/>
              <w:bidi w:val="0"/>
              <w:spacing w:before="0" w:after="283"/>
              <w:jc w:val="center"/>
              <w:rPr/>
            </w:pPr>
            <w:r>
              <w:rPr/>
              <w:t>44</w:t>
            </w:r>
          </w:p>
        </w:tc>
      </w:tr>
      <w:tr>
        <w:trPr/>
        <w:tc>
          <w:tcPr>
            <w:tcW w:w="725" w:type="dxa"/>
            <w:tcBorders/>
            <w:shd w:fill="EEEEEE" w:val="clear"/>
            <w:vAlign w:val="center"/>
          </w:tcPr>
          <w:p>
            <w:pPr>
              <w:pStyle w:val="TableContents"/>
              <w:bidi w:val="0"/>
              <w:spacing w:before="0" w:after="283"/>
              <w:jc w:val="both"/>
              <w:rPr/>
            </w:pPr>
            <w:r>
              <w:rPr/>
              <w:t> </w:t>
            </w:r>
          </w:p>
        </w:tc>
        <w:tc>
          <w:tcPr>
            <w:tcW w:w="9050" w:type="dxa"/>
            <w:tcBorders/>
            <w:shd w:fill="EEEEEE" w:val="clear"/>
            <w:vAlign w:val="center"/>
          </w:tcPr>
          <w:p>
            <w:pPr>
              <w:pStyle w:val="TableContents"/>
              <w:bidi w:val="0"/>
              <w:spacing w:before="0" w:after="283"/>
              <w:jc w:val="both"/>
              <w:rPr/>
            </w:pPr>
            <w:r>
              <w:rPr/>
              <w:t> </w:t>
            </w:r>
          </w:p>
        </w:tc>
        <w:tc>
          <w:tcPr>
            <w:tcW w:w="425" w:type="dxa"/>
            <w:tcBorders/>
            <w:shd w:fill="EEEEEE" w:val="clear"/>
            <w:vAlign w:val="center"/>
          </w:tcPr>
          <w:p>
            <w:pPr>
              <w:pStyle w:val="TableContents"/>
              <w:bidi w:val="0"/>
              <w:spacing w:before="0" w:after="283"/>
              <w:jc w:val="center"/>
              <w:rPr/>
            </w:pPr>
            <w:r>
              <w:rPr/>
              <w:t> </w:t>
            </w:r>
          </w:p>
        </w:tc>
      </w:tr>
      <w:tr>
        <w:trPr/>
        <w:tc>
          <w:tcPr>
            <w:tcW w:w="725" w:type="dxa"/>
            <w:tcBorders/>
            <w:shd w:fill="FFFFFF" w:val="clear"/>
            <w:vAlign w:val="center"/>
          </w:tcPr>
          <w:p>
            <w:pPr>
              <w:pStyle w:val="TableContents"/>
              <w:bidi w:val="0"/>
              <w:spacing w:before="0" w:after="283"/>
              <w:jc w:val="both"/>
              <w:rPr/>
            </w:pPr>
            <w:r>
              <w:rPr/>
              <w:t> </w:t>
            </w:r>
          </w:p>
        </w:tc>
        <w:tc>
          <w:tcPr>
            <w:tcW w:w="9050" w:type="dxa"/>
            <w:tcBorders/>
            <w:shd w:fill="FFFFFF" w:val="clear"/>
            <w:vAlign w:val="center"/>
          </w:tcPr>
          <w:p>
            <w:pPr>
              <w:pStyle w:val="TableContents"/>
              <w:bidi w:val="0"/>
              <w:spacing w:before="0" w:after="283"/>
              <w:jc w:val="center"/>
              <w:rPr/>
            </w:pPr>
            <w:hyperlink w:anchor="k_025">
              <w:r>
                <w:rPr>
                  <w:rStyle w:val="InternetLink"/>
                  <w:rFonts w:ascii="Times New Roman;Times;Serif" w:hAnsi="Times New Roman;Times;Serif"/>
                  <w:sz w:val="20"/>
                </w:rPr>
                <w:t>PART III</w:t>
              </w:r>
            </w:hyperlink>
          </w:p>
        </w:tc>
        <w:tc>
          <w:tcPr>
            <w:tcW w:w="425" w:type="dxa"/>
            <w:tcBorders/>
            <w:shd w:fill="FFFFFF" w:val="clear"/>
            <w:vAlign w:val="center"/>
          </w:tcPr>
          <w:p>
            <w:pPr>
              <w:pStyle w:val="TableContents"/>
              <w:bidi w:val="0"/>
              <w:spacing w:before="0" w:after="283"/>
              <w:jc w:val="center"/>
              <w:rPr/>
            </w:pPr>
            <w:r>
              <w:rPr/>
              <w:t> </w:t>
            </w:r>
          </w:p>
        </w:tc>
      </w:tr>
      <w:tr>
        <w:trPr/>
        <w:tc>
          <w:tcPr>
            <w:tcW w:w="725" w:type="dxa"/>
            <w:tcBorders/>
            <w:shd w:fill="EEEEEE"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Item 10.</w:t>
            </w:r>
          </w:p>
        </w:tc>
        <w:tc>
          <w:tcPr>
            <w:tcW w:w="9050" w:type="dxa"/>
            <w:tcBorders/>
            <w:shd w:fill="EEEEEE" w:val="clear"/>
            <w:vAlign w:val="center"/>
          </w:tcPr>
          <w:p>
            <w:pPr>
              <w:pStyle w:val="TableContents"/>
              <w:bidi w:val="0"/>
              <w:spacing w:before="0" w:after="283"/>
              <w:jc w:val="both"/>
              <w:rPr/>
            </w:pPr>
            <w:hyperlink w:anchor="k_026">
              <w:r>
                <w:rPr>
                  <w:rStyle w:val="InternetLink"/>
                  <w:rFonts w:ascii="Times New Roman;Times;Serif" w:hAnsi="Times New Roman;Times;Serif"/>
                  <w:sz w:val="20"/>
                </w:rPr>
                <w:t>Directors, Executive Officers and Corporate Governance</w:t>
              </w:r>
            </w:hyperlink>
          </w:p>
        </w:tc>
        <w:tc>
          <w:tcPr>
            <w:tcW w:w="425" w:type="dxa"/>
            <w:tcBorders/>
            <w:shd w:fill="EEEEEE"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w:t>
            </w:r>
          </w:p>
        </w:tc>
      </w:tr>
      <w:tr>
        <w:trPr/>
        <w:tc>
          <w:tcPr>
            <w:tcW w:w="72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Item 11.</w:t>
            </w:r>
          </w:p>
        </w:tc>
        <w:tc>
          <w:tcPr>
            <w:tcW w:w="9050" w:type="dxa"/>
            <w:tcBorders/>
            <w:shd w:fill="FFFFFF" w:val="clear"/>
            <w:vAlign w:val="center"/>
          </w:tcPr>
          <w:p>
            <w:pPr>
              <w:pStyle w:val="TableContents"/>
              <w:bidi w:val="0"/>
              <w:spacing w:before="0" w:after="283"/>
              <w:jc w:val="both"/>
              <w:rPr/>
            </w:pPr>
            <w:hyperlink w:anchor="k_027">
              <w:r>
                <w:rPr>
                  <w:rStyle w:val="InternetLink"/>
                  <w:rFonts w:ascii="Times New Roman;Times;Serif" w:hAnsi="Times New Roman;Times;Serif"/>
                  <w:sz w:val="20"/>
                </w:rPr>
                <w:t>Executive Compensation</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50</w:t>
            </w:r>
          </w:p>
        </w:tc>
      </w:tr>
      <w:tr>
        <w:trPr/>
        <w:tc>
          <w:tcPr>
            <w:tcW w:w="725" w:type="dxa"/>
            <w:tcBorders/>
            <w:shd w:fill="EEEEEE"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Item 12.</w:t>
            </w:r>
          </w:p>
        </w:tc>
        <w:tc>
          <w:tcPr>
            <w:tcW w:w="9050" w:type="dxa"/>
            <w:tcBorders/>
            <w:shd w:fill="EEEEEE" w:val="clear"/>
            <w:vAlign w:val="center"/>
          </w:tcPr>
          <w:p>
            <w:pPr>
              <w:pStyle w:val="TableContents"/>
              <w:bidi w:val="0"/>
              <w:spacing w:before="0" w:after="283"/>
              <w:jc w:val="both"/>
              <w:rPr/>
            </w:pPr>
            <w:hyperlink w:anchor="k_028">
              <w:r>
                <w:rPr>
                  <w:rStyle w:val="InternetLink"/>
                  <w:rFonts w:ascii="Times New Roman;Times;Serif" w:hAnsi="Times New Roman;Times;Serif"/>
                  <w:sz w:val="20"/>
                </w:rPr>
                <w:t>Security Ownership of Certain Beneficial Owners and Management and Related Stockholder Matters</w:t>
              </w:r>
            </w:hyperlink>
          </w:p>
        </w:tc>
        <w:tc>
          <w:tcPr>
            <w:tcW w:w="425" w:type="dxa"/>
            <w:tcBorders/>
            <w:shd w:fill="EEEEEE"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52</w:t>
            </w:r>
          </w:p>
        </w:tc>
      </w:tr>
      <w:tr>
        <w:trPr/>
        <w:tc>
          <w:tcPr>
            <w:tcW w:w="72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Item 13.</w:t>
            </w:r>
          </w:p>
        </w:tc>
        <w:tc>
          <w:tcPr>
            <w:tcW w:w="9050" w:type="dxa"/>
            <w:tcBorders/>
            <w:shd w:fill="FFFFFF" w:val="clear"/>
            <w:vAlign w:val="center"/>
          </w:tcPr>
          <w:p>
            <w:pPr>
              <w:pStyle w:val="TableContents"/>
              <w:bidi w:val="0"/>
              <w:spacing w:before="0" w:after="283"/>
              <w:jc w:val="both"/>
              <w:rPr/>
            </w:pPr>
            <w:hyperlink w:anchor="k_029">
              <w:r>
                <w:rPr>
                  <w:rStyle w:val="InternetLink"/>
                  <w:rFonts w:ascii="Times New Roman;Times;Serif" w:hAnsi="Times New Roman;Times;Serif"/>
                  <w:sz w:val="20"/>
                </w:rPr>
                <w:t>Certain Relationship and Related Transactions, and Director Independence</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53</w:t>
            </w:r>
          </w:p>
        </w:tc>
      </w:tr>
      <w:tr>
        <w:trPr/>
        <w:tc>
          <w:tcPr>
            <w:tcW w:w="725" w:type="dxa"/>
            <w:tcBorders/>
            <w:shd w:fill="EEEEEE"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Item 14.</w:t>
            </w:r>
          </w:p>
        </w:tc>
        <w:tc>
          <w:tcPr>
            <w:tcW w:w="9050" w:type="dxa"/>
            <w:tcBorders/>
            <w:shd w:fill="EEEEEE" w:val="clear"/>
            <w:vAlign w:val="center"/>
          </w:tcPr>
          <w:p>
            <w:pPr>
              <w:pStyle w:val="TableContents"/>
              <w:bidi w:val="0"/>
              <w:spacing w:before="0" w:after="283"/>
              <w:jc w:val="both"/>
              <w:rPr/>
            </w:pPr>
            <w:hyperlink w:anchor="k_030">
              <w:r>
                <w:rPr>
                  <w:rStyle w:val="InternetLink"/>
                  <w:rFonts w:ascii="Times New Roman;Times;Serif" w:hAnsi="Times New Roman;Times;Serif"/>
                  <w:sz w:val="20"/>
                </w:rPr>
                <w:t>Principal Accounting Fees and Services</w:t>
              </w:r>
            </w:hyperlink>
          </w:p>
        </w:tc>
        <w:tc>
          <w:tcPr>
            <w:tcW w:w="425" w:type="dxa"/>
            <w:tcBorders/>
            <w:shd w:fill="EEEEEE"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54</w:t>
            </w:r>
          </w:p>
        </w:tc>
      </w:tr>
      <w:tr>
        <w:trPr/>
        <w:tc>
          <w:tcPr>
            <w:tcW w:w="725" w:type="dxa"/>
            <w:tcBorders/>
            <w:shd w:fill="FFFFFF" w:val="clear"/>
            <w:vAlign w:val="center"/>
          </w:tcPr>
          <w:p>
            <w:pPr>
              <w:pStyle w:val="TableContents"/>
              <w:bidi w:val="0"/>
              <w:spacing w:before="0" w:after="283"/>
              <w:jc w:val="both"/>
              <w:rPr/>
            </w:pPr>
            <w:r>
              <w:rPr/>
              <w:t> </w:t>
            </w:r>
          </w:p>
        </w:tc>
        <w:tc>
          <w:tcPr>
            <w:tcW w:w="9050" w:type="dxa"/>
            <w:tcBorders/>
            <w:shd w:fill="FFFFFF" w:val="clear"/>
            <w:vAlign w:val="center"/>
          </w:tcPr>
          <w:p>
            <w:pPr>
              <w:pStyle w:val="TableContents"/>
              <w:bidi w:val="0"/>
              <w:spacing w:before="0" w:after="283"/>
              <w:jc w:val="both"/>
              <w:rPr/>
            </w:pPr>
            <w:r>
              <w:rPr/>
              <w:t> </w:t>
            </w:r>
          </w:p>
        </w:tc>
        <w:tc>
          <w:tcPr>
            <w:tcW w:w="425" w:type="dxa"/>
            <w:tcBorders/>
            <w:shd w:fill="FFFFFF" w:val="clear"/>
            <w:vAlign w:val="center"/>
          </w:tcPr>
          <w:p>
            <w:pPr>
              <w:pStyle w:val="TableContents"/>
              <w:bidi w:val="0"/>
              <w:spacing w:before="0" w:after="283"/>
              <w:jc w:val="center"/>
              <w:rPr/>
            </w:pPr>
            <w:r>
              <w:rPr/>
              <w:t> </w:t>
            </w:r>
          </w:p>
        </w:tc>
      </w:tr>
      <w:tr>
        <w:trPr/>
        <w:tc>
          <w:tcPr>
            <w:tcW w:w="725" w:type="dxa"/>
            <w:tcBorders/>
            <w:shd w:fill="EEEEEE" w:val="clear"/>
            <w:vAlign w:val="center"/>
          </w:tcPr>
          <w:p>
            <w:pPr>
              <w:pStyle w:val="TableContents"/>
              <w:bidi w:val="0"/>
              <w:spacing w:before="0" w:after="283"/>
              <w:jc w:val="both"/>
              <w:rPr/>
            </w:pPr>
            <w:r>
              <w:rPr/>
              <w:t> </w:t>
            </w:r>
          </w:p>
        </w:tc>
        <w:tc>
          <w:tcPr>
            <w:tcW w:w="9050" w:type="dxa"/>
            <w:tcBorders/>
            <w:shd w:fill="EEEEEE" w:val="clear"/>
            <w:vAlign w:val="center"/>
          </w:tcPr>
          <w:p>
            <w:pPr>
              <w:pStyle w:val="TableContents"/>
              <w:bidi w:val="0"/>
              <w:spacing w:before="0" w:after="283"/>
              <w:jc w:val="center"/>
              <w:rPr/>
            </w:pPr>
            <w:hyperlink w:anchor="k_031">
              <w:r>
                <w:rPr>
                  <w:rStyle w:val="InternetLink"/>
                  <w:rFonts w:ascii="Times New Roman;Times;Serif" w:hAnsi="Times New Roman;Times;Serif"/>
                  <w:sz w:val="20"/>
                </w:rPr>
                <w:t>PART IV</w:t>
              </w:r>
            </w:hyperlink>
          </w:p>
        </w:tc>
        <w:tc>
          <w:tcPr>
            <w:tcW w:w="425" w:type="dxa"/>
            <w:tcBorders/>
            <w:shd w:fill="EEEEEE" w:val="clear"/>
            <w:vAlign w:val="center"/>
          </w:tcPr>
          <w:p>
            <w:pPr>
              <w:pStyle w:val="TableContents"/>
              <w:bidi w:val="0"/>
              <w:spacing w:before="0" w:after="283"/>
              <w:jc w:val="center"/>
              <w:rPr/>
            </w:pPr>
            <w:r>
              <w:rPr/>
              <w:t> </w:t>
            </w:r>
          </w:p>
        </w:tc>
      </w:tr>
      <w:tr>
        <w:trPr/>
        <w:tc>
          <w:tcPr>
            <w:tcW w:w="72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Item 15.</w:t>
            </w:r>
          </w:p>
        </w:tc>
        <w:tc>
          <w:tcPr>
            <w:tcW w:w="9050" w:type="dxa"/>
            <w:tcBorders/>
            <w:shd w:fill="FFFFFF" w:val="clear"/>
            <w:vAlign w:val="center"/>
          </w:tcPr>
          <w:p>
            <w:pPr>
              <w:pStyle w:val="TableContents"/>
              <w:bidi w:val="0"/>
              <w:spacing w:before="0" w:after="283"/>
              <w:jc w:val="both"/>
              <w:rPr/>
            </w:pPr>
            <w:hyperlink w:anchor="k_032">
              <w:r>
                <w:rPr>
                  <w:rStyle w:val="InternetLink"/>
                  <w:rFonts w:ascii="Times New Roman;Times;Serif" w:hAnsi="Times New Roman;Times;Serif"/>
                  <w:sz w:val="20"/>
                </w:rPr>
                <w:t>Exhibit and Financial Statement Schedules</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55</w:t>
            </w:r>
          </w:p>
        </w:tc>
      </w:tr>
      <w:tr>
        <w:trPr/>
        <w:tc>
          <w:tcPr>
            <w:tcW w:w="725" w:type="dxa"/>
            <w:tcBorders/>
            <w:shd w:fill="EEEEEE"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Item 16.</w:t>
            </w:r>
          </w:p>
        </w:tc>
        <w:tc>
          <w:tcPr>
            <w:tcW w:w="9050" w:type="dxa"/>
            <w:tcBorders/>
            <w:shd w:fill="EEEEEE"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10–K Summary</w:t>
            </w:r>
          </w:p>
        </w:tc>
        <w:tc>
          <w:tcPr>
            <w:tcW w:w="425" w:type="dxa"/>
            <w:tcBorders/>
            <w:shd w:fill="EEEEEE" w:val="clear"/>
            <w:vAlign w:val="center"/>
          </w:tcPr>
          <w:p>
            <w:pPr>
              <w:pStyle w:val="TableContents"/>
              <w:bidi w:val="0"/>
              <w:spacing w:before="0" w:after="283"/>
              <w:jc w:val="center"/>
              <w:rPr/>
            </w:pPr>
            <w:r>
              <w:rPr/>
              <w:t> </w:t>
            </w:r>
          </w:p>
        </w:tc>
      </w:tr>
      <w:tr>
        <w:trPr/>
        <w:tc>
          <w:tcPr>
            <w:tcW w:w="9775" w:type="dxa"/>
            <w:gridSpan w:val="2"/>
            <w:tcBorders/>
            <w:shd w:fill="FFFFFF" w:val="clear"/>
            <w:vAlign w:val="center"/>
          </w:tcPr>
          <w:p>
            <w:pPr>
              <w:pStyle w:val="TableContents"/>
              <w:bidi w:val="0"/>
              <w:spacing w:before="0" w:after="283"/>
              <w:jc w:val="both"/>
              <w:rPr/>
            </w:pPr>
            <w:hyperlink w:anchor="k_033">
              <w:r>
                <w:rPr>
                  <w:rStyle w:val="InternetLink"/>
                  <w:rFonts w:ascii="Times New Roman;Times;Serif" w:hAnsi="Times New Roman;Times;Serif"/>
                  <w:sz w:val="20"/>
                </w:rPr>
                <w:t>SIGNATURES</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58</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75"/>
        <w:gridCol w:w="80"/>
        <w:gridCol w:w="75"/>
      </w:tblGrid>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center"/>
              <w:rPr/>
            </w:pPr>
            <w:r>
              <w:rPr/>
              <w:t>i</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on Form 10-K (including the section regarding Management’s Discussion and Analysis and Results of Operations, the “Annual Report”) contains forward-looking statements within the meaning of Section 27A of the Securities Act of 1933, as amended, or the Securities Act, and Section 21E of the Securities Exchange Act of 1934, as amended, or the Exchange Act. These statements are based on our management’s belief and assumptions and on information currently available to our management. Although we believe that the expectations reflected in these forward-looking statements are reasonable, these statements relate to future events or our future financial performance, and involve known and unknown risks, uncertainties and other factors that may cause our actual results, levels of activity, performance, or achievements to be materially different from any future results, levels of activity, performance or achievements expressed or implied by these forward-looking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include statements concerning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inability to predict or anticipate the duration or long-term economic and business consequences of the ongoing COVID-19 epidemic;</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inability to predict or anticipate the duration or long-term economic effect of the ongoing conflict between Ukraine and Russia and any potential supply chain issues that may result;</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limited operating history;</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future results of operations;</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our current and future capital requirements necessary to support our efforts to open or acquire new complimentary businesses and channels of trade; </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cash needs and financial plans;</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our competitive position; </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seasonality and how it may impact consumer behavior and resulting sales; </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our dependence on consumer interest in growing crops with the equipment and other products that we offer; </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evolving laws surrounding cannabis on a local, state, and federal level;</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effectiveness of our internal controls; </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our dependence on third parties to manufacture and sell us inventory; </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our ability to maintain or protect our intellectual property; </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our ability to innovate and develop new intellectual property to continue enhancing our product and service offerings; </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our ability to protect our systems from unauthorized intrusions or theft of proprietary information; </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our ability to retain key members of our executive team; </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maintain our relationships with third-party vendors and suppliers;</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internally develop products and intellectual property;</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achieve expected technological advances by us or by third parties and our ability to leverage such advances;</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potential growth opportunities;</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interpretations of current laws and the passage of future laws; </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acceptance of our business model by investors; </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accuracy of our estimates regarding expenses and capital requirements; </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our ability to sell additional products and services to customers; </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adequately support growth;</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our ability to ensure consistency in the quality of our products and the quality and costs of our supply chain, including management of freight costs; </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disruption to third party sales platforms, including Amazon.com, Walmart and eBay, through which we derive approximately 98% of our current revenues; and </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potential disruption of our business and supply chain as a result of any conflicts or trade wars between China and the U.S., as well as increased tariffs on the products which we import.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ii</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some cases, you can identify forward-looking statements by terminology such as “may,” “will,” “should,” “expects,” “intends,” “plans,” “anticipates,” “believes,” “estimates,” “predicts,” “potential,” “continue” or the negative of these terms or other comparable terminology.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in the reports we file with the Securities and Exchange Commission, or the SEC. Actual events or results may vary significantly from those implied or projected by the forward-looking statements due to these risk factors. No forward-looking statement is a guarantee of future performance. You should read this Annual Report, the documents that we reference in this Annual Report and the documentation we have filed as exhibits thereto with the SEC, with the understanding that our actual future results and circumstances may be materially different from what we expect.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made based on management’s beliefs, estimates, and opinions on the date the statements are made, and we undertake no obligation to update forward-looking statements if these beliefs, estimates, and opinions or other circumstances should change, except as may be required by applicable law. Although we believe that the expectations reflected in the forward-looking statements are reasonable, we cannot guarantee future results, levels of activity, performance, or achievements.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55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otherwise requires, the terms “the Company,” “we,” “us,” and/or “our” in this report refer to iPower Inc.</w:t>
      </w:r>
    </w:p>
    <w:p>
      <w:pPr>
        <w:pStyle w:val="TextBody"/>
        <w:bidi w:val="0"/>
        <w:spacing w:before="0" w:after="0"/>
        <w:ind w:left="0" w:right="0" w:firstLine="556"/>
        <w:jc w:val="both"/>
        <w:rPr>
          <w:caps w:val="false"/>
          <w:smallCaps w:val="false"/>
        </w:rPr>
      </w:pPr>
      <w:r>
        <w:rPr>
          <w:caps w:val="false"/>
          <w:smallCaps w:val="false"/>
        </w:rPr>
        <w:t> </w:t>
      </w:r>
    </w:p>
    <w:p>
      <w:pPr>
        <w:pStyle w:val="TextBody"/>
        <w:bidi w:val="0"/>
        <w:spacing w:before="0" w:after="0"/>
        <w:ind w:left="0" w:right="0" w:firstLine="556"/>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75"/>
        <w:gridCol w:w="200"/>
        <w:gridCol w:w="7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iii</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3" w:name="k_008"/>
      <w:bookmarkEnd w:id="33"/>
      <w:r>
        <w:rPr>
          <w:rFonts w:ascii="Times New Roman;Times;Serif" w:hAnsi="Times New Roman;Times;Serif"/>
          <w:b/>
          <w:i w:val="false"/>
          <w:caps w:val="false"/>
          <w:smallCaps w:val="false"/>
          <w:sz w:val="20"/>
        </w:rPr>
        <w:t>PART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4" w:name="k_009"/>
      <w:bookmarkEnd w:id="34"/>
      <w:r>
        <w:rPr>
          <w:rFonts w:ascii="Times New Roman;Times;Serif" w:hAnsi="Times New Roman;Times;Serif"/>
          <w:b/>
          <w:i w:val="false"/>
          <w:caps w:val="false"/>
          <w:smallCaps w:val="false"/>
          <w:sz w:val="20"/>
        </w:rPr>
        <w:t>ITEM 1. DESCRIPTION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iPower Inc. (formerly BZRTH, Inc.), a California-based corporation, was formed in Nevada in April 2018. Driven by tech and data, iPower Inc. is a U.S.-based online retailer and supplier of consumer home, garden and pet products. Through the operations of our e-commerce platforms, www.simpledeluxe.com and www.Zenhydro.com, as well as Amazon, Walmart and eBay, our combined 121,000 square foot fulfillment centers in Los Angeles, California, and our 99,000 square foot fulfillment center in Rancho Cucamonga, California, we believe we are one of the leading online marketers, distributors and retailers in our product categories, based on management’s estimates. Our core strategy continues to focus on expanding our geographic reach across the United States and internationally through organic growth, both in terms of expanding customer base as well as brand and product development. iPower has developed a set of methodologies driven by proprietary data formulas to effectively bring products to market and increase sales.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actively developing and acquiring our in-house branded products, which to date include </w:t>
      </w:r>
      <w:r>
        <w:rPr>
          <w:rFonts w:ascii="Times New Roman;Times;Serif" w:hAnsi="Times New Roman;Times;Serif"/>
          <w:b/>
          <w:i/>
          <w:caps w:val="false"/>
          <w:smallCaps w:val="false"/>
          <w:sz w:val="20"/>
        </w:rPr>
        <w:t>iPower, Simple Deluxe </w:t>
      </w:r>
      <w:r>
        <w:rPr>
          <w:rFonts w:ascii="Times New Roman;Times;Serif" w:hAnsi="Times New Roman;Times;Serif"/>
          <w:b w:val="false"/>
          <w:i w:val="false"/>
          <w:caps w:val="false"/>
          <w:smallCaps w:val="false"/>
          <w:sz w:val="20"/>
        </w:rPr>
        <w:t>and other brands and consist of products such as home goods, fans, pet products and hydroponics equipment, some of which have been designated as Amazon Choice products and category best sellers, among others. For the year ended June 30, 2023, our top five product categories accounted for 72% of total sales. While we continue to focus on our top product categories, we are working to expand our product catalog to include new and adjacent categories through in-house products and our supply chain partners driven by market data analytics.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Approximately 95% of our sales revenue during the year ended June 30, 2023 were derived from sales through Amazon, eBay and Walmart, where we experienced approximately 14% revenue growth in the fiscal year ended June 30, 2023 as compared to the prior fiscal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iPower offers essential products in the hydroponic, gardening, home and pet goods categories. While the company offers products from hundreds of third-party brands, the Company has also established its own in-house branded products which are made available for purchase through our various sales channels. Our in-house branded products, marketed under the </w:t>
      </w:r>
      <w:r>
        <w:rPr>
          <w:rFonts w:ascii="Times New Roman;Times;Serif" w:hAnsi="Times New Roman;Times;Serif"/>
          <w:b/>
          <w:i/>
          <w:caps w:val="false"/>
          <w:smallCaps w:val="false"/>
          <w:sz w:val="20"/>
        </w:rPr>
        <w:t xml:space="preserve">iPower™ </w:t>
      </w:r>
      <w:r>
        <w:rPr>
          <w:rFonts w:ascii="Times New Roman;Times;Serif" w:hAnsi="Times New Roman;Times;Serif"/>
          <w:b w:val="false"/>
          <w:i w:val="false"/>
          <w:caps w:val="false"/>
          <w:smallCaps w:val="false"/>
          <w:sz w:val="20"/>
        </w:rPr>
        <w:t xml:space="preserve">and </w:t>
      </w:r>
      <w:r>
        <w:rPr>
          <w:rFonts w:ascii="Times New Roman;Times;Serif" w:hAnsi="Times New Roman;Times;Serif"/>
          <w:b/>
          <w:i/>
          <w:caps w:val="false"/>
          <w:smallCaps w:val="false"/>
          <w:sz w:val="20"/>
        </w:rPr>
        <w:t>Simple Deluxe™</w:t>
      </w:r>
      <w:r>
        <w:rPr>
          <w:rFonts w:ascii="Times New Roman;Times;Serif" w:hAnsi="Times New Roman;Times;Serif"/>
          <w:b w:val="false"/>
          <w:i w:val="false"/>
          <w:caps w:val="false"/>
          <w:smallCaps w:val="false"/>
          <w:sz w:val="20"/>
        </w:rPr>
        <w:t xml:space="preserve"> brands, include hydroponic-related items, fans, shelving, pet supplies and outdoor lifestyle products, some of which have been designated as Amazon best seller product leaders, and for which numerous products have been designated “Amazon’s Choice” and “#1 Best Seller.” We currently offer consumers more than 4,000 products from our proprietary, in-house branded products. This year, we expanded our in-house catalog to include more general home goods products, with home goods making up our largest meta category.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Industry is Large and Rapidly Growing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industry opportunity is in the retail sale and distribution of consumer goods. Our primary subcategories include consumer hydroponics equipment and supplies, consumer general gardening supplies, and consumer home and pet goods. Hydroponics supplies generally include grow light systems; advanced heating, ventilation and air conditioning (“HVAC”) systems; water pumps, heaters, chillers and filters; nutrient and fertilizer delivery systems; and various growing media typically made from soil, rock wool or coconut fiber, among others. General gardening supplies generally include environmental sensors and controls and nutrients among others. Home goods supplies currently include commercial fans, floor and wall fans, storage and shelving units, and chairs among others.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home goods industry has become a significant category we sell into. Grandview Research estimated that the size of the home goods market in the US was $740 billion in 2020 and should reach close to $1,040 billion by 2024, with a CAGR of 7.4%.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incurred any significant research and development (“R&amp;D”) expenses during the fiscal year ended June 30, 2023. We do most of our development work in conjunction with our manufacturing partners, where we co-engineer designs with their development teams. We plan to increase our investments in R&amp;D relating to the improvement of existing products and the development and addition of new product lines.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Customers and Suppliers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diverse customer base, with residential gardeners and home goods consumers constituting a significant portion of our customer base and thus the largest portion of our total sales. We sell to both commercial and home cultivators growing specialty crops, as well as in the home goods category. At present, sales to customers through Amazon and other third-party online platforms accounts for approximately 98% of our annual sales.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manufacture any of the products we sell through our distribution channels. We purchase our products from more than 150 suppliers, including manufacturers and distributors in the U.S. and China. For the years ended June 30, 2023 and 2022, one supplier accounted for 27% and 18% of the Company's total purchases, respectively. We do not have any long-term supply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Manufacturers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obtain both our branded proprietary products and distributed products from third party suppliers. For our hydroponic category, most of the products purchased and resold, whether our proprietary products or third-party products sold through our platform, are applicable to indoor and outdoor growing for organics, greens and plant-based products. Our products are sourced from more than 150 different suppliers and manufacturers, with approximately 90% sourced from China. Quality control is a critical priority for our team charged with ensuring the supply of the products from our suppliers, specifically those coming from China. We seek to ensure the highest level of quality control for our products through routine factory visits, spot testing and continual, ongoing supplier due diligence.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distributed products are sourced from more than 150 suppliers. Our experienced internal sourcing team is charged with maintaining strong relationships with current suppliers, while also constantly tracking current and future market trends and reviewing offerings of new suppliers.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have exclusive purchase agreements with many of our suppliers. Based on our knowledge and communication with our suppliers, we believe some of our suppliers may sell directly to the retail market or to our wholesale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Demand for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demand for iPower’s products is strong for several reasons. Consumer interest in hydroponics as a hobby and lifestyle choice a surge in interest driven by the stay-at-home necessities of the Covid-19 pandemic. This is in contrast to the weak demand environment for commercial hydroponics suppliers who are suffering from growing over capacity in the commercial sector. Our non-hydroponics product lines are also seeing strong demand as the categories we participate in are primarily in large markets with a fragmented supply base. We also believe that our expertise in product development has created a catalog well suited to gaining market share in these categories. In addition, our relationship with our largest channel partner, Amazon, has also led to a strong demand environment. Working as a supplier on Amazon’s Vendor Central platform, we are confident that we have demonstrated our ability to supply products that consumers want, in sufficient volumes, enabling us to meet the stringent operating metrics required by Amazon. We believe these has allowed us to gain share from other suppliers in our various channels.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E-Commerce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continues to grow and develop its e-commerce platforms, including zenhydro.com and simpledeluxe.com, where we sell our in house and third party products. In addition to our websites, we offer products to consumers through established e-commerce channels such as Amazon, eBay, and Walmart. Through these portals we offer various consumer products for sale. Online shoppers can have the ability to peruse our various product categories such as hydroponics equipment, home fans and furnishing, shelving, outdoor lifestyle products, and pet products, providing consumers with an easy and quick method to find the exact products they need. In addition to these sections, our webstores offer customers periodic flash deals, best value recommendations and clearance sale items. Each product listed on the site contains product descriptions, product reviews and a picture so the consumer can make an informed and educated purchase. Our product filters allow the consumer to search by brand, manufacturer, or by price. Consumers can shop online day and night and have their purchases shipped directly to the location of their choice, or simply elect to use our website as a resource. Google advertising, social media advertising and email list marketing, in addition to auto-ship functionality, are the primary mechanisms we employ to drive traffic to our e-commerce platforms and the other portals through which we make our products available for sale, including Amazon.com, eBay and Walmart. At present, more than 90% of our total sales occur through Amazon.com.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Large Established Distribution Infrastructure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fully developed distribution network through our distribution centers in California. We work with a network of third-party common carrier trucking/freight companies that service our customers throughout the U.S., Canada and across the globe. We receive daily customer orders via our business-to-business e-commerce platform. Orders are then routed to the applicable distribution center and packed for shipments. Most of our customer orders are shipped within one business day of order receipt.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Competition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markets in which we sell our products are highly competitive and fragmented. Our key competitors include many local and national vendors of home and gardening supplies, local product resellers of hydroponic and other specialty growing equipment, as well as other online product resellers on large online marketplaces such as Amazon.com and eBay. We compete with companies that have greater capital resources, facilities, and diversity of product lines. Our competitors could also introduce products and as manufacturers are able to sell equipment directly to consumers, our distributors could cease selling products to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we believe that our pricing, inventory and product availability, and overall customer service provide us with the ability to compete in this marketplace. We believe that we have the following core competitive advantages over our competitors: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addition to our in-house branded products, we distribute products from hundreds of third-party brands, ensuring that whatever a customer’s particular need may be, they need look no further than iPower for their product needs.</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knowledgeable and experienced sales team can provide guidance and insights, whether dealing with a seasoned commercial entity or a first-time purchaser looking to get their grow operations off the ground.</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convenience of our e-commerce platform allows customers to shop from the comfort of their own home and have their purchases shipped directly to them.</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believe that our prominent position as a supplier to Amazon means that our products are prominently featured on the world’s most important retailer</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view ourselves as an industry leader, offering products and new technologies from the largest and most trusted names in the business, as well as our own in-house branded products.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we expect that as we continue to grow our business, we will achieve an economy of scale and, as such, will be able to further optimize supply chains, which will enable us to continue to maintain competitive pricing options and deliver the array of items that our customers require. Through supply chain and industry competency, support services, and through our relationships with suppliers, distributors, vendors and logistics partners, we believe we can maintain and increase our growth trajectory.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Intellectual Property and Proprietary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intellectual property primarily consists of our brands and their related trademarks, domain names, websites, customer lists and affiliations, as well as our marketing intangibles, product know-how and technology. We also hold rights to website addresses related to our business, including websites that are actively used in our daily business operations, such as Zenhydro.com and simpledeluxe.com. We own federally registered trademarks for “iPower” and “Simple Deluxe,” which correspond to our current in-house branded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Government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sell products, including hydroponic gardening products, that end users may purchase for use in new and emerging industries or segments, including the growing of cannabis and hemp, that may not grow or achieve market acceptance in a manner that we can predict. The demand for these products depends on the uncertain growth of these industries or segments.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sell products that end users may purchase for use in industries or segments, including the growing of cannabis and hemp, that are subject to varying, inconsistent, and rapidly changing laws, regulations, administrative practices, enforcement approaches, judicial interpretations, and consumer perceptions. For example, certain countries and a total of 46 U.S. states plus the District of Columbia have adopted frameworks, in varying forms, that authorize, regulate, and tax the cultivation, processing, sale, and use of cannabis for medicinal and/or non-medicinal use, as well as hemp and CBD, while the U.S. Controlled Substances Act and the laws of other U.S. states prohibit growing cannabis. In addition, with the passage of the Farm Bill in December 2018, hemp cultivation is now broadly permitted. The 2018 Farm Bill explicitly allows the transfer of hemp-derived products across state lines for commercial or other purposes. It also puts no restrictions on the sale, transport, or possession of hemp-derived products, so long as those items are produced in a manner consistent with the law. While we do not know the percentage or actual usage of our products for purposes of growing cannabis or hemp-derived products, for those users who intend to use the Company’s products to grow hemp-derived CBD medicinal products, the 2018 Farm Bill officially removed hemp from the list of controlled substances. While we note that the 2018 Farm Bill has not changed the regulatory authority of the Food and Drug Administration as concerns cannabis and cannabis-derived products, and that such products continue to remain subject to the same regulatory requirements as FDA-regulated products, we nonetheless believe the passage of the 2018 Farm Bill will allow the Company to expand its marketplace opportunities.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gardening products, including our hydroponic gardening products, are multi-purpose products designed and intended for growing a wide range of plants and are purchased by cultivators who may grow any variety of plants, including cannabis and hemp. Although the demand for our products may be negatively impacted depending on how laws, regulations, administrative practices, enforcement approaches, judicial interpretations, and consumer perceptions develop, we cannot reasonably predict the nature of such developments or the effect, if any, that such developments could have on our business. The changing laws may cause us to experience additional capital expenditures as we adapt our business to meet the requirements of the evolving legal and regulatory landscape.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 growth in licensed cannabis cultivation facilities and the growth in organically grown produce will increase the general demand for hydroponics products, including the hobbyist consumer segment that we serve. Further, we believe our dedication to providing consumers with innovative and cutting-edge products tailored to their individual needs, combined with our industry knowledge and customer service, has positioned iPower to take advantage of the domestic and international growth anticipated for hydroponic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Corporate Structure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conducting business as iPower Inc. (formerly BZRTH Inc.) since our formation in 2018 and subsequent acquisition of the assets, and certain liabilities, of BizRight LLC. In order to diversify and facilitate the Company’s marketing and research and development activities, we used two variable interest entities, E Marketing Solution Inc. (“E Marketing”) and Global Products Marketing Inc. (“GPM”), to perform and conduct certain aspects of our business relative to marketing, banking and cash management. E-Marketing and GPM were wholly owned by one of our shareholders, Shanshan Huang, and one of our founders and majority shareholders, Chenlong Tan. On May 18, 2021, the Company entered into equity purchase agreements with the shareholders of E Marketing and GPM, pursuant to which we acquired 100% of the equity interests of each of E Marketing and GPM for nominal consideration and E Marketing and GPM became our wholly owned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15, 2022, the Company acquired Anivia Limited (“Anivia”). Anivia indirectly owns Dayourenzai (Shenzhen) Technology Co., Ltd., a corporation located in the People’s Republic of China (“PRC”), which is a wholly foreign-owned enterprise of Fly Elephant Limited. Dayourenzai (Shenzhen) Technology Co., Ltd. Controls, through contractual arrangements, the business, revenues and profits of Daheshou (Shenzhen) Information Technology Co., Ltd., a company organized under the laws of the PRC and is located in Shenzhen, China (“DHS”). DHS is principally engaged in selling a wide range of products and providing merchandizing and logistics services in the PRC. In 2023, iPower purchased approximately 90% of its products and supplies from or through DHS.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on February 10, 2022 and January 14, 2022, respectively, we entered into joint venture agreements with Global Social Medial, LLC, a Nevada limited liability company formed in 2022 which provides social media platform and services to assist business in product marketing (“GSM”), and Box Harmony, LLC, a Nevada limited liability company formed in 2022 which provides logistics services primarily for foreign-based manufacturers and distributors who desire to sell their products online in the United States with such logistic services to include, without limitation, receiving, storing and transporting such products (“Box Harmony”). We have a 60% equity interest in GSM and a 40% equity interest in Box Harmony.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Corporate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 Nevada corporation, was formed on April 11, 2018 under the name BZRTH Inc. On September 4, 2020, we filed a Certificate of Amendment with the State of Nevada changing our name to iPower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offices are located at 8798 9th Street, Rancho Cucamonga, CA 91730, and our phone number is (626) 863-7344. Our business website is www.meetipower.com and our e-commerce websites are www.Zenhydro.com and www.simpledeluxe.com. Information contained on our websites should not be deemed incorporated by reference and is not a part of this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14, 2023, we have a total of 70 full-time and five part-time employees and consultants. None or our employees are subject to collective bargaining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5" w:name="k_010"/>
      <w:bookmarkEnd w:id="35"/>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 investment in our securities involves a high degree of risk. You should carefully consider all of the risks described below, together with the other information contained in this Annual Report, including our financial statements and related notes, before making a decision to invest in our securities. If any of the following events occur, our business, financial condition and operating results may be materially adversely affected. In that event, the trading price of our securities could decline, and you could lose all or part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risks described under the heading “Risk Factors” beginning on page 6 of this Annual Report on Form 10-K may cause us to be unable to realize the full benefits of our strengths and/or may cause us to be unable to successfully execute all or part of our strategy. Some of the more significant challenges we face include: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Our Company’s founders own approximately 53.98% of our common stock, which effectively gives our founders full control over the board of directors and management of the Company for the foreseeable future. </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faces intense competition in the hydroponics marketplace which could prohibit us from developing or increasing our customer base beyond present levels.</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ensure consistency in the quality of our products and supply chain.</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Approximately 98% of our current revenues are derived from sales of our products through online third-party platforms, including Amazon.com, Walmart and eBay; any disruption to these business channels could be detrimental to our business.</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Potential disruption of our business and supply chain that may be caused by any conflicts, trade wars or currency fluctuations or tariffs between China and the U.S.</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ongoing conflict between Russia and Ukraine may adversely affect our business, financial condition, results from operations, or the businesses of our suppliers, vendors and logistics partners.</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ongoing COVID-19 epidemic, and any resurgence in related infections, whether in the U.S., China or elsewhere, along with any efforts to mitigate its impact could have an adverse effect on our business, liquidity, operations, financial condition, the business of our suppliers, vendors and logistic partners, and the price of our securities. </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event we require additional capital resources to fund our enterprise, we may not be able to obtain sufficient capital and may be forced to limit the expansion of our operations.</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Certain of our products may be purchased for use in new and emerging industries or segments, such as cannabis, and may be subject to varying, inconsistent and rapidly changing laws, regulations, administrative practices, enforcement approaches, judicial interpretations and consumer perceptions.</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business depends significantly on the continuing efforts of our management team and our business may be impacted if we should lose their services.</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Certain relationships, acquisitions, strategic alliances and investments could result in operating issues, dilutions and other harmful or unintended consequences which may adversely impact our business and the results of our operations.</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continued investment and development in our in-house branded products is inherently risky and could disrupt our ongoing business.</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Company is unable to maintain and continue to develop our e-commerce platform, our reputation and operating results may be materially harmed.</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the bulk of our sales are carried out through e-commerce, we are subject to certain cyber security risks, including hacking and stealing of customer and confidential data.</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pPr>
            <w:r>
              <w:rPr/>
              <w:t>If we fail to comply with the continued listing requirements of the Nasdaq Stock Market, it could result in our common stock being delisted, which could adversely affect the market price and liquidity of our securities and could have other adverse effects.</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There are a myriad of risks, including stock market volatility, inherent in owning our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 and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sell proprietary brand offerings, as well as third party brands, which could expose us to various risks.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different intellectual property rights, including trade secrets and trademarks and the strength of our proprietary brands, which we consider important to our business. If we are unable to protect or preserve the value of our intellectual property rights for any reason, or if we fail to maintain our brand image due to actual or perceived product or service quality issues, adverse publicity, governmental investigations or litigation, or other reasons, our brand and reputation could be damaged, and our business may be harmed.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believe that our proprietary brand products offer significant value to our customers at each price point and provide us with higher gross margins than sales of comparable third-party branded products, expanding our proprietary brand offerings subjects us to certain specific risks in addition to those discussed elsewhere in this section, such as:</w:t>
      </w:r>
    </w:p>
    <w:p>
      <w:pPr>
        <w:pStyle w:val="TextBody"/>
        <w:bidi w:val="0"/>
        <w:spacing w:before="0" w:after="0"/>
        <w:ind w:left="0" w:right="0" w:firstLine="4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potential mandatory or voluntary product recalls in the event of product defects or other issues;</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measures we take may not effectively or sufficiently protect and/or maintain the intellectual property, and proprietary rights associated with our products and business; </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be required to heavily invest in marketing such proprietary branded products;</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successfully innovate and obtain, maintain, protect and enforce our intellectual property and proprietary rights (including defending against counterfeit, knock offs, grey-market, infringing or otherwise unauthorized goods); and</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our ability to successfully navigate and avoid claims related to the intellectual property and proprietary rights of third parties, which, if successful, could force us to modify or discontinue products, pay significant damages or enter into expensive licensing arrangements with the prevailing party, in addition to other harm, including to our reputation or financial results. </w:t>
            </w:r>
          </w:p>
        </w:tc>
      </w:tr>
    </w:tbl>
    <w:p>
      <w:pPr>
        <w:pStyle w:val="TextBody"/>
        <w:bidi w:val="0"/>
        <w:spacing w:before="0" w:after="0"/>
        <w:ind w:left="720" w:right="63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in sales of our proprietary brands may also adversely affect our sales of the products of certain of our vendors which may, in turn, adversely affect our relationship with such vendors. Our failure to adequately address some or all of these risks could have a material adverse effect on our business, results of operations and financial condition.</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competitors and potential competitors may develop products and technologies that are more effective or commercially attractive than our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products compete against national and regional products and in-house branded products produced by various suppliers, many of which are established companies that provide products that perform functions similar to our products. Our competitors may develop or market products that are more effective or commercially attractive than our current or future products. Some of our competitors have substantially greater financial, operational, marketing, and technical resources than we do. Moreover, some of these competitors may offer a broader array of products and sell their products at prices lower than ours and may have greater name recognition. In addition, if demand for our specialty indoor gardening supplies and products continues to grow, we may face competition from new entrants into our field. Due to this competition, there is no assurance that we will not encounter difficulties in generating or increasing revenues and capturing market share. In addition, increased competition may lead to reduced prices and/or margins for products we sell. We may not have the financial resources, relationships with key suppliers, technical expertise or marketing, distribution, or support capabilities to compete successfully in the future.</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successfully develop new products or improve existing products or maintain our effectiveness in reaching consumers through rapidly evolving communication vehicles.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success depends, in part, upon our ability to improve our existing products and to develop, manufacture and market new products to meet evolving consumer needs. We cannot be certain that we will be successful in developing, manufacturing and marketing new products or product innovations which satisfy consumer needs or achieve market acceptance, or that we will develop, manufacture and market new products or product innovations in a timely manner. If we fail to successfully develop, manufacture and market new products or product innovations, or if we fail to reach existing and potential consumers, our ability to maintain or grow our market share may be adversely affected, which in turn could materially adversely affect our business, financial condition and results of operations. In addition, the development and introduction of new products and product innovations require substantial research, development, and marketing expenditures, which we may be unable to recoup if such new products or innovations do not achieve market acceptance.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of the products we distribute and market, such as our fertilizers and nutrients, contain ingredients that are subject to regulatory approval or registration with certain U.S. state regulators. The need to obtain such approval or registration could delay the launch of new products or product innovations that contain ingredients or otherwise prevent us from developing and manufacturing certain products and product innovations.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The ongoing conflict between Russia and Ukraine may adversely affect our business, financial condition, or results of operations</w:t>
      </w:r>
      <w:r>
        <w:rPr>
          <w:rFonts w:ascii="Times New Roman;Times;Serif" w:hAnsi="Times New Roman;Times;Serif"/>
          <w:b w:val="false"/>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24, 2022, Russia initiated a military offensive in Ukraine. While neither Ukraine nor Russia is a key supplier of ours, the scope, intensity, duration and outcome of the ongoing war is uncertain and its continuation or escalation could have a material adverse effect on iPower due to the general impact on the global supply chain and prices of certain commodities. While we presently have no business or direct trade relationships with entities located in Russia or Ukraine, the ongoing conflict between Russia and Ukraine could potentially cause supply chain disruptions that could disrupt our business should any of our end-suppliers rely on supplies, products or shipments from those regions.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response to the war, the United States, other North Atlantic Treaty Organization (“NATO”) member states, as well as non-member states, have announced targeted economic sanctions on Russia, certain Russian citizens and enterprises. Any continuation or escalation of the war may trigger a series of additional economic and other sanctions. Certain companies have experienced negative reactions from their investors, employees, customers, or other stakeholders as a result of their action or inaction related to the war between Russia and Ukraine. We continue to monitor the reactions of our investors, employees, customers and other stakeholders and, as of the date of this report, have neither experienced any material adverse financial impacts nor suffered from the loss of key customers or employees.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risk of cybersecurity incidents has increased in connection with the ongoing war, driven by justifications such as retaliation for the sanctions imposed in conjunction with the war, or in response to certain companies’ continued operations in Russia. For example, the war has been accompanied by cyberattacks against the Ukrainian government and other countries in the region. It is possible that these attacks could have collateral effects on additional critical infrastructure and financial institutions globally, which could adversely affect our operations and could increase the frequency and severity of cyber-based attacks against our information technology systems. While we have taken actions to mitigate such potential risks, the proliferation of malware from the war into systems unrelated to the war or cyberattacks against U.S. companies in retaliation for U.S. sanctions against Russia or U.S. support of Ukraine, could also adversely affect our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insure ourselves against many types of risks; however, while this insurance may mitigate certain of the risks associated with the ongoing war, our level of insurance may not cover all losses we could incur. The potential effects of these conditions could have a material adverse effect on our business, results of operations and financial condition.</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40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COVID-19 pandemic and the efforts to mitigate its impact may have an adverse effect on our business, liquidity, results of operations, financial condition and price of our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ongoing pandemic involving the novel strain of coronavirus, or COVID-19, and the measures taken to combat it, may have certain and adverse effects on our business. Public health authorities and governments at local, national and international levels have announced various measures to respond to this pandemic. Some measures that directly or indirectly impact our business include:</w:t>
      </w:r>
    </w:p>
    <w:p>
      <w:pPr>
        <w:pStyle w:val="TextBody"/>
        <w:bidi w:val="0"/>
        <w:spacing w:before="0" w:after="0"/>
        <w:ind w:left="0" w:right="0" w:firstLine="720"/>
        <w:jc w:val="both"/>
        <w:rPr>
          <w:caps w:val="false"/>
          <w:smallCaps w:val="false"/>
        </w:rPr>
      </w:pPr>
      <w:r>
        <w:rPr>
          <w:caps w:val="false"/>
          <w:smallCaps w:val="false"/>
        </w:rPr>
        <w:t> </w:t>
      </w:r>
    </w:p>
    <w:tbl>
      <w:tblPr>
        <w:tblW w:w="3955" w:type="dxa"/>
        <w:jc w:val="left"/>
        <w:tblInd w:w="0" w:type="dxa"/>
        <w:tblLayout w:type="fixed"/>
        <w:tblCellMar>
          <w:top w:w="0" w:type="dxa"/>
          <w:left w:w="0" w:type="dxa"/>
          <w:bottom w:w="0" w:type="dxa"/>
          <w:right w:w="0" w:type="dxa"/>
        </w:tblCellMar>
      </w:tblPr>
      <w:tblGrid>
        <w:gridCol w:w="75"/>
        <w:gridCol w:w="95"/>
        <w:gridCol w:w="378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7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voluntary or mandatory quarantines;</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7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restrictions on travel; and</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7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limiting gatherings of people in public places.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were deemed an “essential” business by state and local authorities during the height of the pandemic in the areas in which we operate, we have undertaken the following measures in an effort to mitigate the spread of COVID-19 including limiting business hours, and encouraging employees to work remotely if possible. We also have enacted our business continuity plans, including implementing procedures requiring employees to work remotely where possible which may make maintaining our normal level of corporate operations, quality controls and internal controls difficult. Moreover, the COVID-19 pandemic has caused temporary or long-term disruptions in our supply chains and/or delays in the delivery of our inventory. Further, the COVID-19 pandemic and mitigation efforts have also adversely affected our customers’ financial condition, resulting in reduced spending for the products we sell.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events are rapidly changing, we do not know how long the COVID-19 pandemic and the measures that have been introduced to respond to it will disrupt our operations or the full extent of that disruption. While we have resumed normal business hours and operations in recent months, it is unknown whether we may have additional COVID-19 restrictions or health emergencies in the future. Should we experience such additional restrictions and business disruptions, we may experience unanticipated costs and operational uncertainty. We cannot predict how long the effects of COVID-19 and the efforts to contain it will continue to impact our business after the pandemic is under control. Governments could take additional restrictive measures to combat the pandemic that could further impact our business or the economy in the geographies in which we operate. It is also possible that the impact of the pandemic and response on our suppliers, customers and markets will persist for some time after governments ease their restrictions. These measures have negatively impacted, and may continue to impact, our business and financial condition as the responses to control COVID-19 continue.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We have a limited operating history on which stockholders and potential investors can evaluate our business or base an investment decision.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prospects are difficult to predict given our limited operating history and unproven business strategy. While we inherited in 2018 the business of our predecessor entity, BizRight LLC, an entity through which we acquired certain assets and assumed certain liabilities, we did not begin operations under iPower Inc. (formerly BZRTH Inc.) until our formation in April 2018. Thereafter, we launched our e-commerce platforms, www.Zenhydro.com and www.simpledeluxe.com, where we sell our own in-house branded products, marketed under the iPower and Simple Deluxe brands, and provide distribution for hundreds of other brands manufactured by a number of third-party vendors. Accordingly, the operation of our e-commerce platform, branding and marketing of our own in-house branded products, and our relationships with third-party vendors and suppliers have been limited. If we are unable to effectively maintain our relationships with third-party vendors and suppliers, manage our e-commerce operations, as well as other sales platforms/distribution network, our business is unlikely to succeed. Our business should be viewed in light of these risks, challenges and uncertainties.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 estimated 98% of our sales are carried out through third-party platforms, including Amazon.com, Walmart and eBay; any disruption in our selling efforts on such third party platforms could substantially disrupt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While we maintain our own websites, </w:t>
      </w:r>
      <w:r>
        <w:rPr>
          <w:rFonts w:ascii="Times New Roman;Times;Serif" w:hAnsi="Times New Roman;Times;Serif"/>
          <w:b w:val="false"/>
          <w:i/>
          <w:caps w:val="false"/>
          <w:smallCaps w:val="false"/>
          <w:sz w:val="20"/>
        </w:rPr>
        <w:t>Zenhydro.com and simpledeluxe.com</w:t>
      </w:r>
      <w:r>
        <w:rPr>
          <w:rFonts w:ascii="Times New Roman;Times;Serif" w:hAnsi="Times New Roman;Times;Serif"/>
          <w:b w:val="false"/>
          <w:i w:val="false"/>
          <w:caps w:val="false"/>
          <w:smallCaps w:val="false"/>
          <w:sz w:val="20"/>
        </w:rPr>
        <w:t xml:space="preserve">, as well as our offline wholesale department, which together account for approximately 2% of our sales, the bulk of our overall sales, or approximately 98%, occurred on third party platforms such as </w:t>
      </w:r>
      <w:r>
        <w:rPr>
          <w:rFonts w:ascii="Times New Roman;Times;Serif" w:hAnsi="Times New Roman;Times;Serif"/>
          <w:b w:val="false"/>
          <w:i/>
          <w:caps w:val="false"/>
          <w:smallCaps w:val="false"/>
          <w:sz w:val="20"/>
        </w:rPr>
        <w:t>Amazon.com, Walmart eBay and other platforms</w:t>
      </w:r>
      <w:r>
        <w:rPr>
          <w:rFonts w:ascii="Times New Roman;Times;Serif" w:hAnsi="Times New Roman;Times;Serif"/>
          <w:b w:val="false"/>
          <w:i w:val="false"/>
          <w:caps w:val="false"/>
          <w:smallCaps w:val="false"/>
          <w:sz w:val="20"/>
        </w:rPr>
        <w:t>. As such, should we experience a disruption in our sales on third party platforms, or should such third party platforms somehow come to rank us unfavorably or fail to list our products, this could negatively affect our overall sales and, thus, negatively impact our overall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Many of our suppliers are experiencing operational difficulties as a result of COVID-19, which in turn may have an adverse effect on our ability to provide, or timely provide, products to our customers. Any disruption in our supply chain, including an increase in shipping and/or storage costs, and the consistency and availability of our supply chain, could negatively affect our revenues and overall business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measures being taken to combat the pandemic are impacting our suppliers and may have a destabilizing affect on our supply chain. For example, some manufacturing plants have closed and work at other plants has been curtailed in many places where we source our products. Some of our suppliers have had to temporarily close a facility for disinfecting after employees tested positive for COVID-19, and others have faced staffing shortages from employees who are sick or apprehensive about coming to work. Further, the ability of our suppliers to ship their goods to us has become difficult as transportation networks and distribution facilities have had reduced capacity and have been dealing with changes in the types of goods being shipped, all of which have caused an increase in shipping costs and affected the availability of inventories to meet our sales demand.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Thus, the difficulties experienced by our suppliers have resulted in longer purchase lead times, increased inventory build up as a result of shipping delays, along with increased ocean freight and storage costs. Nonetheless, we have continued to deliver products to our customers and the fact that we do not significantly depend on any one supplier has helped to lessen any disruptions. Nonetheless, should there be any further disruption caused by the pandemic, it may negatively affect our inventory and delay our ability to timely deliver merchandise to our stores and customers, which in turn will adversely affect our revenues and results of operations. If the difficulties experienced by our suppliers continues, we cannot guarantee that we will be able to locate alternative sources of supply for our merchandise on acceptable terms, or at all. If we are unable to purchase appropriate amounts of inventory, our business and results of operations may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Poor economic conditions could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Uncertain global economic conditions, particularly in light of the COVID-19 pandemic, could adversely affect our business. During the COVID-19 pandemic, some of the effects of which are still ongoing, there have been ongoing negative global economic trends, such as decreased consumer and business spending, higher than normal unemployment levels and declining consumer and business confidence. All of these issues have posed challenges to our business and could result in declining revenues, profitability and cash flow. Although we continue to devote significant resources to support our brands, unfavorable economic conditions may negatively affect demand for our products. Our most price-sensitive customers may trade down to lower priced products during challenging economic times or if current economic conditions worsen, while other customers may reduce discretionary spending during periods of economic uncertainty, which could reduce sales volumes of our products in favor of our competitors’ products or result in a shift in our product mix from higher margin to lower margin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Heightened inflation, increased interest rates and other economic conditions including potential recession and credit market disruptions could negatively impact our business.</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demand for our products may be influenced by heightened inflation, increased interest rates and other weak economic conditions including recessionary conditions and credit market disruptions and volatility. Continued weak economic conditions may cause a decrease in demand for our products from our customers. In addition, these economic conditions may adversely impact certain customers, suppliers and other vendors who are highly leveraged. Accordingly, in an environment of heightened inflation, increased interest rates or other recessionary pressures, our business, financial condition and results of operation may be adversely impacted.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Volatile or weakened economic conditions in the U.S. and globally may adversely affect our business and operating results. Moreover, while the recent banking crisis involving the closure of Silicon Valley Bank (“SVB”) and other small banks did not have a material direct impact on our business, continued instability in the global banking system may result in additional bank failures, as well as volatility of global financial markets, either of which may adversely impact our business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overall performance depends in part on U.S. and international macroeconomic conditions. The U.S. and other key international economies, including China, have experienced and may in the future experience significant economic and market downturns in which economic activity is impacted by falling demand for a variety of goods and services, restricted credit, poor liquidity, reduced corporate profitability, volatility in credit, equity and foreign exchange markets, inflation, bankruptcies and overall uncertainty with respect to the economy. These economic conditions can arise suddenly and the full impact of such conditions are impossible to predict. In addition, geopolitical and domestic political developments, such as existing and potential trade wars and other events beyond our control, such as the war in Ukraine and the trade war between the U.S. and China, can increase levels of political and economic unpredictability globally and increase the volatility of global financial markets.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there has been recent turmoil in the global banking system. For example, in March 2023, SVB was closed by the California Department of Financial Protection and Innovation, which appointed the Federal Deposit Insurance Corporation, or the FDIC, as receiver. First-Citizens Bank &amp; Trust Company then assumed all of SVB’s customer deposits and certain other liabilities and acquired substantially all of SVB’s loans and certain other assets from the FDIC. While the closure of SVB, and the subsequent failures of Signature Bank, First Republic Bank and Heartland Tri-State Bank, did not have a material direct impact on our business, continued instability in the global banking system may result in additional bank failures, as well as volatility of global financial markets, either of which may adversely impact our business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Government efforts to combat inflation, along with other interest rate pressures arising from an inflationary economic environment, could lead to higher financing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Inflation has risen on a global basis, the U.S. has been experiencing historically high levels of inflation, and government entities have taken various actions to combat inflation, such as by raising interest rate benchmarks. Government entities may continue their efforts, or implement additional efforts, to combat inflation, which could include, among other things, continuing to raise interest rate benchmarks or maintaining interest rate benchmarks at elevated levels. Such government efforts, along with other interest rate pressures arising from an inflationary economic environment, could lead to higher financing costs and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We rely heavily on our access to the China markets for the production of our products; should U.S. and China trade relations further deteriorate, and should the ongoing trade war continue, our supply chain, and thus our operations and revenues, could be subject to deleterious effects.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heavily reliant on manufacturers in China to produce many of the goods we sell. Approximately 90% of the products we purchased for resale during the fiscal year ending June 30, 2023 were manufactured in and imported from China. At present, we have 13 suppliers in the U.S. and more than 140 suppliers in China. However, all of the goods sourced in China were purchased through our VIE, DHS. The U.S. and China have been involved in ongoing trade disputes, resulting in increased tariffs when such goods arrive in the U.S., among other things. Any changes in U.S. trade policy, or an escalation in the ongoing trade disputes, could trigger retaliatory actions, resulting in “trade wars” and an increase in costs for goods imported into the United States. Such actions could disrupt our supply chain. In addition, increased tariffs could, in turn, reduce customer demand for such products as such tariffs could cause us to have to increase the price at which we sell our goods, or it could result in trading partners limiting their trade with the United States. To date, iPower has absorbed some of the costs related to increased tariffs. However, should we be unable to continue to absorb such costs, or should we need to pass all such costs on to consumers, such increase could cut into our competitive advantage and our volume of sales activity in the United States could be materially reduced. Any such reduction may materially and adversely affect our sales and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China-based subsidiaries, Dayourenzi (Shenzhen) Technology Co., Ltd. and Daheshou (Shenzhen) Information Technology Co., Ltd., through which we procure the majority of our inventory and overseas logistical support, are owned through contractual agreements, as required by the laws of the PRC. As a result, the Chinese government could potentially exercise significant oversight and/or discretion over the business and operations of our China-based subsidiaries and could potentially intervene in or influence the operations of those businesses at any time.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recently acquired two China-based subsidiaries, Dayourenzi (Shenzhen) Technology Co., Ltd. (the WFOE”) and Daheshou (Shenzhen) Information Technology Co., Ltd. (the “Operating Company”). (The WFOE and the Operating Company together are referred to as our “China-based Subsidiaries”). The Operating Company has historically provided the bulk of our China-based procurement and logistical needs and we believe its acquisition will serve to streamline our procurement of goods and shipping, as well as reduce costs by bringing these services in house. Our China-based subsidiaries are owned by us through contractual arrangements with our Hong Kong subsidiary, Fly Elephant Limited, and its parent company, Anivia Limited, a British Virgin Islands company. In addition, our China-based subsidiaries may be at risk of influence by the PRC government as they are subject to the laws, rules and regulations of the PRC, which can be complex and evolve rapidly. The PRC government has the power to exercise significant oversight and discretion over the conduct of our China-based Subsidiaries, and the regulations to which they are subject may change rapidly and with little notice to us or our shareholders. As a result, the application, interpretation, and enforcement of new and existing laws and regulations in the PRC are often uncertain. In addition, these laws and regulations may be interpreted and applied inconsistently by different agencies or authorities, and inconsistently with our own policies and practices. New laws, regulations and other government directives in the PRC may also be costly to comply with, and such compliance or any associated inquiries or investigations or any other government actions may, as regards our China-based subsidiaries: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Delay or impede development,</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Result in negative publicity or increase our operating costs,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Require significant management time and attention, and</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us to remedies, administrative penalties and even criminal liabilities that may harm our business, including fines assessed for our current or historical operations, or demands or orders that we modify or even cease our China-based business practices.</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promulgation of new laws or regulations, or the new interpretation of existing laws and regulations, could restrict or otherwise unfavorably impact the ability or manner in which we conduct the business of our China based subsidiaries and could require us to change certain aspects of their business to ensure compliance, which could delay our procurement of goods, reduce revenues, increase costs, or subject us to additional liabilities. To the extent any new or more stringent measures are required to be implemented in the PRC, our business, financial condition, and results of operations could be adversely affected.</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intense competition that could prohibit us from developing or increasing our customer base.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specialty gardening and hydroponic product industry is highly competitive. We may compete with companies that have greater capital resources and facilities. More established gardening companies with much greater financial resources which do not currently compete with us may be able to easily adapt their existing operations to sell hydroponic growing equipment. Our competitors may also introduce new hydroponic growing equipment, and manufacturers may sell equipment direct to consumers. Due to this competition, there is no assurance that we will not encounter difficulties in increasing revenues and maintaining and/or increasing market share. In addition, increased competition may lead to reduced prices and/or margins for products we sell.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need additional capital to fund the expansion of our operations, we may not be able to obtain sufficient capital on terms favorable to us and may be forced to limit the expansion of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our growth strategies, we may experience increased capital needs and, accordingly, we may not have sufficient capital to fund the future expansion of our operations without additional capital investments. There can be no assurance that additional capital will be available to us on terms favorable to us or at all. If we cannot obtain sufficient capital to fund our expansion, we may be forced to limit the scope of our acquisitions and growth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depends substantially on the continuing efforts of our executive officers and our business may be severely disrupted if we lose their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success depends substantially on the continued services of our executive officers, especially our Chairman, Chief Executive Officer and President, Chenlong Tan. We do not presently maintain key man life insurance on any of our executive officers or directors, although we intend to obtain such insurance in the near future. If one or more of our executive officers are unable or unwilling to continue in their present positions, we may not be able to replace them readily, if at all. The loss of any of our executive officers could cause our business to be disrupted, and we may incur additional and unforeseen expenses to recruit and retain new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not successful in attracting and retaining highly qualified personnel, we may not be able to successfully implement our business strategy.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compete in the highly competitive hydroponics and gardening industry depends in large part upon our ability to attract highly qualified managerial and sales personnel. In order to induce valuable employees to come and work for us and to remain with us, we may provide employees with stock options, restricted stock, restricted stock units that vest over time. The value to employees of such incentive stock and stock options that vest over time will be significantly affected by movements in our stock price that we will not be able to control and may at any time be insufficient to counteract more lucrative offers our employees may receive from other companies. Our success also depends on our ability to continue to attract, retain and motivate highly skilled junior, mid-level and senior personnel. Certain of our executive officers have employment agreements but these agreements do not guarantee us the continued services of such employees. Further, we do not currently offer any health care or retirement benefits to any of our employees, and many of our more established competitors may offer more competitive compensation packages for the kind of personnel that is critical to our company’s survival and success. If we have difficulty identifying, attracting, hiring, training and retaining such qualified personnel, or incur significant costs in order to do so, our business and financial results could be negatively impacted. For example, offering competitive compensation packages may significantly increase our operating expenses and negatively impact our gross profits. Further, the loss of our executive officers or our other key personnel, particularly with little or no notice, could cause delays on business developments and projects and could have an adverse impact on our customers and industry relationships, our business, operating results, or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order to increase our sales and marketing infrastructure, we will need to grow the size of our organization, and we may experience difficulties in managing this growth.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continue to work to increase our presence across the hydroponics market, we will need to expand the size of our employee base for managerial, operational, sales, marketing, financial, human resources, and other areas of specialization. Future growth would impose significant added responsibilities on members of management, including the need to identify, recruit, maintain, motivate, and integrate additional employees. In addition, our management may have to divert a disproportionate amount of its attention away from our day-to-day activities and devote a substantial amount of time to managing these growth activities. Our future financial performance and our ability to continue to grow our operation and effectively compete in the hydroponics industry will depend in part on our ability to effectively manage any future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of our products may be purchased for use in the cannabis industry and/or be subject to varying, inconsistent, and rapidly changing laws, regulations, administrative practices, enforcement approaches, judicial interpretations, and consumer perceptions.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hydroponic gardening products are multi-purpose products designed and intended for growing a wide range of plants and are generally purchased from retailers by end users who may grow any variety of vegetables and plants, including cannabis. As such, we sell hydroponic gardening products that end users may purchase for use in a variety of industries or segments, including the growing of cannabis. The cannabis industry is subject to varying, inconsistent and rapidly changing laws, regulations, administrative practices, enforcement approaches, judicial interpretations and consumer perceptions. For example, certain countries and a total of 46 U.S. states plus the District of Columbia have adopted frameworks that authorize, regulate and tax the cultivation, processing, sale and use of cannabis for medicinal and/or non-medicinal use, including legalization of hemp and CBD, while the U.S. Controlled Substances Act and the laws of U.S. states prohibit growing cannabis.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act solely as a supplier and distributor of hydroponics equipment and supplies, and at no time do we engage in the cultivation, sale, distribution or dispensing of cannabis or any cannabis products or accessories. In addition, we believe that none of our hydroponic equipment and supplies or any other products we sell would be considered paraphernalia under federal drug paraphernalia laws. Similar to Amazon and eBay, we do not advertise or promote our products on our website for use in growing cannabis, nor do we screen or otherwise track how our customers use our products – whether it is to grow flowers, fruits, vegetables or cannabis.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unaware of any threatened or actual law enforcement activity against manufacturers, distributors or retailers of hydroponic supplies that could potentially be used by participants in the cannabis industry, and do not believe that our operations directly or indirectly violate aid and abet violations of the Controlled Substances Act (including Section 856) or other federal laws (including conspiracy laws, money laundering laws, or RICO. Nevertheless, a theoretical risk exists that our activities could be deemed to be facilitating the selling or distribution of cannabis in violation of the Federal Controlled Substances Act, or to constitute aiding or abetting, or being an accessory to, a violation of that Act. Federal authorities have not focused their resources on such tangential or secondary violations of the Act, nor have they threatened to do so, with respect to the sale of equipment that might be used by cannabis gardeners, or with respect to any supplies marketed to participants in the emerging medical cannabis industry. We are unaware of such a broad application of the Controlled Substances Act by federal authorities.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federal government were to change its practices, or were to expend its resources attacking providers of equipment that could be usable by participants in the medical or recreational cannabis industry, such action could have a materially adverse effect on our operations, our customers, or the sale of our products. In addition, we could be faced with or required to expend substantial resources in an effort to comply with new and changing laws and regulations. Such necessary capital expenditures could negatively affect our earnings and competitive position.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demand for our products may be negatively impacted depending on how laws, regulations, administrative practices, enforcement approaches, judicial interpretations and consumer perceptions develop, we cannot reasonably predict the nature of such developments or the effect, if any, that such developments could have on our business.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Continued federal intervention in certain segments of the cannabis industry may have a negative impact on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expect minimal impact on the Company from any federal government crackdown on cannabis providers, a disruption to the cannabis industry could cause some potential customers to be more reluctant to invest in growing equipment, including equipment we sell. Moreover, the federal government’s tactics may change or have unforeseen effects, which could be detrimental to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Acquisitions, other strategic alliances, and investments could result in operating difficulties, dilution, and other harmful consequences that may adversely impact our business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Acquisitions are an important element of our overall corporate development strategy and use of capital, and such transactions could be material to our financial condition and results of operations. We expect to continue to evaluate and enter into discussions regarding a wide array of potential acquisition targets and strategic transactions. The areas where we may face risks in connection with such acquisitions include, but are not limited to, the failure to successfully further develop the acquired business, the implementation or remediation of controls, procedures and policies at the acquired business, the transition of employees, operations, users and customers onto our existing platforms, and cultural challenges associated with integrating employees from the acquired business into our organization, and the continued retention of such employees going forward. Our failure to address these risks or other problems encountered in connection with our acquisitions could cause us to fail to realize the anticipated benefits of such acquisitions, investments or alliances, incur unanticipated liabilities, and harm our business generally.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acquisitions could also result in dilutive issuances of our equity securities, the incurrence of debt, contingent liabilities or amortization expenses, or impairment of goodwill and purchased long-lived assets, and restructuring charges, any of which could harm our financial condition or results of operations and cash flows. In addition, the anticipated benefits and synergies of many of our acquisitions may not materialize.</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ongoing investment in and development of our new in-house branded product line is inherently risky and could disrupt our ongoing businesses.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invested and expect to continue to invest in our own in-house branded product lines. Such endeavors may involve significant risks and uncertainties, including insufficient revenues to offset liabilities assumed and expenses associated with this new investment, inadequate return of capital on our investment, and unidentified issues not discovered in our assessment of such strategy and offerings. Because this venture is inherently risky, no assurance can be given that such strategy and offerings will be successful and will not adversely affect our reputation, financial condition, and operating results.</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effectively execute our e-commerce business, our reputation and operating results may be harmed.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sell certain of our products over the internet through our e-commerce platforms, www.Zenhydro.com and www.simpledeluxe.com. The success of our e-commerce business depends on our investment in this platform, consumer preferences and buying trends relating to e-commerce, and our ability to both maintain the continuous operation of our online store and our fulfillment operations and provide a shopping experience that will generate orders and return visits to our online store.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vulnerable to certain additional risks and uncertainties associated with our e-commerce business, including: changes in required technology interfaces; website downtime and other technical failures; costs and technical issues associated with website software, systems and technology investments and upgrades; data and system security; system failures, disruptions and breaches and the costs to address and remedy such failures, disruptions or breaches; computer viruses; and changes in and compliance with applicable federal and state regulations. In addition, our efforts to remain competitive with technology trends, including the use of new or improved technology, creative user interfaces and other e-commerce marketing tools such as paid search and mobile applications, among others, may increase our costs and may not increase sales or attract consumers. Our failure to successfully respond to these risks and uncertainties might adversely affect the sales of our e-commerce business, as well as damage our reputation and brands.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success of our e-commerce business and the satisfaction of our customers depends on their timely receipt of our products and their ability to pick up their desired products from one of our garden centers. The efficient delivery and/or pick up of our products requires that our garden and distribution centers have adequate capacity to support the current level of e-commerce operations and any anticipated increased levels that may occur as a result of the growth of our e-commerce business. If we encounter difficulties with our garden and distribution centers, or if any garden and distribution centers shut down for any reason, including as a result of fire or other natural disaster, or pursuant to expanded stay-at-home orders or other restrictions due to the current COVID-19 pandemic, we could face shortages of inventory, which would result in our inability to properly our online store. Such a situation could cause us to incur significantly higher costs and lead to longer lead times associated with distributing products to our customers, which could cause us to lose customers. Experiencing any of these issues could have a material adverse effect on our business and harm our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A substantial proportion of our sales occur on Amazon and, as such, should our Company experience any negative actions by Amazon, our sales could be significantly affected.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proportion of our sales occur on the Amazon.com platform. For the years ended June 30, 2023 and 2022, Amazon Vendor and Amazon Seller customers accounted for 91% and 88% of the Company's total revenues, respectively, and as of June 30, 2023 and 2022, accounts receivable from Amazon Vendor and Amazon Seller accounted for 95% and 94% of the Company’s total accounts receivable, respectively. Any disruption in our sales or accessibility to Amazon, or any negative action taken by Amazon related to our sales, could negatively affect our business.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reliance on third-party manufacturers could harm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third parties to manufacture certain of our products. This reliance generates a number of risks, including decreased control over the production process, which could lead to production delays or interruptions and inferior product quality control. In addition, performance problems at these third-party manufacturers could lead to cost overruns, shortages, or other problems, which could increase our costs of production or result in delivery delays to our customers.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one or more of our third-party manufacturers becomes insolvent or unwilling to continue to manufacture products of acceptable quality, at acceptable costs and in a timely manner, our ability to deliver products to our retail customers could be significantly impaired. Substitute manufacturers may not be available or, if available, may be unwilling or unable to manufacture the products we need on acceptable terms. Moreover, if customer demand for our products increases, we may be unable to secure sufficient additional capacity from our current third-party manufacturers, or others, on commercially reasonable terms, or at all.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reliance on a limited base of suppliers for certain products, such as light ballasts, may result in disruptions to our business and adversely affect our financial results.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a limited number of suppliers for certain of our hydroponic products and other supplies. For the years ended June 30, 2023 and 2022, one supplier accounted for 27% and 18% of the Company's total purchases, respectively. Such reliance on a limited number of suppliers may increase our risk of experiencing disruptions in our business. As we do not have any long-term supply agreements, in the event we are unable to maintain supplier arrangements and relationships, if we are unable to contract with suppliers at the quantity and quality levels needed for our business, if any of our key suppliers becomes insolvent or experience other financial distress or if any of our key suppliers is negatively impacted by COVID-19, including with respect to staffing and shipping of products, we could experience disruptions in our supply chain, which could have a material adverse effect on our financial condition, results of operations and cash flows.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continue to implement risk-mitigation strategies for single-source suppliers, we rely on a limited number of suppliers for certain of our products. If we are unable to maintain supplier arrangements and relationships, if we are unable to contract with suppliers at the quantity and quality levels needed for our business, or if any of our key suppliers becomes insolvent or experience other financial distress, we could experience disruptions in production, which could have a material adverse effect on our financial condition, results of operations and cash flows.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significant interruption in the operation of our or our suppliers’ facilities could impact our capacity to produce products and service our customers, which could adversely affect revenues and earnings.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Operations at our and our suppliers’ facilities are subject to disruption for a variety of reasons, including fire, flooding or other natural disasters, disease outbreaks or pandemics, acts of war, terrorism, government shut-downs and work stoppages. A significant interruption in the operation of our or our suppliers’ facilities, especially for those products manufactured at a limited number of facilities, such as fertilizer and liquid products, could significantly impact our capacity to sell products and service our customers in a timely manner, which could have a material adverse effect on our customer relationships, revenues, earnings, and financial position.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our suppliers are unable to source raw materials in sufficient quantities, on a timely basis, and at acceptable costs, our ability to sell our products may be harmed.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manufacture of some of our products is complex and requires precise high-quality manufacturing that is difficult to achieve. We have in the past, and may in the future, experience difficulties in manufacturing our products on a timely basis and in sufficient quantities. These difficulties have primarily related to difficulties associated with ramping up production of newly introduced products and may result in increased delivery lead-times and increased costs of manufacturing these products. Our failure to achieve and maintain the required high manufacturing standards could result in further delays or failures in product testing or delivery, cost overruns, product recalls or withdrawals, increased warranty costs or other problems that could harm our business and prospects.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the required quantities of our products and the manufacturing schedule, we must make significant judgments and estimates based on historical experience, inventory levels, current market trends and other related factors. Because of the inherent nature of estimates, there could be significant differences between our estimates and the actual amounts of products we require, which could harm our business and results of operations.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Disruptions in availability or increases in the prices of raw materials sourced by suppliers could adversely affect our results of operations.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source many of our product components from outside of the United States. The general availability and price of those components can be affected by numerous forces beyond our control, including political instability, the conflict between Russia and Ukraine, trade restrictions and other government regulations, duties and tariffs, price controls, changes in currency exchange rates and weather. A significant disruption in the availability of any of our key product components could negatively impact our business. In addition, increases in the prices of key commodities and other raw materials could adversely affect our ability to manage our cost structure. Market conditions may limit our ability to raise selling prices to offset increases in our raw material costs. Our proprietary technologies can limit our ability to locate or utilize alternative inputs for certain products. For certain inputs, new sources of supply may have to be qualified under regulatory standards, which can require additional investment and delay bringing a product to market.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our suppliers that currently, or in the future, sell directly to the retail market in which we conduct our current or future business, enhance these efforts and cease or decrease their sales through us, our ability to sell certain products could be harmed.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distribution and sales and marketing capabilities provide significant value to our suppliers. Distributed brand suppliers sell through us in order to access thousands of retail and commercial customers across the United States with short order lead times, no minimum order quantity on individual items, free or minimal freight expense and trade credit terms. Based on our knowledge and communication with our suppliers, we believe some of our suppliers sell directly to the retail market. If these suppliers were to cease working with us or proceed to enhance their direct-to-customer efforts, our product offerings, reputation, operation and business could be materially adversely affected.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operations may be impaired if our information technology systems fail to perform adequately or if we are the subject of a data breach or cyber-attack.</w:t>
      </w:r>
    </w:p>
    <w:p>
      <w:pPr>
        <w:pStyle w:val="TextBody"/>
        <w:shd w:fill="FFFFFF" w:val="clear"/>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information technology systems to conduct our business, including communicating with employees and our key commercial customers, ordering, and managing materials from suppliers, shipping products to customers and analyzing and reporting results of operations. While we have taken steps to ensure the security of our information technology systems, our systems may nevertheless be vulnerable to computer viruses, security breaches and other disruptions from unauthorized users. If our information technology systems are damaged or cease to function properly for an extended period of time, whether as a result of a significant cyber incident or otherwise, our ability to communicate internally as well as with our retail customers could be significantly impaired, which may adversely impact our business.</w:t>
      </w:r>
    </w:p>
    <w:p>
      <w:pPr>
        <w:pStyle w:val="TextBody"/>
        <w:shd w:fill="FFFFFF" w:val="clear"/>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in the normal course of our business, we collect, store, and transmit proprietary and confidential information regarding our customers, employees, suppliers and others, including personal information. An operational failure or breach of security from increasingly sophisticated cyber threats could lead to loss, misuse or unauthorized disclosure of this information about our employees or customers, which may result in regulatory or other legal proceedings, and have a material adverse effect on our business and reputation. We also may not have the resources or technical sophistication to anticipate or prevent rapidly evolving types of cyber-attacks. Any such attacks or precautionary measures taken to prevent anticipated attacks may result in increasing costs, including costs for additional technologies, training, and third-party consultants. The losses incurred from a breach of data security and operational failures as well as the precautionary measures required to address this evolving risk may adversely impact our financial condition, results of operations and cash flows.</w:t>
      </w:r>
    </w:p>
    <w:p>
      <w:pPr>
        <w:pStyle w:val="TextBody"/>
        <w:shd w:fill="FFFFFF" w:val="clear"/>
        <w:bidi w:val="0"/>
        <w:spacing w:before="0" w:after="0"/>
        <w:ind w:left="0" w:right="0" w:firstLine="480"/>
        <w:jc w:val="both"/>
        <w:rPr>
          <w:caps w:val="false"/>
          <w:smallCaps w:val="false"/>
        </w:rPr>
      </w:pPr>
      <w:r>
        <w:rPr>
          <w:caps w:val="false"/>
          <w:smallCaps w:val="false"/>
        </w:rPr>
        <w:t> </w:t>
      </w:r>
    </w:p>
    <w:p>
      <w:pPr>
        <w:pStyle w:val="TextBody"/>
        <w:shd w:fill="FFFFFF" w:val="clear"/>
        <w:bidi w:val="0"/>
        <w:spacing w:before="0" w:after="0"/>
        <w:ind w:left="0" w:right="0" w:firstLine="480"/>
        <w:jc w:val="both"/>
        <w:rPr>
          <w:caps w:val="false"/>
          <w:smallCaps w:val="false"/>
        </w:rPr>
      </w:pPr>
      <w:r>
        <w:rPr>
          <w:caps w:val="false"/>
          <w:smallCaps w:val="false"/>
        </w:rPr>
        <w:t> </w:t>
      </w:r>
    </w:p>
    <w:p>
      <w:pPr>
        <w:pStyle w:val="TextBody"/>
        <w:shd w:fill="FFFFFF" w:val="clear"/>
        <w:bidi w:val="0"/>
        <w:spacing w:before="0" w:after="0"/>
        <w:ind w:left="0" w:right="0" w:firstLine="48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collect, process, store, use, and share information collected from or about purchasers and users of our website and products. The collection and use of personal information, and analysis and sharing of user data and unique identifiers to inform advertising subject us to legislative and regulatory burdens, may expose us to liability, and our actual or perceived failure to adequately protect consumer data could harm our brand, our reputation in the marketplace and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wide variety of provincial, state, national, foreign, and international laws and regulations apply to the collection, use, retention, protection, disclosure, transfer, and other processing of personal information. These privacy and data protection-related laws and regulations are evolving, extensive, and complex. Compliance with these laws and regulations can be costly and can delay or impede the development and offering of new products. In addition, the interpretation and application of privacy and data protection-related laws in some cases is uncertain, and our legal and regulatory obligations are subject to frequent changes, including the potential for various regulator or other governmental bodies to enact new or additional laws or regulations, to issue rulings that invalidate prior laws or regulations, or to increase penalties.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engage in interest-based advertising on our e-commerce website. U.S. and foreign governments have enacted or are considering legislation related to digital advertising and we expect to see an increase in legislation and regulation related to digital advertising, the collection and use of user data and unique device identifiers, such as IP address, and other data protection and privacy regulation. Such laws and legislation could affect our costs of doing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while we strive to publish and prominently display privacy policies that are accurate, comprehensive, and fully implemented, we cannot assure you that our privacy policies and other statements regarding our practices will be sufficient to protect us from liability or adverse publicity relating to the privacy and security of information about consumers or their devices. Any failure or perceived failure by us to comply with our privacy policies, our privacy-related obligations to consumers or other third parties, or our privacy-related legal obligations, including laws and regulations regulating privacy, data security, or consumer protection, or any compromise of security that results in the unauthorized release or transfer of personal information, may result in proceedings or actions against us, legal liability, governmental enforcement actions, and litigation. Furthermore, any such proceedings or actions, or public statements against us by consumer advocacy groups or others, could cause our customers to lose trust in us, which could have an adverse effect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if third parties we work with, such as customers, advertisers, vendors or developers, violate our contractual limitations on data use or sharing, applicable laws or our policies, such violations may also put consumers’ information at risk and could in turn have an adverse effect on our business. If third parties improperly obtain and use the information from or about our consumers or their devices, we may be required to expend significant resources to resolve these problems.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are subject to certain contractual obligations to indemnify and hold harmless advertisers, marketing technology companies and other users of our data from the costs or consequences of noncompliance with privacy-related laws, regulations, self-regulatory requirements or other legal obligations, or inadvertent or unauthorized use or disclosure of data that we store or handle as part of providing our products.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adequately protect our intellectual property and other proprietary rights that are material to our business.</w:t>
      </w:r>
    </w:p>
    <w:p>
      <w:pPr>
        <w:pStyle w:val="TextBody"/>
        <w:shd w:fill="FFFFFF" w:val="clear"/>
        <w:bidi w:val="0"/>
        <w:spacing w:before="0" w:after="0"/>
        <w:ind w:left="0" w:right="0" w:firstLine="495"/>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compete effectively depends in part on intellectual property rights we own or license, particularly our registered brand names. We have not sought to register every one of our marks either in the United States or other countries in which such mark is used. Furthermore, because of the differences in foreign intellectual property or proprietary rights laws, we may not receive the same protection in other countries as we would in the United States with respect to the registered brand names we hold. If we are unable to protect our intellectual property, proprietary information and/or brand names, we could suffer a material adverse effect on our business, financial condition and results of operations. In addition, we may be required to license additional intellectual property and technology from third parties, which may be expensive.</w:t>
      </w:r>
    </w:p>
    <w:p>
      <w:pPr>
        <w:pStyle w:val="TextBody"/>
        <w:shd w:fill="FFFFFF" w:val="clear"/>
        <w:bidi w:val="0"/>
        <w:spacing w:before="0" w:after="0"/>
        <w:ind w:left="0" w:right="0" w:firstLine="495"/>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may be necessary to enforce our intellectual property rights and protect our proprietary information, or to defend against claims by third parties that our products or services infringe their intellectual property rights. Any litigation or claims brought by or against us could result in substantial costs and diversion of our resources. A successful claim of intellectual property infringement against us, or any other successful challenge to the use of our intellectual property, could subject us to damages or prevent us from providing certain products or services, or using certain of our recognized brand names, which could have a material adverse effect on our business, financial condition, and results of operations.</w:t>
      </w:r>
    </w:p>
    <w:p>
      <w:pPr>
        <w:pStyle w:val="TextBody"/>
        <w:shd w:fill="FFFFFF" w:val="clear"/>
        <w:bidi w:val="0"/>
        <w:spacing w:before="0" w:after="0"/>
        <w:ind w:left="0" w:right="0" w:firstLine="480"/>
        <w:jc w:val="both"/>
        <w:rPr>
          <w:caps w:val="false"/>
          <w:smallCaps w:val="false"/>
        </w:rPr>
      </w:pPr>
      <w:r>
        <w:rPr>
          <w:caps w:val="false"/>
          <w:smallCaps w:val="false"/>
        </w:rPr>
        <w:t> </w:t>
      </w:r>
    </w:p>
    <w:p>
      <w:pPr>
        <w:pStyle w:val="TextBody"/>
        <w:shd w:fill="FFFFFF" w:val="clear"/>
        <w:bidi w:val="0"/>
        <w:spacing w:before="0" w:after="0"/>
        <w:ind w:left="0" w:right="0" w:firstLine="480"/>
        <w:jc w:val="both"/>
        <w:rPr>
          <w:caps w:val="false"/>
          <w:smallCaps w:val="false"/>
        </w:rPr>
      </w:pPr>
      <w:r>
        <w:rPr>
          <w:caps w:val="false"/>
          <w:smallCaps w:val="false"/>
        </w:rPr>
        <w:t> </w:t>
      </w:r>
    </w:p>
    <w:p>
      <w:pPr>
        <w:pStyle w:val="TextBody"/>
        <w:shd w:fill="FFFFFF" w:val="clear"/>
        <w:bidi w:val="0"/>
        <w:spacing w:before="0" w:after="0"/>
        <w:ind w:left="0" w:right="0" w:firstLine="48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develop, license or acquire new products, enhance the capabilities of our existing products to keep pace with rapidly changing technology and customer requirements, or successfully manage the transition to new product offerings, any of which could have a material adverse effect on our business, financial condition, and results of operations.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success depends on our ability to develop, license, or acquire and commercialize additional products and to develop new applications for our technologies in existing and new markets, while improving the performance and cost-effectiveness of our existing products, in each case in ways that address current and anticipated customer requirements. We intend to develop and commercialize additional products through our research and development program and by licensing or acquiring additional products and technologies from third parties. Such </w:t>
      </w:r>
      <w:r>
        <w:rPr>
          <w:rFonts w:ascii="Times New Roman;Times;Serif" w:hAnsi="Times New Roman;Times;Serif"/>
          <w:b w:val="false"/>
          <w:i w:val="false"/>
          <w:caps w:val="false"/>
          <w:smallCaps w:val="false"/>
          <w:sz w:val="20"/>
          <w:shd w:fill="FFFFFF" w:val="clear"/>
        </w:rPr>
        <w:t>success is dependent upon several factors, including functionality, competitive pricing, ease of use, the safety and efficacy of our products and our ability to identify, select and acquire the rights to products and technologies on terms that are acceptable to us.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The hydroponics industry is characterized by rapid technological change and innovation. New technologies, techniques or products may emerge that might offer better combinations of price and performance or better address customer requirements as compared to our current or future products, as well as those products of third-party vendors that we make available for sale. Competitors who have greater financial, marketing and sales resources than we do may be able to respond more quickly and effectively than we can to new or changing opportunities, technologies, standards, or customer requirements. Any new product we identify for internal development, licensing or acquisition may require additional development efforts prior to commercial sale. Due to the significant lead time and complexity involved in bringing a new product to the market, we are required to make a number of assumptions and estimates regarding the commercial feasibility of a new product. These assumptions and estimates may prove incorrect, resulting in our introduction of a product that is not competitive at the time of launch. We anticipate that we will face increased competition in the future as existing companies and competitors develop new or improved products and as new companies enter the market with new technologies and sales mechanisms which we may be unable to adopt or offer for sale. Our ability to mitigate downward pressure on the prices of the products that we offer for sale will be dependent on our ability to maintain and/or increase the value we offer to suppliers, vendors, strategic partners, and consumers. All new products are prone to risks of failure inherent in hydroponic technology development. In addition, we cannot assure you that any such products that we develop or offer for sale will be manufactured or produced economically, successfully commercialized or widely accepted in the marketplace. The expenses or losses associated with unsuccessful product development or launch activities, or a lack of market acceptance of new products, could adversely affect our business, financial condition, and results of operation.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Our ability to attract new customers and increase revenue from existing customers depends in large part on our ability to enhance and improve our own products, maintain relationships with other vendors and suppliers, and to make compelling new products available for sale through our enterprise. Any new product that we develop or offer for sale may not be introduced in a timely or cost-effective manner, may contain defects or may not achieve the marketplace acceptance necessary to generate significant revenue. If we are unable to successfully develop, license or acquire new products to make available for sale, enhance our existing inventory offerings to meet customer requirements, or otherwise gain market acceptance, our business and financial condition and results of operation would be harmed.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identified certain material weaknesses in our internal control over financial reporting and may experience material weaknesses in the future or otherwise fail to maintain an effective system of internal controls in the future, as a result of which, we may not be able to accurately report our financial condition or results of operations which may adversely affect investor confidence in us and, as a result, the value of our common stock.</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internal controls over financial reporting are necessary for us to provide reliable financial reports. If we cannot maintain effective controls and reliable financial reports, our business and operating results could be harmed. Our management has conducted an evaluation of the effectiveness of our internal controls over financial reporting and concluded that our internal controls over financial reporting were not effective because, among other things, (i) we lack effective communication and reconciliation procedures in our controlled subsidiaries, and (ii) our controls related to the financial statements closing process were not adequately designed or appropriately implemented to identify material misstatements in our financial reporting on a timely basis.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evaluated remediation plans for the deficiency and has implemented changes to address the material weakness identified, including hiring additional accountants and consultants and implementing controls and procedures over financial reporting process.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The effectiveness of our controls and procedures may be limited by a variety of factors,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faulty human judgment and simple errors, omissions, or mistakes; </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fraudulent action of an individual or collusion of two or more people;</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inappropriate management override of procedures; and</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possibility that any enhancements to controls and procedures may still not be adequate to assure timely and accurate financial control.</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management and independent registered public accounting firm has not performed an evaluation of our internal control over financial reporting during any period in accordance with the provisions </w:t>
      </w:r>
      <w:r>
        <w:rPr>
          <w:rFonts w:ascii="Times New Roman;Times;Serif" w:hAnsi="Times New Roman;Times;Serif"/>
          <w:b w:val="false"/>
          <w:i w:val="false"/>
          <w:caps w:val="false"/>
          <w:smallCaps w:val="false"/>
          <w:sz w:val="20"/>
          <w:shd w:fill="FFFFFF" w:val="clear"/>
        </w:rPr>
        <w:t>under Section 404(b)</w:t>
      </w:r>
      <w:r>
        <w:rPr>
          <w:rFonts w:ascii="Times New Roman;Times;Serif" w:hAnsi="Times New Roman;Times;Serif"/>
          <w:b w:val="false"/>
          <w:i w:val="false"/>
          <w:caps w:val="false"/>
          <w:smallCaps w:val="false"/>
          <w:sz w:val="20"/>
        </w:rPr>
        <w:t xml:space="preserve"> of Sarbanes-Oxley Act. Had we performed an evaluation and had our independent registered public accounting firm performed an audit of our internal control over financial reporting in accordance with the provisions of Sarbanes-Oxley Act, additional control deficiencies amounting to material weaknesses may have been identified. If we fail to remedy any material weakness, our financial statements may be inaccurate, our access to the capital markets may be restricted and the trading price of our common stock may suffer.</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Prior to our initial public offering in 2021, we unilaterally terminated an engagement agreement with Boustead Securities LLC and may be subject to litigation or arbitration in the event we are not able to come to agreement on amounts Boustead deems itself to be owed under such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an engagement agreement, dated and effective August 31, 2020 (the “Engagement Agreement”), with Boustead Securities LLC (“Boustead”), we engaged Boustead to act as our exclusive placement agent for private placements of our securities and as a potential underwriter for our initial public offering. The Engagement Agreement set forth certain terms and conditions, including that in the event the Company completed a private placement or a public offering of its securities, Boustead would receive (i) cash compensation equal to 7% of the offering proceeds, plus (ii) a non-accountable expense allowance equal to 1% of the gross amount to be disbursed to the Company, plus (iii) warrants to purchase the equivalent of 7% of the stock issued in such offering. The term of the Engagement Agreement was the later to occur of (i) 18 months from the date Boustead received an executed copy of the Engagement Agreement from the Company or (ii) 12 months from the completion date of the initial public offering or (iii) the mutual written agreement of the Company and Boustead. Upon the termination or expiration of the Engagement Agreement, the Company was required to pay to Boustead any out-of-pocket expenses incurred up to the date thereof. In addition, upon termination or expiration of the Engagement Agreement, Boustead was entitled to a success fee, as set forth in the Engagement Agreement, if the Company completed a sale, merger, acquisition, joint venture, strategic alliance, or other similar agreement with a party, including the pre-IPO and IPO investors, or which became aware of the Company or which became known to the Company prior to such termination or expiration, during the twelve (12) month period following the termination or expiration of the Engagement Agreement. On February 28, 2021 we informed Boustead that we were terminating the Engagement Agreement and any continuing obligations we may have had under its terms. On April 15, 2021, we provided formal written notice to Boustead of our termination of the Engagement Agreement and all obligations thereunder, effective immediately. On April 16, 2021, counsel to Boustead advised us that they believed our termination of the Engagement Agreement was improper and threatened to seek immediate judicial intervention to obtain injunctive relief and damages. On April 21, 2021, our special litigation counsel responded to such allegations and threats, refuting Boustead’s claims. On April 23, 2021, counsel to Boustead provided written notice stating that, subject to the size of our initial public offering, they believe they will be entitled to 7% of the capital raised in addition to warrants. On April 30, 2021, Boustead filed a statement of claim with the Financial Industry Regulatory Authority, or FINRA, demanding to arbitrate the dispute, and is seeking, among other things, monetary damages against the Company and D.A. Davidson &amp; Co. A pre-hearing conference is presently scheduled for the matter on September 26, 2023. The matter had been previously scheduled to be heard before a FINRA arbitration panel in late September and October. However, those hearing dates have been cancelled and have yet to be rescheduled. While we believe we have meritorious defenses against Boustead’s claims, we cannot provide assurance that any potential monetary damages arising from the Boustead dispute will not be in excess of 7% of the capital raised in our initial public offering. The party prevailing in any proceeding under the Engagement Agreement may be entitled to their costs and attorneys’ fees, which could be substantial. As such, any proceeding arising from our Engagement Agreement with Boustead may be expensive to defend and could result in a substantial settlement payment or damages award, and there can be no assurance of a favorable outcome for us. In addition, we have indemnified D.A. Davidson &amp; Co. and the other underwriters against any liability or expenses they may be subject to or incur in connection with the Boustead dispute.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Risk Factors Related to Our Business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Litigation may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in the normal course of our business operations, we may become subject to litigation that may result in liability material to our financial statements as a whole or may negatively affect our operating results if changes to our business operations are required. The cost to defend such litigation may be significant and may require a diversion of our resources. There also may be adverse publicity associated with litigation that could negatively affect customer perception of our business, regardless of whether the allegations are valid or whether we are ultimately found liable. As a result, litigation may adversely affect our business, financial condition, and results of operations. Since inception, aside from a dispute with the placement agent of our 2020-2021 pre-IPO private placements, the Company has not been a party to any material litigation. See “Item 3. Legal Proceedings” for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product liability lawsuits are brought against us, we may incur substantial liabilities.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a potential risk of product liability resulting from the sale of our products. For example, we may be sued if any product we sell allegedly causes injury or is found to be otherwise unsuitable during product testing, manufacturing, marketing, or sale. Any such product liability claim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Even successful defense would require significant financial and management resources. Regardless of the merits or eventual outcome, liability claims may result in:</w:t>
      </w:r>
    </w:p>
    <w:p>
      <w:pPr>
        <w:pStyle w:val="TextBody"/>
        <w:bidi w:val="0"/>
        <w:spacing w:before="0" w:after="0"/>
        <w:ind w:left="0" w:right="0" w:firstLine="720"/>
        <w:jc w:val="both"/>
        <w:rPr>
          <w:caps w:val="false"/>
          <w:smallCaps w:val="false"/>
        </w:rPr>
      </w:pPr>
      <w:r>
        <w:rPr>
          <w:caps w:val="false"/>
          <w:smallCaps w:val="false"/>
        </w:rPr>
        <w:t> </w:t>
      </w:r>
    </w:p>
    <w:tbl>
      <w:tblPr>
        <w:tblW w:w="6925" w:type="dxa"/>
        <w:jc w:val="left"/>
        <w:tblInd w:w="0" w:type="dxa"/>
        <w:tblLayout w:type="fixed"/>
        <w:tblCellMar>
          <w:top w:w="0" w:type="dxa"/>
          <w:left w:w="0" w:type="dxa"/>
          <w:bottom w:w="0" w:type="dxa"/>
          <w:right w:w="0" w:type="dxa"/>
        </w:tblCellMar>
      </w:tblPr>
      <w:tblGrid>
        <w:gridCol w:w="75"/>
        <w:gridCol w:w="95"/>
        <w:gridCol w:w="675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7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decreased demand for products that we may offer for sale;</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7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injury to our reputation;</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7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costs to defend the related litigation;</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7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diversion of management’s time and our resources;</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7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substantial monetary awards to trial participants or patients;</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7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product recalls, withdrawals or labeling, marketing or promotional restrictions; and</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7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decline in the value of our stock.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inability to obtain and retain sufficient product liability insurance at an acceptable cost to protect against potential product liability claims could prevent or inhibit the commercialization of products we develop. We do not maintain any product liability insurance. Even if we obtain product liability insurance in the future, we may have to pay amounts awarded by a court or negotiated in a settlement that exceed our coverage limitations or that are not covered by our insurance, and we may not have, or be able to obtain, sufficient capital to pay such amounts.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obtain insurance coverage adequate to cover all significant risk exposures.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ordinary course of business, we anticipate that we will be exposed to certain liabilities that are unique to the products we provide. We currently maintain only general liability, umbrella liability, business personal property and business income insurance policies and there can be no assurance that we will acquire or maintain insurance for certain risks, that the amount of our insurance coverage will be adequate to cover all claims or liabilities, or that we will not be forced to bear substantial costs resulting from risks and uncertainties of business. It is also not possible to obtain insurance to protect against all operational risks and liabilities. The failure to obtain and maintain adequate insurance coverage on terms favorable to us, or at all,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Unanticipated changes in our tax provisions, the adoption of new tax legislation or exposure to additional tax liabilities could affect our profitability and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there are significant changes in federal or state tax law provisions, or in the event there is new and additional tax legislation adopted, we could be exposed to additional tax liabilities. Such additional tax liabilities could have an effect on our net income and profit margins.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of our products sell on a seasonal basis, resulting in fluctuations in our cash flow, inventory, and accounts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seasonality of certain products, such as planting equipment, ventilation equipment, grow light systems, or harvesting equipment related to certain produce that grows on a seasonal basis, our business is likely to cause cash and cash equivalents, inventory, and accounts payable to fluctuate, resulting in changes in our working capital.</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results of operations could be materially harmed if we are unable to accurately forecast customer demand for our products and manage our inventory.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seek to maintain sufficient levels of inventory in order to protect ourselves from supply interruptions. To ensure adequate inventory supply and manage our operations with our third-party vendors, manufacturers and suppliers, we forecast anticipated materials requirements and demand for our products in order to predict inventory needs and then place orders with our suppliers based on these predictions. Our ability to accurately forecast demand for our products could be negatively affected by many factors, including our limited historical commercial experience, rapid growth, failure to accurately manage our expansion strategy, product introductions by competitors, an increase or decrease in customer demand for our products, our failure to accurately forecast customer acceptance of new products, unanticipated changes in general market conditions or regulatory matters and weakening of economic conditions or consumer confidence in future economic conditions.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levels in excess of customer demand, including as a result of our introduction of product enhancements, may result in a portion of our inventory becoming obsolete or expiring, as well as inventory write-downs or write-offs, which could have a material adverse effect on our business, financial condition and results of operations. Conversely, if we underestimate customer demand for our and those third-party products we offer for sale, vendors, manufacturers and suppliers may not be able to deliver those materials necessary to meet our requirements, which could result in inadequate inventory levels or interruptions, delays or cancellations of deliveries to our customers, any of which would damage our reputation, customer relationships and business. In addition, several products that we offer for sale may require lengthy order lead times, and additional supplies or materials may not be available when required on terms that are acceptable to us, or at all, and our third-party manufacturers and suppliers may not be able to allocate sufficient capacity in order to meet our increased requirements, any of which could have an adverse effect on our ability to meet customer demand for our products and our business, financial condition and results of operations.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failure of third parties to meet their contractual, regulatory, and other obligations could adversely affect our business.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suppliers, vendors, outsourcing partners, consultants, alliance partners and other third parties to research, develop, manufacture and commercialize our products. Using these third parties poses a number of risks, such as: (i) they may not perform to our standards or legal requirements; (ii) they may not produce reliable results; (iii) they may not perform in a timely manner; (iv) they may not maintain confidentiality of our proprietary information; (v) disputes may arise with respect to ownership of rights to technology developed with our partners; and (vi) disagreements could cause delays in, or termination of, the research, development or commercialization of our products or result in litigation or arbitration. Moreover, some third parties are located in markets subject to political and social risk, corruption, infrastructure problems and natural disasters, in addition to country-specific privacy and data security risk given current legal and regulatory environments. Failure of third parties to meet their contractual, regulatory and other obligations may have a material adverse effect on our business, financial condition and results of operations.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sizes of the markets for our current and future products have not been established with precision and may be smaller than we estimate.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estimates of the total addressable markets for our current products, products under development and third-party products that we offer for sale are based on a number of internal and third party estimates and the assumed prices at which we can sell such products in markets that have not been established or that we have not yet entered. While we believe our assumptions and the data underlying our estimates are reasonable, these assumptions and estimates may not be correct and the conditions supporting our assumptions or estimates may change at any time, thereby reducing the predictive accuracy of these estimates. As a result, our estimates of the total addressable market for our current or future products may prove to be incorrect. If the actual number of consumers who would benefit from the products we offer, the price at which we can sell such products, or the total addressable market for such products is smaller than we have estimated, it may impair our sales growth and have an adverse impact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COVID-19 pandemic may have the effect of heightening many of the other risks described in this “Risk Factors” section.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the COVID-19 pandemic may adversely affect our business and financial results, it may also have the effect of heightening many of the other risks described in this “Risk Factors” section, as well as other risks which we may not be currently aware 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conflict between Russia and Ukraine may have the effect of heightening many of the other risks described in this “Risk Factors” section.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the conflict between Russia and Ukraine may adversely affect our business and financial results, it may also have the effect of heightening many of the other risks described in this “Risk Factors” section, as well as other risks which we may not be currently aware 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Doing Business with the Cannabis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 xml:space="preserve">While our business includes both the hobbyist gardener, and is not exclusively reliant on the cannabis grower, </w:t>
      </w:r>
      <w:r>
        <w:rPr>
          <w:rFonts w:ascii="Times New Roman;Times;Serif" w:hAnsi="Times New Roman;Times;Serif"/>
          <w:b/>
          <w:i w:val="false"/>
          <w:caps w:val="false"/>
          <w:smallCaps w:val="false"/>
          <w:sz w:val="20"/>
        </w:rPr>
        <w:t xml:space="preserve">our </w:t>
      </w:r>
      <w:r>
        <w:rPr>
          <w:rFonts w:ascii="Times New Roman;Times;Serif" w:hAnsi="Times New Roman;Times;Serif"/>
          <w:b/>
          <w:i/>
          <w:caps w:val="false"/>
          <w:smallCaps w:val="false"/>
          <w:sz w:val="20"/>
        </w:rPr>
        <w:t>growth is nonetheless substantially dependent on the growth and stabilization of the U.S. cannabis market. New California regulations caused licensing shortages and future regulations may create other limitations that decrease the demand for our products. State level regulations adopted in the future may adversely impact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base of growers in the U.S. has grown over the past 20 years since the legalization of cannabis for medical uses in states such as California, Colorado, Michigan, Nevada, New Jersey, Oregon, and Washington, with a large number of those growers depending on products similar to those we distribute. The U.S. cannabis market is still in its infancy and early adopter states such as California, Colorado and Washington represent a large portion of historical industry revenues. If the U.S. cannabis cultivation market does not grow as expected, our business, financial condition and results of operations could be adversely impacted.</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Cannabis remains illegal under U.S. federal law, with it listed as a Schedule I substance under the Controlled Substances Act (CSA). Notwithstanding laws in various states permitting certain cannabis activities, all activities, including possession, distribution, processing and manufacturing of cannabis and investment in, and financial services or transactions involving proceeds of, or promoting such activities remain illegal under various U.S. federal criminal and civil laws and regulations, including the CSA, as well as laws and regulations of several states that have not legalized some or any cannabis activities to date. Compliance with applicable state laws regarding cannabis activities does not protect us from federal prosecution or other enforcement action, such as seizure or forfeiture remedies, nor does it provide any defense to such prosecution or action. Cannabis activities conducted in or related to conduct in multiple states may potentially face a higher level of scrutiny from federal authorities. Penalties for violating federal drug, conspiracy, aiding, abetting, bank fraud and/or money laundering laws may include prison, fines, and seizure/forfeiture of property used in connection with cannabis activities, including proceeds derived from such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sales through our own platforms, www.Zenhydro.com and www.simpledeluxe.com, we sell our products through third-party retailers and resellers. However, it is evident to us that the movement towards the legalization of cannabis in the U.S. and its legalization in Canada has ultimately had a significant and positive impact on our industry. We are not currently subject directly to any state laws or regulations controlling participants in the legal cannabis industry. However, regulation of the cannabis industry does impact those that we believe represent many end-users for our products and, accordingly, there can be no assurance that changes in regulation of the industry and more rigorous enforcement by federal authorities will not have a material adverse effect on us.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Legislation and regulations pertaining to the use and cultivation of cannabis are enacted on both the state and federal government level within the United States. As a result, the laws governing the cultivation and use of cannabis may be subject to change. Any new laws and regulations limiting the use or cultivation of cannabis and any enforcement actions by state and federal governments could indirectly reduce demand for our products and may impact our current and planned future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Individual state laws regarding the cultivation and possession of cannabis for adult and medical uses conflict with federal laws prohibiting the cultivation, possession and use of cannabis for any purpose. A number of states have passed legislation legalizing or decriminalizing cannabis for adult-use, other states have enacted legislation specifically permitting the cultivation and use of cannabis for medicinal purposes, and several states have enacted legislation permitting cannabis cultivation and use for both adult and medicinal purposes. Evolving federal and state laws and regulations pertaining to the use or cultivation of cannabis, as well active enforcement by federal or state authorities of the laws and regulations governing the use and cultivation of cannabis may indirectly and adversely affect our business, our revenues, and our profits.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of our products may be purchased for use in new and emerging industries and/or be subject to varying, inconsistent, and rapidly changing laws, regulations, administrative practices, enforcement approaches, judicial interpretations, future scientific research and public perception.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selling our products through our own online platforms, www.Zenhydro.com and www.simpledeluxe.com, we sell products, including hydroponic gardening products, through third-party retailers and resellers. End users may purchase these products for use in new and emerging industries that may not achieve market acceptance in a manner that we can predict. The demand for these products is dependent on the growth of these industries, which is uncertain, as well as the laws governing the growth, possession, and use of cannabis by adults for both adult and medical use.</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Laws and regulations affecting the U.S. cannabis industry are continually changing, which could detrimentally affect our growth, revenues, results of operations and success generally. Local, state, and federal cannabis laws and regulations are broad in scope and subject to evolving interpretations, which could require the end users of certain of our products or us to incur substantial costs associated with compliance or to alter our respective business plans. In addition, violations of these laws, or allegations of such violations, could disrupt our business and result in a material adverse effect on our results of operation and financial condition.</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Scientific research related to the benefits of cannabis remains in its early stages, is subject to a number of important assumptions, and may prove to be inaccurate. Future research studies and clinical trials may reach negative conclusions regarding the viability, safety, efficacy, dosing, social acceptance or other facts and perceptions related to medical cannabis, which could materially impact the demand for our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public’s perception of cannabis may significantly impact the cannabis industry’s success. Both the medical and adult-use of cannabis are controversial topics, and there is no guarantee that future scientific research, publicity, regulations, medical opinion, and public opinion relating to cannabis will be favorable. The cannabis industry is an early-stage business that is constantly evolving with no guarantee of viability. The market for medical and adult-use of cannabis is uncertain, and any adverse or negative publicity, scientific research, limiting regulations, medical opinion and public opinion (whether or not accurate or with merit) relating to the consumption of cannabis, whether in the United States or internationally, may have a material adverse effect on our operational results, consumer base, and financial results. Among other things, such a shift in public opinion could cause state jurisdictions to abandon initiatives or proposals to legalize medical or adult cannabis or adopt new laws or regulations restricting or prohibiting the medical or adult-use of cannabis where it is now legal, thereby limiting the Cannabis Industry Participants.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Demand for our products may be negatively impacted depending on how laws, regulations, administrative practices, enforcement approaches, judicial interpretations, and consumer perceptions develop. We cannot predict the nature of such developments or the effect, if any, that such developments could have on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indirect involvement in the cannabis industry could affect the public’s perception of us and be detrimental to our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Damage to our reputation can be the result of the actual or perceived occurrence of any number of events, and could include any negative publicity, whether true or not. Cannabis has often been associated with various other narcotics, violence and criminal activities, the risk of which is that our retailers and resellers that transact with those businesses might attract negative publicity. There is also risk that the action(s) of other participants, companies and service providers in the cannabis industry may negatively affect the reputation of the industry as a whole and thereby negatively impact our reputation. The increased use of social media and other web-based tools used to generate, publish and discuss user-generated content and to connect with other users has made it increasingly easier for individuals and groups to communicate and share opinions and views with regard to cannabis companies and their activities, whether true or not and the cannabis industry in general, whether true or not. We do not ultimately have direct control over how the cannabis industry is perceived by others. Reputation loss may result in decreased investor confidence, increased challenges in developing and maintaining community relations and an impediment to our overall ability to advance our business strategy and realize our growth prospects, thereby having a material adverse impact on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third parties with whom we may do business could perceive that they are exposed to reputational risk as a result of the involvement of some of our customers in the cannabis business. Failure to establish or maintain business relationships due to reputational risk arising in connection with the nature of our business could have a material adverse effect on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Businesses involved in the cannabis industry, and investments in such businesses, are subject to a variety of laws and regulations related to money laundering, financial recordkeeping, and proceeds of crimes.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sell our products through our websites, www.Zenhydro.com and www.simpledeluxe.com, as well as through online third-party retail platforms which do not exclusively sell to customers operating in the cannabis industry. Nonetheless, some of our customers may be using our products for purposes of cultivating cannabis. Investments in the U.S. cannabis industry are subject to a variety of laws and regulations that involve money laundering, financial recordkeeping and proceeds of crime, including the BSA, as amended by the U.S. PATRIOT Act, other anti-money laundering laws, and any related or similar rules, regulations or guidelines, issued, administered or enforced by governmental authorities in the United States. In February 2014, the Financial Crimes Enforcement Network of the Treasury Department (“FinCEN”) issued a memorandum (the “FinCEN Memo”) providing guidance to banks seeking to provide services to cannabis businesses. The FinCEN Memo outlines circumstances under which banks may provide services to cannabis businesses without risking prosecution for violation of U.S. federal money laundering laws. It refers to supplementary guidance that Deputy Attorney General Cole issued to U.S. federal prosecutors relating to the prosecution of U.S. money laundering offenses predicated on cannabis violations of the CSA and outlines extensive due diligence and reporting requirements, which most banks have viewed as onerous. On June 29, 2020, FinCEN issued additional guidance for financial institutions conducting due diligence and filing suspicious activity reports in connection with hemp-related business customers. While these guidelines clarify that financial institutions are not required to file suspicious activity reports solely based on a customer’s hemp-related business operations, which must be operating lawfully under applicable state law and regulations, these requirements can still present challenges for certain end users of our products to establish and maintain banking connections, and restrictions on cannabis-related banking activities remain. In September 2019, the United States House of Representatives passed the SAFE Banking Act, which would permit commercial banks to offer services to cannabis companies that are in compliance with state law, but the Senate has not taken up the SAFE Banking Act or other similar legislation.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comply with the continued listing requirements of the Nasdaq Stock Market, it could result in our common stock being delisted, which could adversely affect the market price and liquidity of our securities and could have other adverse effects.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24, 2023, we received a letter from the Nasdaq Listing Qualifications Staff of The Nasdaq Stock Market LLC (“Nasdaq”) stating that for the 30 consecutive business day period between July 13, 2023 to August 23, 2023 the Company’s common stock had failed to maintain a minimum closing bid price of $1.00 per share, as required for continued listing on The Nasdaq Capital Market pursuant to Nasdaq Listing Rule 5550(a)(2) (the “Minimum Bid Price Requirement”). Pursuant to Nasdaq Listing Rule 5810(c)(3)(A), the Company has an initial period of 180 calendar days, or until February 20, 2024 (the “Compliance Period”), to regain compliance with the Minimum Bid Price Requirement. To regain compliance, the closing bid price of the Company’s common stock must meet or exceed $1.00 per share for a minimum of 10 consecutive trading days, unless such period is extended by Nasdaq. If the Company does not regain compliance with the Minimum Bid Price Requirement by February 20, 2024, the Company may be eligible for an additional 180-day period to regain compliance. To qualify, the Company would be required to meet the continued listing requirement for market value of publicly held shares and all other initial listing standards for The Nasdaq Capital Market, with the exception of the Minimum Bid Price Requirement, and we would need to provide written notice of our intention to cure the bid price deficiency during the second compliance period, by effecting a reverse stock split, if necessary.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cannot regain compliance with the Minimum Bid Price Requirement during the Compliance Period or any subsequently granted compliance period, Nasdaq will provide the Company with notice that our common stock will be subject to delisting. At that time, the Company may appeal Nasdaq’s delisting determination to a Nasdaq Hearings Panel. While Nasdaq’s notice to the Company of noncompliance has no immediate effect on the listing of our common stock and our common stock will continue to be listed on The Nasdaq Capital Market under the symbol “IPW,” there can be no assurance that we will regain compliance with the Minimum Bid Price Requirement or maintain compliance with any of the other Nasdaq continued listing requirements. We will continue to monitor the closing bid price of our common stock and may, if appropriate, consider available options to regain compliance with the Minimum Bid Price Requirement.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Our founders, officers and directors control, and will continue to control, our company for the foreseeable future, including the outcome of matters requiring stockholder approval.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founders, officers and directors collectively will beneficially own approximately 53.98% of our outstanding shares of common stock. As a result, such individuals will, for the foreseeable future, have the ability, acting together, to control the election of our directors and the outcome of corporate actions requiring stockholder approval, such as: (i) a merger or a sale of our company, (ii) a sale of all or substantially all of our assets, and (iii) amendments to our articles of incorporation and bylaws. This concentration of voting power and control could have a significant effect in delaying, deferring, or preventing an action that might otherwise be beneficial to our other stockholders and be disadvantageous to our stockholders with interests different from those entities and individuals. Certain of these individuals also have significant control over our business, policies and affairs as officers or directors of our company. Therefore, you should not invest in reliance on your ability to have any control over our company. See “Item 12. Security Ownership of Certain Beneficial Owners and Management and Related Stockholder Matters” for further discussion of the stockholding of our founders and principal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sales of our common stock in the public market could cause the market price of our common stock to decline.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sales of a substantial number of shares of our common stock in the public market, or the perception that these sales might occur, could depress the market price of our common stock and could impair our ability to raise capital through the sale of additional equity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Risk Factors Related to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are risks, including stock market volatility, inherent in owning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and volume of our common stock have been, and may continue to be, subject to significant fluctuations. These fluctuations may arise from general stock market conditions, the impact of risk factors described herein on our results of operations and financial position, or a change in opinion in the market regarding our business prospects or other factors, many of which may be outside our immediate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We do not intend to pay dividends for the foreseeable future and, as a result, your ability to achieve a return on your investment will depend on appreciation in the price of our common stock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decision to pay cash dividends on our common stock rests with our board of directors and will depend on our earnings, unencumbered cash, capital requirements and financial condition. We do not anticipate declaring any dividends in the foreseeable future, as we intend to use any excess cash to fund our operations and growth. Investors in our common stock should not expect to receive dividend income on their investment, and investors will be dependent on the appreciation of our common stock to earn a return on their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require additional capital to support the growth of our business, and this capital might not be available on acceptable terms, if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our initial public offering in May 2021, we funded our operations primarily through borrowing funds, the sale of convertible notes and equity securities, and the sales of our products. We cannot be certain when or if our operations will generate sufficient cash to fully fund our ongoing operations or the growth of our business. We intend to continue to make investments to support our business, which may require us to engage in equity or debt financing to secure additional funds. Additional financing may not be available on terms favorable to us, if at all. If adequate funds are not available on acceptable terms, we may be unable to invest in future growth opportunities, which could harm our business, operating results and financial condition. If we incur additional debt, the debt holders would have rights senior to holders of common stock to make claims on our assets, and the terms of any debt could restrict our operations, including our ability to pay dividends on our common stock. Furthermore, if we issue additional equity securities, stockholders will experience dilution, and the new equity securities could have rights senior to those of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As a public company, we are subject to increased costs in relation to maintaining SEC and Nasdaq-related reporting requirements and our management is required to devote substantial time to compliance with our public company reporting responsibilities and corporate governance practices.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Nasdaq-listed public company, we face significant legal, accounting, and other expenses that we did not incur as a private company, which we expect to further increase after we are no longer an “emerging growth company.” The Sarbanes-Oxley Act, the Dodd-Frank Wall Street Reform and Consumer Protection Act, the listing requirements of the Nasdaq Stock Market, and other applicable securities rules and regulations impose various requirements on public companies. Our management and other personnel devote a substantial amount of time to ensuring compliance with these requirements. Moreover, these rules and regulations increase our legal and financial compliance costs and make some activities more time-consuming and costly as compared to when we were operating as a private company. As a newly public company, we are unable to predict or estimate the amount of additional costs we will incur as a public company or the specific timing of such costs.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 result of being a public company, we are obligated to develop and maintain proper and effective internal controls over financial reporting, and any failure to maintain the adequacy of these internal controls may adversely affect investor confidence in our Company and, as a result, the value of our common stock.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required, pursuant to Section 404 </w:t>
      </w:r>
      <w:r>
        <w:rPr>
          <w:rFonts w:ascii="Times New Roman;Times;Serif" w:hAnsi="Times New Roman;Times;Serif"/>
          <w:b w:val="false"/>
          <w:i w:val="false"/>
          <w:caps w:val="false"/>
          <w:smallCaps w:val="false"/>
          <w:sz w:val="20"/>
          <w:shd w:fill="F4F4F5" w:val="clear"/>
        </w:rPr>
        <w:t>of t</w:t>
      </w:r>
      <w:r>
        <w:rPr>
          <w:rFonts w:ascii="Times New Roman;Times;Serif" w:hAnsi="Times New Roman;Times;Serif"/>
          <w:b w:val="false"/>
          <w:i w:val="false"/>
          <w:caps w:val="false"/>
          <w:smallCaps w:val="false"/>
          <w:sz w:val="20"/>
        </w:rPr>
        <w:t>he Sarbanes-Oxley Act of 2002, or Section 404, to furnish a report by management on the effectiveness of our internal control over financial reporting for the fiscal year ending June 30, 2023. This assessment will need to include disclosure of any material weaknesses identified by our management in our internal control over financial reporting. In addition, our independent registered public accounting firm will be required to attest to the effectiveness of our internal control over financial reporting in our first annual report required to be filed with the SEC following the date we are no longer an “emerging growth company.” We have recently commenced the costly and challenging process of compiling the system and processing documentation necessary to perform the evaluation needed to comply with Section 404, but we may not be able to complete our evaluation, testing and any required remediation in a timely fashion once initiated. Our compliance with Section 404 requires that we incur substantial accounting expenses and expend significant management efforts. We currently do not have an internal audit group, and we will need to hire additional accounting and financial staff with appropriate public company experience and technical accounting knowledge and compile the system and process documentation necessary to perform the evaluation needed to comply with Section 404.</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evaluation and testing process of our internal controls, if we identify one or more material weaknesses in our internal control over financial reporting, we will be unable to certify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our common stock could decline, and we could be subject to sanctions or investigations by the Nasdaq Stock Market, the SEC or other regulatory authorities. Failure to remedy any material weakness in our internal control over financial reporting, or to implement or maintain other effective control systems required of public companies, could also restrict our future access to the capital markets.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an emerging growth company and a smaller reporting company within the meaning of the Securities Act, and if we take advantage of certain exemptions from disclosure requirements available to “emerging growth companies” or “smaller reporting companies,” this could make our securities less attractive to investors and may make it more difficult to compare our performance with other public companies.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the Jumpstart Our Business Startups Act of 2012, or JOBS Act, and, for as long as we continue to be an “emerging growth company,” we intend to take advantage of certain exemptions from various reporting requirements applicable to other public companies but not to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could be an “emerging growth company” for up to five years following the effectiveness of this registration statement, or until the earliest of (i) the last day of the first fiscal year in which our annual gross revenues exceed $1.07 billion, (ii) the date that we become a “large accelerated filer” as defined in Rule 12b-2 under the Exchange Act, which would occur if the market value of our common stock that is held by non-affiliates exceeds $700 million as of the last business day of our most recently completed second fiscal quarter, or (iii) the date on which we have issued more than $1.0 billion in non-convertible debt during the preceding three year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exceeds $250 million as of the prior June 30, or (2) our annual revenues exceeded $100 million during such completed fiscal year and the market value of our common stock held by non-affiliates exceeds $700 million as of the prior June 30. To the extent we take advantage of such reduced disclosure obligations, it may also make comparison of our financial statements with other public companies difficult or impossible. After we are no longer an “emerging growth company,” we expect to incur additional management time and cost to comply with the more stringent reporting requirements applicable to companies that are deemed accelerated filers or large accelerated filers, including complying with the auditor attestation requirements of Section 404. We cannot predict or estimate the amount of additional costs we may incur or the timing of such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stockholders will experience further dilution if we issue additional equity or equity-linked securities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issue additional shares of common stock, or securities convertible into or exchangeable or exercisable for shares of common stock, our stockholders, including investors who purchase shares of common stock in this offering, will experience additional dilution, and any such issuances may result in downward pressure on the price of our common stock. As a result, investors purchasing shares or other securities in the future could have rights superior to existing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securities or industry analysts do not publish research or reports about our business, or if they adversely change their recommendations regarding our common stock, the market price for our common stock and trading volume could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our common stock is influenced by research or reports that industry or securities analysts publish about our business. If industry or securities analysts decide to cover us and in the future downgrade our common stock, the market price for our securities would likely decline. If one or more of these analysts cease to cover us or fail to regularly publish reports on us, we could lose visibility in the financial markets, which in turn could cause the market price or trading volume for our common stock to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Now that we are an actively-traded Nasdaq-listed company, the market price of our common stock may be volatile.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our securities are publicly-traded and even though an active market for our common stock has developed, the market price for our common stock may be volatile and subject to wide fluctuations in response to factors including the following:</w:t>
      </w:r>
    </w:p>
    <w:p>
      <w:pPr>
        <w:pStyle w:val="TextBody"/>
        <w:bidi w:val="0"/>
        <w:spacing w:before="0" w:after="0"/>
        <w:ind w:left="0" w:right="0" w:firstLine="720"/>
        <w:jc w:val="both"/>
        <w:rPr>
          <w:caps w:val="false"/>
          <w:smallCaps w:val="false"/>
        </w:rPr>
      </w:pPr>
      <w:r>
        <w:rPr>
          <w:caps w:val="false"/>
          <w:smallCaps w:val="false"/>
        </w:rPr>
        <w:t> </w:t>
      </w:r>
    </w:p>
    <w:tbl>
      <w:tblPr>
        <w:tblW w:w="7705" w:type="dxa"/>
        <w:jc w:val="left"/>
        <w:tblInd w:w="0" w:type="dxa"/>
        <w:tblLayout w:type="fixed"/>
        <w:tblCellMar>
          <w:top w:w="0" w:type="dxa"/>
          <w:left w:w="0" w:type="dxa"/>
          <w:bottom w:w="0" w:type="dxa"/>
          <w:right w:w="0" w:type="dxa"/>
        </w:tblCellMar>
      </w:tblPr>
      <w:tblGrid>
        <w:gridCol w:w="75"/>
        <w:gridCol w:w="95"/>
        <w:gridCol w:w="75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535" w:type="dxa"/>
            <w:tcBorders/>
            <w:vAlign w:val="center"/>
          </w:tcPr>
          <w:p>
            <w:pPr>
              <w:pStyle w:val="TableContents"/>
              <w:bidi w:val="0"/>
              <w:spacing w:before="0" w:after="283"/>
              <w:jc w:val="both"/>
              <w:rPr>
                <w:sz w:val="20"/>
              </w:rPr>
            </w:pPr>
            <w:r>
              <w:rPr>
                <w:sz w:val="20"/>
              </w:rPr>
              <w:t>actual or anticipated fluctuations in our quarterly or annual operating results;</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535" w:type="dxa"/>
            <w:tcBorders/>
            <w:vAlign w:val="center"/>
          </w:tcPr>
          <w:p>
            <w:pPr>
              <w:pStyle w:val="TableContents"/>
              <w:bidi w:val="0"/>
              <w:spacing w:before="0" w:after="283"/>
              <w:jc w:val="both"/>
              <w:rPr>
                <w:sz w:val="20"/>
              </w:rPr>
            </w:pPr>
            <w:r>
              <w:rPr>
                <w:sz w:val="20"/>
              </w:rPr>
              <w:t>changes in financial operational estimates or projections;</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535" w:type="dxa"/>
            <w:tcBorders/>
            <w:vAlign w:val="center"/>
          </w:tcPr>
          <w:p>
            <w:pPr>
              <w:pStyle w:val="TableContents"/>
              <w:bidi w:val="0"/>
              <w:spacing w:before="0" w:after="283"/>
              <w:jc w:val="both"/>
              <w:rPr>
                <w:sz w:val="20"/>
              </w:rPr>
            </w:pPr>
            <w:r>
              <w:rPr>
                <w:sz w:val="20"/>
              </w:rPr>
              <w:t>conditions in markets generally;</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535" w:type="dxa"/>
            <w:tcBorders/>
            <w:vAlign w:val="center"/>
          </w:tcPr>
          <w:p>
            <w:pPr>
              <w:pStyle w:val="TableContents"/>
              <w:bidi w:val="0"/>
              <w:spacing w:before="0" w:after="283"/>
              <w:jc w:val="both"/>
              <w:rPr>
                <w:sz w:val="20"/>
              </w:rPr>
            </w:pPr>
            <w:r>
              <w:rPr>
                <w:sz w:val="20"/>
              </w:rPr>
              <w:t>changes in the economic performance or market valuations of companies similar to ours; and</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535" w:type="dxa"/>
            <w:tcBorders/>
            <w:vAlign w:val="center"/>
          </w:tcPr>
          <w:p>
            <w:pPr>
              <w:pStyle w:val="TableContents"/>
              <w:bidi w:val="0"/>
              <w:spacing w:before="0" w:after="283"/>
              <w:jc w:val="both"/>
              <w:rPr>
                <w:sz w:val="20"/>
              </w:rPr>
            </w:pPr>
            <w:r>
              <w:rPr>
                <w:sz w:val="20"/>
              </w:rPr>
              <w:t>general economic or political conditions in the United States and elsewhere.  </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market has from time to time experienced significant price and volume fluctuations that are not related to the operating performance of particular companies. These market fluctuations may also materially and adversely affect the market price of shares of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the event of liquidation or dissolution of our company, stockholders may not recoup all or any portion of their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liquidation, dissolution or winding-up of our Company, whether voluntary or involuntary, the proceeds and/or assets of our Company remaining after giving effect to such transaction, and the payment of all of our debts and liabilities will be distributed to the holders of common stock on a pro rata basis. There can be no assurance that we will have available assets to pay to the holders of common stock, or any amounts, upon such a liquidation, dissolution or winding-up of our Company. In this event, stockholders could lose some or all of their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6" w:name="k_011"/>
      <w:bookmarkEnd w:id="36"/>
      <w:r>
        <w:rPr>
          <w:rFonts w:ascii="Times New Roman;Times;Serif" w:hAnsi="Times New Roman;Times;Serif"/>
          <w:b/>
          <w:i w:val="false"/>
          <w:caps w:val="false"/>
          <w:smallCaps w:val="false"/>
          <w:sz w:val="20"/>
        </w:rPr>
        <w:t>ITEM 1B. </w:t>
      </w:r>
      <w:r>
        <w:rPr>
          <w:rFonts w:ascii="Times New Roman;Times;Serif" w:hAnsi="Times New Roman;Times;Serif"/>
          <w:b/>
          <w:i w:val="false"/>
          <w:caps/>
          <w:sz w:val="20"/>
        </w:rPr>
        <w:t>Unresolved Staff Comments.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7" w:name="k_012"/>
      <w:bookmarkEnd w:id="37"/>
      <w:r>
        <w:rPr>
          <w:rFonts w:ascii="Times New Roman;Times;Serif" w:hAnsi="Times New Roman;Times;Serif"/>
          <w:b/>
          <w:i w:val="false"/>
          <w:caps w:val="false"/>
          <w:smallCaps w:val="false"/>
          <w:sz w:val="20"/>
        </w:rPr>
        <w:t>ITEM 2. PROPERTIES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offices, which also serve as a fulfillment center, are located at 8798 9</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Street, Rancho Cucamonga, California. There we lease </w:t>
      </w:r>
      <w:r>
        <w:rPr>
          <w:rFonts w:ascii="Times New Roman;Times;Serif" w:hAnsi="Times New Roman;Times;Serif"/>
          <w:b w:val="false"/>
          <w:i w:val="false"/>
          <w:caps w:val="false"/>
          <w:smallCaps w:val="false"/>
          <w:sz w:val="20"/>
          <w:shd w:fill="FFFFFF" w:val="clear"/>
        </w:rPr>
        <w:t xml:space="preserve">approximately 99,347 square feet of space, which is used for the storage and distribution of hydroponic equipment, lighting and garden accessories, home products, pet products, other consumer products and other ancillary uses. The term of the Rancho Cucamonga lease is for 74 months. </w:t>
      </w:r>
      <w:r>
        <w:rPr>
          <w:rFonts w:ascii="Times New Roman;Times;Serif" w:hAnsi="Times New Roman;Times;Serif"/>
          <w:b w:val="false"/>
          <w:i w:val="false"/>
          <w:caps w:val="false"/>
          <w:smallCaps w:val="false"/>
          <w:sz w:val="20"/>
        </w:rPr>
        <w:t>The lease commencement date is February 10, 2022, the rent commencement date is May 11, 2022 and the expiration date is May 31, 2028. The base rental fee is $114,249 to $140,079 per month through the expiration date, May 31, 2028.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lease a fulfilment center at 2397 Bateman Avenue, Duarte, CA 91010, which consists of approximately 49,500 square feet of space, with a base rental fee of $56,000 to $59,410 per month. The term of this lease runs from May 1, 2022 through April 30,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entered into a lease agreement for 2399 Bateman Avenue, Duarte, CA 91010, which property is approximately 48,867 square feet and we lease at the rate of approximately $42,000 per month. This property previously served as both our principal offices as well as our primary fulfillment center. This lease expires on December 31, 2023 and we do not currently plan to renew 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primary fulfillment centers in Rancho Cucamonga and Duarte, we maintain a 22,700 square foot fulfillment center located at 14750 E. Nelson Avenue, Unit #I, Industry City, CA 91744, which we have leased at the rate of approximately $28,000 per month since September 2020. This lease expires on October 31, 2023 and we do not plan to renew it. On February 15, 2022, upon completion of the acquisition of Anivia, the Company assumed an operating lease of offices in the PRC. The office space in the PRC is located in Shenzhen and the term of this lease expires in July of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8" w:name="k_013"/>
      <w:bookmarkEnd w:id="38"/>
      <w:r>
        <w:rPr>
          <w:rFonts w:ascii="Times New Roman;Times;Serif" w:hAnsi="Times New Roman;Times;Serif"/>
          <w:b/>
          <w:i w:val="false"/>
          <w:caps w:val="false"/>
          <w:smallCaps w:val="false"/>
          <w:sz w:val="20"/>
        </w:rPr>
        <w:t>ITEM 3.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former placement agent, Boustead Securities LLC ("Boustead”), has brought a legal action against us following our communication to Boustead to unilaterally terminate an engagement agreement under which we and Boustead had originally intended for Boustead to be engaged to act as an exclusive underwriter in our initial public offering. To date, we have been unable to reach a settlement with Boustead. On April 30, 2021, Boustead filed a statement of claim with FINRA demanding to arbitrate the dispute, and is seeking, among other things, monetary damages against the Company and D.A. Davidson &amp; Co. The matter is presently scheduled to have a pre-hearing conference before a FINRA arbitration panel on September 26, 2023. The actual FINRA arbitration, however, has been postponed and, as a result, a date for the FINRA arbitration hearing has not yet been set. The Company and its special litigation counsel are in the process of preparing for the hearing. We believe that we have meritorious defenses to any claims that Boustead may assert, and we do not believe that such claims will have a material adverse effect on our business, financial condition, or operating results. However, we have agreed to indemnify D.A. Davidson &amp; Co. and the other underwriters who participated in our initial public offering against any liability or expense they may incur or be subject to arising out of the Boustead dispute. In addition, Chenlong Tan, our Chairman, President, and Chief Executive Officer and a beneficial owner of more than 5% of our common stock, has agreed to reimburse us for any judgments, fines and amounts paid or actually incurred by us or an indemnitee in connection with such legal action or in connection with any settlement agreement entered into by us or an indemnitee up to a maximum of $3.5 million in the aggregate, with the sole source of funding for such reimbursement to come from sales of shares then owned by Mr. Tan.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the above, we are not presently party to any pending or other threatened legal proceedings or claims that we believe will have a material adverse effect on our business, financial condition, or operating results, although from time to time, we may become involved in legal proceedings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9" w:name="k_014"/>
      <w:bookmarkEnd w:id="39"/>
      <w:r>
        <w:rPr>
          <w:rFonts w:ascii="Times New Roman;Times;Serif" w:hAnsi="Times New Roman;Times;Serif"/>
          <w:b/>
          <w:i w:val="false"/>
          <w:caps w:val="false"/>
          <w:smallCaps w:val="false"/>
          <w:sz w:val="20"/>
        </w:rPr>
        <w:t>ITEM 4. MINE SAFETY DISCLOSURES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0" w:name="k_015"/>
      <w:bookmarkEnd w:id="40"/>
      <w:r>
        <w:rPr>
          <w:rFonts w:ascii="Times New Roman;Times;Serif" w:hAnsi="Times New Roman;Times;Serif"/>
          <w:b/>
          <w:i w:val="false"/>
          <w:caps w:val="false"/>
          <w:smallCaps w:val="false"/>
          <w:sz w:val="20"/>
        </w:rPr>
        <w:t>PART II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1" w:name="k_016"/>
      <w:bookmarkEnd w:id="41"/>
      <w:r>
        <w:rPr>
          <w:rFonts w:ascii="Times New Roman;Times;Serif" w:hAnsi="Times New Roman;Times;Serif"/>
          <w:b/>
          <w:i w:val="false"/>
          <w:caps w:val="false"/>
          <w:smallCaps w:val="false"/>
          <w:sz w:val="20"/>
        </w:rPr>
        <w:t>ITEM 5. MARKET FOR REGISTRANT’S COMMON EQUITY, RELATED STOCKHOLDER MATTERS AND ISSUER PURCHASES OF EQUITY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Capital Market, or NASDAQ, under the symbol “IPW,” where we commenced trading on May 14, 2021. Prior to that time, our common stock was not traded on any exchange or quoted on any over the counter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14, 2023, we had 21 holders of record of our common stock and 29,764,374 shares of common stock outstanding.</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paid cash dividends on our common stock. Holders of our common stock are entitled to receive dividends, if any, declared and paid from time to time by the board of directors out of funds legally available. We intend to retain any earnings for the operation and expansion of our business and do not anticipate paying cash dividends on our common stock in the foreseeable future. Any future determination as to the payment of cash dividends will depend upon future earnings, results of operations, capital requirements, our financial condition, and other factors that our board of directors may consider.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Compensation Plans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2020 Amended Equity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number of underlying shares of the Company’s common stock available for grant to directors, officers, key employees and consultants of the Company or a subsidiary of the Company under the Company’s Amended and Restated 2020 Equity Inventive Plan (the “2020 Amended Equity Incentive Plan”) was 5,000,000 shares. Grants made under the 2020 Amended Equity Incentive Plan must be approved by the Company’s board of directors.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as of June 30, 2023 about our equity compensation plans and arrangements.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390"/>
        <w:gridCol w:w="60"/>
        <w:gridCol w:w="81"/>
        <w:gridCol w:w="1341"/>
        <w:gridCol w:w="60"/>
        <w:gridCol w:w="60"/>
        <w:gridCol w:w="374"/>
        <w:gridCol w:w="1176"/>
        <w:gridCol w:w="60"/>
        <w:gridCol w:w="60"/>
        <w:gridCol w:w="83"/>
        <w:gridCol w:w="1381"/>
        <w:gridCol w:w="79"/>
      </w:tblGrid>
      <w:tr>
        <w:trPr/>
        <w:tc>
          <w:tcPr>
            <w:tcW w:w="5390" w:type="dxa"/>
            <w:tcBorders>
              <w:bottom w:val="single" w:sz="8" w:space="0" w:color="000000"/>
            </w:tcBorders>
            <w:vAlign w:val="center"/>
          </w:tcPr>
          <w:p>
            <w:pPr>
              <w:pStyle w:val="TableContents"/>
              <w:bidi w:val="0"/>
              <w:spacing w:before="0" w:after="283"/>
              <w:jc w:val="center"/>
              <w:rPr/>
            </w:pPr>
            <w:r>
              <w:rPr/>
              <w:t>Plan category</w:t>
            </w:r>
          </w:p>
        </w:tc>
        <w:tc>
          <w:tcPr>
            <w:tcW w:w="60" w:type="dxa"/>
            <w:tcBorders/>
            <w:tcMar>
              <w:bottom w:w="0" w:type="dxa"/>
            </w:tcMar>
            <w:vAlign w:val="center"/>
          </w:tcPr>
          <w:p>
            <w:pPr>
              <w:pStyle w:val="TableContents"/>
              <w:bidi w:val="0"/>
              <w:spacing w:before="0" w:after="283"/>
              <w:jc w:val="left"/>
              <w:rPr/>
            </w:pPr>
            <w:r>
              <w:rPr/>
              <w:t> </w:t>
            </w:r>
          </w:p>
        </w:tc>
        <w:tc>
          <w:tcPr>
            <w:tcW w:w="1422" w:type="dxa"/>
            <w:gridSpan w:val="2"/>
            <w:tcBorders>
              <w:bottom w:val="single" w:sz="8" w:space="0" w:color="000000"/>
            </w:tcBorders>
            <w:vAlign w:val="center"/>
          </w:tcPr>
          <w:p>
            <w:pPr>
              <w:pStyle w:val="TableContents"/>
              <w:bidi w:val="0"/>
              <w:spacing w:before="0" w:after="283"/>
              <w:jc w:val="center"/>
              <w:rPr/>
            </w:pPr>
            <w:r>
              <w:rPr/>
              <w:t xml:space="preserve">Number of </w:t>
              <w:br/>
              <w:t xml:space="preserve">securities to be </w:t>
              <w:br/>
              <w:t xml:space="preserve">issued upon </w:t>
              <w:br/>
              <w:t xml:space="preserve">exercise of </w:t>
              <w:br/>
              <w:t xml:space="preserve">outstanding </w:t>
              <w:br/>
              <w:t xml:space="preserve">options, </w:t>
              <w:br/>
              <w:t xml:space="preserve">warrants and </w:t>
              <w:br/>
              <w:t>rights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50" w:type="dxa"/>
            <w:gridSpan w:val="2"/>
            <w:tcBorders>
              <w:bottom w:val="single" w:sz="8" w:space="0" w:color="000000"/>
            </w:tcBorders>
            <w:vAlign w:val="center"/>
          </w:tcPr>
          <w:p>
            <w:pPr>
              <w:pStyle w:val="TableContents"/>
              <w:bidi w:val="0"/>
              <w:spacing w:before="0" w:after="283"/>
              <w:jc w:val="center"/>
              <w:rPr/>
            </w:pPr>
            <w:r>
              <w:rPr/>
              <w:t xml:space="preserve">Weighted- </w:t>
              <w:br/>
              <w:t xml:space="preserve">average </w:t>
              <w:br/>
              <w:t xml:space="preserve">exercise price of </w:t>
              <w:br/>
              <w:t xml:space="preserve">outstanding </w:t>
              <w:br/>
              <w:t xml:space="preserve">options, </w:t>
              <w:br/>
              <w:t xml:space="preserve">warrants and </w:t>
              <w:br/>
              <w:t>rights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64" w:type="dxa"/>
            <w:gridSpan w:val="2"/>
            <w:tcBorders>
              <w:bottom w:val="single" w:sz="8" w:space="0" w:color="000000"/>
            </w:tcBorders>
            <w:vAlign w:val="center"/>
          </w:tcPr>
          <w:p>
            <w:pPr>
              <w:pStyle w:val="TableContents"/>
              <w:bidi w:val="0"/>
              <w:spacing w:before="0" w:after="283"/>
              <w:jc w:val="center"/>
              <w:rPr/>
            </w:pPr>
            <w:r>
              <w:rPr/>
              <w:t xml:space="preserve">Number of </w:t>
              <w:br/>
              <w:t xml:space="preserve">securities </w:t>
              <w:br/>
              <w:t xml:space="preserve">remaining </w:t>
              <w:br/>
              <w:t xml:space="preserve">available for </w:t>
              <w:br/>
              <w:t xml:space="preserve">future issuance </w:t>
              <w:br/>
              <w:t xml:space="preserve">under equity </w:t>
              <w:br/>
              <w:t xml:space="preserve">compensation </w:t>
              <w:br/>
              <w:t>plans</w:t>
            </w:r>
          </w:p>
        </w:tc>
        <w:tc>
          <w:tcPr>
            <w:tcW w:w="79" w:type="dxa"/>
            <w:tcBorders/>
            <w:tcMar>
              <w:bottom w:w="0" w:type="dxa"/>
            </w:tcMar>
            <w:vAlign w:val="center"/>
          </w:tcPr>
          <w:p>
            <w:pPr>
              <w:pStyle w:val="TableContents"/>
              <w:bidi w:val="0"/>
              <w:spacing w:before="0" w:after="283"/>
              <w:jc w:val="left"/>
              <w:rPr/>
            </w:pPr>
            <w:r>
              <w:rPr/>
              <w:t> </w:t>
            </w:r>
          </w:p>
        </w:tc>
      </w:tr>
      <w:tr>
        <w:trPr/>
        <w:tc>
          <w:tcPr>
            <w:tcW w:w="5390" w:type="dxa"/>
            <w:tcBorders/>
            <w:shd w:fill="EEEEEE" w:val="clear"/>
            <w:tcMar>
              <w:bottom w:w="0" w:type="dxa"/>
            </w:tcMar>
            <w:vAlign w:val="center"/>
          </w:tcPr>
          <w:p>
            <w:pPr>
              <w:pStyle w:val="TableContents"/>
              <w:bidi w:val="0"/>
              <w:spacing w:before="0" w:after="283"/>
              <w:jc w:val="left"/>
              <w:rPr/>
            </w:pPr>
            <w:r>
              <w:rPr/>
              <w:t>Equity compensation plans approved by security holders</w:t>
            </w:r>
          </w:p>
        </w:tc>
        <w:tc>
          <w:tcPr>
            <w:tcW w:w="60" w:type="dxa"/>
            <w:tcBorders/>
            <w:shd w:fill="EEEEEE" w:val="clear"/>
            <w:tcMar>
              <w:bottom w:w="0" w:type="dxa"/>
            </w:tcMar>
            <w:vAlign w:val="center"/>
          </w:tcPr>
          <w:p>
            <w:pPr>
              <w:pStyle w:val="TableContents"/>
              <w:bidi w:val="0"/>
              <w:spacing w:before="0" w:after="283"/>
              <w:jc w:val="left"/>
              <w:rPr/>
            </w:pPr>
            <w:r>
              <w:rPr/>
              <w:t> </w:t>
            </w:r>
          </w:p>
        </w:tc>
        <w:tc>
          <w:tcPr>
            <w:tcW w:w="81" w:type="dxa"/>
            <w:tcBorders/>
            <w:shd w:fill="EEEEEE" w:val="clear"/>
            <w:tcMar>
              <w:bottom w:w="0" w:type="dxa"/>
            </w:tcMar>
            <w:vAlign w:val="center"/>
          </w:tcPr>
          <w:p>
            <w:pPr>
              <w:pStyle w:val="TableContents"/>
              <w:bidi w:val="0"/>
              <w:spacing w:before="0" w:after="283"/>
              <w:jc w:val="left"/>
              <w:rPr/>
            </w:pPr>
            <w:r>
              <w:rPr/>
              <w:t> </w:t>
            </w:r>
          </w:p>
        </w:tc>
        <w:tc>
          <w:tcPr>
            <w:tcW w:w="1341" w:type="dxa"/>
            <w:tcBorders/>
            <w:shd w:fill="EEEEEE" w:val="clear"/>
            <w:tcMar>
              <w:bottom w:w="0" w:type="dxa"/>
            </w:tcMar>
            <w:vAlign w:val="center"/>
          </w:tcPr>
          <w:p>
            <w:pPr>
              <w:pStyle w:val="TableContents"/>
              <w:bidi w:val="0"/>
              <w:spacing w:before="0" w:after="283"/>
              <w:jc w:val="right"/>
              <w:rPr/>
            </w:pPr>
            <w:r>
              <w:rPr/>
              <w:t>3,600,802</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374" w:type="dxa"/>
            <w:tcBorders/>
            <w:shd w:fill="EEEEEE" w:val="clear"/>
            <w:tcMar>
              <w:bottom w:w="0" w:type="dxa"/>
            </w:tcMar>
            <w:vAlign w:val="center"/>
          </w:tcPr>
          <w:p>
            <w:pPr>
              <w:pStyle w:val="TableContents"/>
              <w:bidi w:val="0"/>
              <w:spacing w:before="0" w:after="283"/>
              <w:jc w:val="left"/>
              <w:rPr/>
            </w:pPr>
            <w:r>
              <w:rPr/>
              <w:t>$</w:t>
            </w:r>
          </w:p>
        </w:tc>
        <w:tc>
          <w:tcPr>
            <w:tcW w:w="1176" w:type="dxa"/>
            <w:tcBorders/>
            <w:shd w:fill="EEEEEE" w:val="clear"/>
            <w:tcMar>
              <w:bottom w:w="0" w:type="dxa"/>
            </w:tcMar>
            <w:vAlign w:val="center"/>
          </w:tcPr>
          <w:p>
            <w:pPr>
              <w:pStyle w:val="TableContents"/>
              <w:bidi w:val="0"/>
              <w:spacing w:before="0" w:after="283"/>
              <w:jc w:val="right"/>
              <w:rPr/>
            </w:pPr>
            <w:r>
              <w:rPr/>
              <w:t>1.12</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83" w:type="dxa"/>
            <w:tcBorders/>
            <w:shd w:fill="EEEEEE" w:val="clear"/>
            <w:tcMar>
              <w:bottom w:w="0" w:type="dxa"/>
            </w:tcMar>
            <w:vAlign w:val="center"/>
          </w:tcPr>
          <w:p>
            <w:pPr>
              <w:pStyle w:val="TableContents"/>
              <w:bidi w:val="0"/>
              <w:spacing w:before="0" w:after="283"/>
              <w:jc w:val="left"/>
              <w:rPr/>
            </w:pPr>
            <w:r>
              <w:rPr/>
              <w:t> </w:t>
            </w:r>
          </w:p>
        </w:tc>
        <w:tc>
          <w:tcPr>
            <w:tcW w:w="1381" w:type="dxa"/>
            <w:tcBorders/>
            <w:shd w:fill="EEEEEE" w:val="clear"/>
            <w:tcMar>
              <w:bottom w:w="0" w:type="dxa"/>
            </w:tcMar>
            <w:vAlign w:val="center"/>
          </w:tcPr>
          <w:p>
            <w:pPr>
              <w:pStyle w:val="TableContents"/>
              <w:bidi w:val="0"/>
              <w:spacing w:before="0" w:after="283"/>
              <w:jc w:val="right"/>
              <w:rPr/>
            </w:pPr>
            <w:r>
              <w:rPr/>
              <w:t>1,399,198</w:t>
            </w:r>
          </w:p>
        </w:tc>
        <w:tc>
          <w:tcPr>
            <w:tcW w:w="79" w:type="dxa"/>
            <w:tcBorders/>
            <w:shd w:fill="EEEEEE" w:val="clear"/>
            <w:tcMar>
              <w:bottom w:w="0" w:type="dxa"/>
            </w:tcMar>
            <w:vAlign w:val="center"/>
          </w:tcPr>
          <w:p>
            <w:pPr>
              <w:pStyle w:val="TableContents"/>
              <w:bidi w:val="0"/>
              <w:spacing w:before="0" w:after="283"/>
              <w:jc w:val="left"/>
              <w:rPr/>
            </w:pPr>
            <w:r>
              <w:rPr/>
              <w:t> </w:t>
            </w:r>
          </w:p>
        </w:tc>
      </w:tr>
      <w:tr>
        <w:trPr/>
        <w:tc>
          <w:tcPr>
            <w:tcW w:w="5390" w:type="dxa"/>
            <w:tcBorders/>
            <w:shd w:fill="FFFFFF" w:val="clear"/>
            <w:tcMar>
              <w:bottom w:w="0" w:type="dxa"/>
            </w:tcMar>
            <w:vAlign w:val="center"/>
          </w:tcPr>
          <w:p>
            <w:pPr>
              <w:pStyle w:val="TableContents"/>
              <w:bidi w:val="0"/>
              <w:spacing w:before="0" w:after="283"/>
              <w:jc w:val="left"/>
              <w:rPr/>
            </w:pPr>
            <w:r>
              <w:rPr/>
              <w:t>Equity compensation plans not approved by security holders (1)</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bottom w:val="single" w:sz="8" w:space="0" w:color="000000"/>
            </w:tcBorders>
            <w:shd w:fill="FFFFFF" w:val="clear"/>
            <w:vAlign w:val="center"/>
          </w:tcPr>
          <w:p>
            <w:pPr>
              <w:pStyle w:val="TableContents"/>
              <w:bidi w:val="0"/>
              <w:spacing w:before="0" w:after="283"/>
              <w:jc w:val="left"/>
              <w:rPr/>
            </w:pPr>
            <w:r>
              <w:rPr/>
              <w:t> </w:t>
            </w:r>
          </w:p>
        </w:tc>
        <w:tc>
          <w:tcPr>
            <w:tcW w:w="1341"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4" w:type="dxa"/>
            <w:tcBorders>
              <w:bottom w:val="single" w:sz="8" w:space="0" w:color="000000"/>
            </w:tcBorders>
            <w:shd w:fill="FFFFFF" w:val="clear"/>
            <w:vAlign w:val="center"/>
          </w:tcPr>
          <w:p>
            <w:pPr>
              <w:pStyle w:val="TableContents"/>
              <w:bidi w:val="0"/>
              <w:spacing w:before="0" w:after="283"/>
              <w:jc w:val="left"/>
              <w:rPr/>
            </w:pPr>
            <w:r>
              <w:rPr/>
              <w:t> </w:t>
            </w:r>
          </w:p>
        </w:tc>
        <w:tc>
          <w:tcPr>
            <w:tcW w:w="1176"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bottom w:val="single" w:sz="8" w:space="0" w:color="000000"/>
            </w:tcBorders>
            <w:shd w:fill="FFFFFF" w:val="clear"/>
            <w:vAlign w:val="center"/>
          </w:tcPr>
          <w:p>
            <w:pPr>
              <w:pStyle w:val="TableContents"/>
              <w:bidi w:val="0"/>
              <w:spacing w:before="0" w:after="283"/>
              <w:jc w:val="left"/>
              <w:rPr/>
            </w:pPr>
            <w:r>
              <w:rPr/>
              <w:t> </w:t>
            </w:r>
          </w:p>
        </w:tc>
        <w:tc>
          <w:tcPr>
            <w:tcW w:w="1381" w:type="dxa"/>
            <w:tcBorders>
              <w:bottom w:val="single" w:sz="8" w:space="0" w:color="000000"/>
            </w:tcBorders>
            <w:shd w:fill="FFFFFF" w:val="clear"/>
            <w:vAlign w:val="center"/>
          </w:tcPr>
          <w:p>
            <w:pPr>
              <w:pStyle w:val="TableContents"/>
              <w:bidi w:val="0"/>
              <w:spacing w:before="0" w:after="283"/>
              <w:jc w:val="right"/>
              <w:rPr/>
            </w:pPr>
            <w:r>
              <w:rPr/>
              <w:t>–</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5390" w:type="dxa"/>
            <w:tcBorders/>
            <w:shd w:fill="EEEEEE" w:val="clear"/>
            <w:tcMar>
              <w:bottom w:w="0" w:type="dxa"/>
            </w:tcMar>
            <w:vAlign w:val="center"/>
          </w:tcPr>
          <w:p>
            <w:pPr>
              <w:pStyle w:val="TableContents"/>
              <w:bidi w:val="0"/>
              <w:spacing w:before="0" w:after="283"/>
              <w:jc w:val="left"/>
              <w:rPr/>
            </w:pPr>
            <w:r>
              <w:rPr/>
              <w:t>Total</w:t>
            </w:r>
          </w:p>
        </w:tc>
        <w:tc>
          <w:tcPr>
            <w:tcW w:w="60" w:type="dxa"/>
            <w:tcBorders/>
            <w:shd w:fill="EEEEEE" w:val="clear"/>
            <w:tcMar>
              <w:bottom w:w="0" w:type="dxa"/>
            </w:tcMar>
            <w:vAlign w:val="center"/>
          </w:tcPr>
          <w:p>
            <w:pPr>
              <w:pStyle w:val="TableContents"/>
              <w:bidi w:val="0"/>
              <w:spacing w:before="0" w:after="283"/>
              <w:jc w:val="left"/>
              <w:rPr/>
            </w:pPr>
            <w:r>
              <w:rPr/>
              <w:t> </w:t>
            </w:r>
          </w:p>
        </w:tc>
        <w:tc>
          <w:tcPr>
            <w:tcW w:w="81" w:type="dxa"/>
            <w:tcBorders>
              <w:bottom w:val="double" w:sz="6" w:space="0" w:color="000000"/>
            </w:tcBorders>
            <w:shd w:fill="EEEEEE" w:val="clear"/>
            <w:vAlign w:val="center"/>
          </w:tcPr>
          <w:p>
            <w:pPr>
              <w:pStyle w:val="TableContents"/>
              <w:bidi w:val="0"/>
              <w:spacing w:before="0" w:after="283"/>
              <w:jc w:val="left"/>
              <w:rPr/>
            </w:pPr>
            <w:r>
              <w:rPr/>
              <w:t> </w:t>
            </w:r>
          </w:p>
        </w:tc>
        <w:tc>
          <w:tcPr>
            <w:tcW w:w="1341" w:type="dxa"/>
            <w:tcBorders>
              <w:bottom w:val="double" w:sz="6" w:space="0" w:color="000000"/>
            </w:tcBorders>
            <w:shd w:fill="EEEEEE"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3, 600,802</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374" w:type="dxa"/>
            <w:tcBorders>
              <w:bottom w:val="double" w:sz="6" w:space="0" w:color="000000"/>
            </w:tcBorders>
            <w:shd w:fill="EEEEEE" w:val="clear"/>
            <w:vAlign w:val="center"/>
          </w:tcPr>
          <w:p>
            <w:pPr>
              <w:pStyle w:val="TableContents"/>
              <w:bidi w:val="0"/>
              <w:spacing w:before="0" w:after="283"/>
              <w:jc w:val="left"/>
              <w:rPr/>
            </w:pPr>
            <w:r>
              <w:rPr/>
              <w:t>$</w:t>
            </w:r>
          </w:p>
        </w:tc>
        <w:tc>
          <w:tcPr>
            <w:tcW w:w="1176" w:type="dxa"/>
            <w:tcBorders>
              <w:bottom w:val="double" w:sz="6" w:space="0" w:color="000000"/>
            </w:tcBorders>
            <w:shd w:fill="EEEEEE" w:val="clear"/>
            <w:vAlign w:val="center"/>
          </w:tcPr>
          <w:p>
            <w:pPr>
              <w:pStyle w:val="TableContents"/>
              <w:bidi w:val="0"/>
              <w:spacing w:before="0" w:after="283"/>
              <w:jc w:val="right"/>
              <w:rPr/>
            </w:pPr>
            <w:r>
              <w:rPr/>
              <w:t>1.12</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83" w:type="dxa"/>
            <w:tcBorders>
              <w:bottom w:val="double" w:sz="6" w:space="0" w:color="000000"/>
            </w:tcBorders>
            <w:shd w:fill="EEEEEE" w:val="clear"/>
            <w:vAlign w:val="center"/>
          </w:tcPr>
          <w:p>
            <w:pPr>
              <w:pStyle w:val="TableContents"/>
              <w:bidi w:val="0"/>
              <w:spacing w:before="0" w:after="283"/>
              <w:jc w:val="left"/>
              <w:rPr/>
            </w:pPr>
            <w:r>
              <w:rPr/>
              <w:t> </w:t>
            </w:r>
          </w:p>
        </w:tc>
        <w:tc>
          <w:tcPr>
            <w:tcW w:w="1381" w:type="dxa"/>
            <w:tcBorders>
              <w:bottom w:val="double" w:sz="6" w:space="0" w:color="000000"/>
            </w:tcBorders>
            <w:shd w:fill="EEEEEE" w:val="clear"/>
            <w:vAlign w:val="center"/>
          </w:tcPr>
          <w:p>
            <w:pPr>
              <w:pStyle w:val="TableContents"/>
              <w:bidi w:val="0"/>
              <w:spacing w:before="0" w:after="283"/>
              <w:jc w:val="right"/>
              <w:rPr/>
            </w:pPr>
            <w:r>
              <w:rPr/>
              <w:t>1,399,198</w:t>
            </w:r>
          </w:p>
        </w:tc>
        <w:tc>
          <w:tcPr>
            <w:tcW w:w="79" w:type="dxa"/>
            <w:tcBorders/>
            <w:shd w:fill="EEEEEE"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Sales of Unregistered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is information regarding all securities issued by us within the past three years. Also included is the consideration received by us for such securities, if any, and information relating to the section of the Securities Act, or rule of the SEC, under which exemption from registration was claimed.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15, 2022, pursuant to the terms of a share transfer framework agreement (the “Transfer Agreement”) for acquisition of 100% of the ordinary shares of Anivia Limited (“Anivia”) and its subsidiaries and VIE, the Company issued 3,083,700 restricted shares (subject to a lock-up period of 180 days and insider trading rules) of the Company’s common stock to White Cherry Limited, a BVI company (“White Cherry”). The shares issued under the Transfer Agreement were issued in accordance with Regulation S of the Securities Act. Please see Note 4 of the Notes to Consolidated Financial Statements for further details concerning the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27, 2021, the Company completed a private placement offering pursuant to which the Company sold to two accredited investors an aggregate of $3,000,000 in convertible notes with a 6% interest per annum (the “Convertible Note”) and warrants to purchase shares of Class A Common Stock equaling 80% of the number of shares of Class A Common Stock issuable upon conversion of the Convertible Notes. The warrants are exercisable for a period of three years from the IPO completion date at a per share exercise price equal to the IPO. The Convertible Notes automatically converted into the Company’s common stock upon completion of a qualified IPO (the “Mandatory Conversion”) or were repayable in cash at the option of the holders of the Convertible Notes with repayment to commence six months after January 27, 2021. At the time of our IPO, pursuant to their terms, the Convertible Notes converted at a price equal to the lesser of (a) a price representing a 30% discount to the public offering price per share of the Class A Common Stock in this Offering, or (b)  a price representing a 30% discount to the price per share equal to dividing $200 million by the total number of (x) outstanding shares of Class A Common Stock immediately prior to the IPO, (y) the number of Class A Common Stock issuable upon conversion of the 34,500 shares of Series A Preferred Stock, and (z) the number of Class A Common Stock issuable upon conversion of all outstanding Convertible Notes. Any interest accrued on the Convertible Note will be waived upon conversion. The Convertible Notes and warrants were sold pursuant to an exemption from registration under Rule 506(b) under Regulation D of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Convertible Note offering, the Company issued placement agent warrants to purchase 7.0% of the shares of Class A Common Stock underlying the Convertible Notes exercisable at the conversion price of the Convertible Note (the “Conversion Price”). The placement agent warrants were exercisable for a period of five years from the issuance date and are treated as a debt issuance cost.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Issuer Purchases of Equity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2" w:name="k_017"/>
      <w:bookmarkEnd w:id="42"/>
      <w:r>
        <w:rPr>
          <w:rFonts w:ascii="Times New Roman;Times;Serif" w:hAnsi="Times New Roman;Times;Serif"/>
          <w:b/>
          <w:i w:val="false"/>
          <w:caps w:val="false"/>
          <w:smallCaps w:val="false"/>
          <w:sz w:val="20"/>
        </w:rPr>
        <w:t>ITEM 6. [Reserved]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3" w:name="k_018"/>
      <w:bookmarkEnd w:id="43"/>
      <w:r>
        <w:rPr>
          <w:rFonts w:ascii="Times New Roman;Times;Serif" w:hAnsi="Times New Roman;Times;Serif"/>
          <w:b/>
          <w:i w:val="false"/>
          <w:caps w:val="false"/>
          <w:smallCaps w:val="false"/>
          <w:sz w:val="20"/>
        </w:rPr>
        <w:t>ITEM 7. MANAGEMENT’S DISCUSSION AND ANALYSIS OF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Management’s Discussion and Analysis of Financial Condition and Results of Operations (the “MD&amp;A”) should be read in conjunction with our financial statements and the related notes thereto included elsewhere herein. The MD&amp;A contains forward-looking statements that involve risks and uncertainties, such as statements of our plans, objectives, expectations, and intentions. Any statements that are not statements of historical fact are forward-looking statements. When used, the words “believe,” “plan,” “intend,” “anticipate,” “target,” “estimate,” “expect,” and the like, and/or future-tense or conditional constructions (“will,” “may,” “could,” “should,” etc.), or similar expressions, identify certain of these forward-looking statements. These forward-looking statements are subject to risks and uncertainties that could cause actual results or events to differ materially from those expressed or implied by the forward-looking statements in this report. Our actual results and the timing of events could differ materially from those anticipated in these forward-looking statements as a result of several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Historical results may not indicate future performance. Our forward-looking statements reflect our current views about future events, are based on assumptions and are subject to known and unknown risks and uncertainties that could cause actual results to differ materially from those contemplated by these statements. We undertake no obligation to publicly update or revise any forward-looking statements, including any changes that might result from any facts, events, or circumstances after the date hereof that may bear upon forward-looking statements. Furthermore, we cannot guarantee future results, events, levels of activity, performance, or achievements.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Driven by tech and data, iPower Inc. is an online supplier of consumer goods, including hydroponics equipment, general gardening supplies, and consumer home goods. Through the operations of our e-commerce platforms and channel partners, our 99,000 square foot fulfillment center in Rancho Cucamonga, California, and our combined 121,000 square foot fulfillment centers in Los Angeles, California, we believe we are one of the leading marketers, distributors and retailers in the consumer gardening and home goods categories, based on management’s estimates. Our core strategy continues to focus on expanding our geographic reach across the United States and internationally through organic growth, both in terms of expanding customer base as well as brand and product development. iPower has developed a set of methodologies driven by proprietary data formulas to effectively bring products to market and sales.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actively developing and acquiring our in-house branded products, which to date include the </w:t>
      </w:r>
      <w:r>
        <w:rPr>
          <w:rFonts w:ascii="Times New Roman;Times;Serif" w:hAnsi="Times New Roman;Times;Serif"/>
          <w:b/>
          <w:i/>
          <w:caps w:val="false"/>
          <w:smallCaps w:val="false"/>
          <w:sz w:val="20"/>
        </w:rPr>
        <w:t>iPower</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caps w:val="false"/>
          <w:smallCaps w:val="false"/>
          <w:sz w:val="20"/>
        </w:rPr>
        <w:t>Simple Deluxe</w:t>
      </w:r>
      <w:r>
        <w:rPr>
          <w:rFonts w:ascii="Times New Roman;Times;Serif" w:hAnsi="Times New Roman;Times;Serif"/>
          <w:b w:val="false"/>
          <w:i w:val="false"/>
          <w:caps w:val="false"/>
          <w:smallCaps w:val="false"/>
          <w:sz w:val="20"/>
        </w:rPr>
        <w:t xml:space="preserve"> brands and more, some of which have been designated as Amazon best seller product leaders and Amazon Choice products, among others.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Acquisitions and Joint Ventures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15, 2022, in exchange for total consideration with a fair value of $10.6 million, we acquired 100% of the ordinary shares of Anivia, a corporation organized under the laws of the British Virgin Islands (“BVI”), in accordance with the terms of a share transfer framework agreement (the “Transfer Agreement”), dated February 15, 2022, by and between the Company, White Cherry Limited, a BVI company (“White Cherry”), White Cherry’s equity holders, Li Zanyu and Xie Jing (together with White Cherry, the “Sellers”), Anivia, Fly Elephant Limited, a Hong Kong company, Dayourenzai (Shenzhen) Technology Co., Ltd., and Daheshou (Shenzhen) Information Technology Co., Ltd. Anivia owns 100% of the equity of Fly Elephant Limited, which in turn owns 100% of the equity of Dayourenzai (Shenzhen) Technology Co., Ltd., a corporation located in the PRC and which is a wholly foreign-owned enterprise (“WFOE”) of Fly Elephant Limited. The WFOE controls, through a series of contractual arrangements summarized below, the business, revenues and profits of Daheshou (Shenzhen) Information Technology Co., Ltd., a company organized under the Laws of the PRC (the “Operating Company”) and located in Shenzhen, China. The Operating Company is principally engaged in selling of a wide range of products and providing logistic services in the PRC.</w:t>
      </w:r>
    </w:p>
    <w:p>
      <w:pPr>
        <w:pStyle w:val="TextBody"/>
        <w:shd w:fill="FFFFFF" w:val="clear"/>
        <w:bidi w:val="0"/>
        <w:spacing w:before="0" w:after="0"/>
        <w:ind w:left="9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10, 2022, we entered into a joint venture agreement with Bro Angel, LLC, Ji Shin, and Bing Luo (the “GSM Joint Venture Agreement”). Pursuant to the terms of the GSM Joint Venture Agreement, the parties formed a Nevada limited liability company, Global Social Media, LLC (“GSM”), for the principal purpose of providing a social media platform, contents and services to assist businesses, including the Company and other businesses, in the marketing of their products. Following entry into the GSM Joint Venture Agreement, GSM issued 10,000 certificated units of membership interest (the “GSM Equity Units”), of which the Company was issued 6,000 GSM Equity Units and Bro Angel was issued 4,000 GSM Equity Units. Messrs. Shin and Luo are the owners of 100% of the equity of Bro Angel.</w:t>
      </w:r>
    </w:p>
    <w:p>
      <w:pPr>
        <w:pStyle w:val="TextBody"/>
        <w:shd w:fill="FFFFFF" w:val="clear"/>
        <w:bidi w:val="0"/>
        <w:spacing w:before="0" w:after="0"/>
        <w:ind w:left="9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GSM limited liability operating agreement (the “GSM LLC Agreement”), the Company will contribute $100,000 to the capital of GSM and Bro Angel granted GSM, pursuant to the terms of an intellectual property licensing agreement, dated February 10, 2022 (the “IP License Agreement”), an exclusive worldwide paid up right and license to use all intellectual property of Bro Angel and its members for the purpose of furthering the proposed business of GSM. The LLC Agreement prohibits the issuance of additional GSM Equity Units and certain other actions unless approved in advance by the Company.</w:t>
      </w:r>
    </w:p>
    <w:p>
      <w:pPr>
        <w:pStyle w:val="TextBody"/>
        <w:shd w:fill="FFFFFF" w:val="clear"/>
        <w:bidi w:val="0"/>
        <w:spacing w:before="0" w:after="0"/>
        <w:ind w:left="9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GSM Joint Venture Agreement, the Company and GSM also intend to enter into an occupancy management agreement pursuant to which the Company will grant to GSM the right to have access to and use of up to approximately 4,000 square feet of office space along with internet access at the Company’s facility located at 2399 Bateman Avenue, Irwindale, CA 91010. It was contemplated that only approximately 300-400 square feet will be initially used by GSM. However, since the space was never utilized by GSM, iPower resumed using the contemplated space during the fiscal year ended June 30,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Trends and Expectations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Product and Brand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plan to increase investments in product and brand development. We actively evaluate potential acquisition opportunities of companies and product brand names that can complement our product catalog and improve on existing products and supply chain efficiencies.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Global Economic Disruption </w:t>
      </w:r>
    </w:p>
    <w:p>
      <w:pPr>
        <w:pStyle w:val="TextBody"/>
        <w:bidi w:val="0"/>
        <w:spacing w:before="0" w:after="0"/>
        <w:ind w:left="159" w:right="159"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at present the majority of our products are sourced either in the United States or China, the military conflict between Russia and Ukraine may nonetheless increase the likelihood of supply chain interruptions and hinder our ability to find the materials we need to make our products. Thus far, as a result of the general global economic disruption, we have experienced a decrease in the speed with which we are able to purchase new inventory, as well as an increase in costs due to delays in shipping, resulting increase in time with which products remain in our warehouse facilities, thus resulting in reduced profits. In addition, supply chain disruptions may make it harder for us to find favorable pricing and reliable sources for the materials we need, putting upward pressure on our costs and increasing the risk that we may be unable to acquire the materials and services we need to continue to make certain products.</w:t>
      </w:r>
    </w:p>
    <w:p>
      <w:pPr>
        <w:pStyle w:val="TextBody"/>
        <w:bidi w:val="0"/>
        <w:spacing w:before="0" w:after="0"/>
        <w:ind w:left="159" w:right="159" w:firstLine="720"/>
        <w:jc w:val="both"/>
        <w:rPr>
          <w:caps w:val="false"/>
          <w:smallCaps w:val="false"/>
        </w:rPr>
      </w:pPr>
      <w:r>
        <w:rPr>
          <w:caps w:val="false"/>
          <w:smallCaps w:val="false"/>
        </w:rPr>
        <w:t> </w:t>
      </w:r>
    </w:p>
    <w:p>
      <w:pPr>
        <w:pStyle w:val="TextBody"/>
        <w:bidi w:val="0"/>
        <w:spacing w:before="0" w:after="0"/>
        <w:ind w:left="159" w:right="159"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Ongoing COVID-19 Outbreak and Related Disruptions</w:t>
      </w:r>
    </w:p>
    <w:p>
      <w:pPr>
        <w:pStyle w:val="TextBody"/>
        <w:bidi w:val="0"/>
        <w:spacing w:before="0" w:after="0"/>
        <w:ind w:left="159" w:right="159"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worst of the COVID-19 pandemic has seemingly passed, we are continuing to closely monitor its impact on our business, results of operations and financial results. The situation surrounding the COVID-19 outbreak remains fluid and the full extent of the positive or negative impact of the COVID-19 outbreak on our business will depend on certain developments including the length of time any regional outbreaks, the impact on consumer activity and behaviors and the effect on our customers, employees, suppliers, and stockholders, all of which are uncertain and cannot be predicted. While the COVID-19 outbreak has not had a material adverse impact on our operations to date and we believe the long-term opportunity that we see for shopping online remains unchanged, it is difficult to predict all of the positive or negative impacts the COVID-19 outbreak will have on our business. We will continue to actively monitor the situation and may take further actions that alter our business operations as may be required by federal, state, local or foreign authorities, or that we determine are in the best interests of our customers, employees, suppliers, stockholders, and communities.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Regulatory Environment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sell hydroponic gardening products to end users that may use such products in new and emerging industries or segments, including the growing of cannabis. The demand for hydroponic gardening products depends on the uncertain growth of these industries or segments due to varying, inconsistent, and rapidly changing laws, regulations, administrative practices, enforcement approaches, judicial interpretations, and consumer perceptions. For example, certain countries and a total of 46 U.S. states plus the District of Columbia have adopted frameworks that authorize, regulate and tax the cultivation, processing, sale and use of cannabis for medicinal and/or non-medicinal use, including legalization of hemp and CBD, while the U.S. Controlled Substances Act and the laws of U.S. states prohibit growing cannabis. Demand for our products could be impacted by changes in the regulatory environment with respect to such industries and segments.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 the fiscal years ended June, 2023 and 2022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certain consolidated statement of operations information and presentation of that data as a percentage of change from period to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8568" w:type="dxa"/>
        <w:jc w:val="left"/>
        <w:tblInd w:w="0" w:type="dxa"/>
        <w:tblLayout w:type="fixed"/>
        <w:tblCellMar>
          <w:top w:w="0" w:type="dxa"/>
          <w:left w:w="0" w:type="dxa"/>
          <w:bottom w:w="0" w:type="dxa"/>
          <w:right w:w="0" w:type="dxa"/>
        </w:tblCellMar>
      </w:tblPr>
      <w:tblGrid>
        <w:gridCol w:w="4775"/>
        <w:gridCol w:w="60"/>
        <w:gridCol w:w="131"/>
        <w:gridCol w:w="1058"/>
        <w:gridCol w:w="80"/>
        <w:gridCol w:w="60"/>
        <w:gridCol w:w="138"/>
        <w:gridCol w:w="1051"/>
        <w:gridCol w:w="80"/>
        <w:gridCol w:w="60"/>
        <w:gridCol w:w="60"/>
        <w:gridCol w:w="920"/>
        <w:gridCol w:w="95"/>
      </w:tblGrid>
      <w:tr>
        <w:trPr/>
        <w:tc>
          <w:tcPr>
            <w:tcW w:w="47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2023</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2022</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8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Variance</w:t>
            </w:r>
          </w:p>
        </w:tc>
        <w:tc>
          <w:tcPr>
            <w:tcW w:w="95" w:type="dxa"/>
            <w:tcBorders/>
            <w:vAlign w:val="center"/>
          </w:tcPr>
          <w:p>
            <w:pPr>
              <w:pStyle w:val="TableContents"/>
              <w:bidi w:val="0"/>
              <w:spacing w:before="0" w:after="283"/>
              <w:jc w:val="left"/>
              <w:rPr/>
            </w:pPr>
            <w:r>
              <w:rPr/>
              <w:t> </w:t>
            </w:r>
          </w:p>
        </w:tc>
      </w:tr>
      <w:tr>
        <w:trPr/>
        <w:tc>
          <w:tcPr>
            <w:tcW w:w="4775" w:type="dxa"/>
            <w:tcBorders/>
            <w:shd w:fill="EEEEEE" w:val="clear"/>
            <w:vAlign w:val="center"/>
          </w:tcPr>
          <w:p>
            <w:pPr>
              <w:pStyle w:val="TableContents"/>
              <w:bidi w:val="0"/>
              <w:spacing w:before="0" w:after="283"/>
              <w:jc w:val="left"/>
              <w:rPr>
                <w:sz w:val="20"/>
              </w:rPr>
            </w:pPr>
            <w:r>
              <w:rPr>
                <w:sz w:val="20"/>
              </w:rPr>
              <w:t>Revenues</w:t>
            </w:r>
          </w:p>
        </w:tc>
        <w:tc>
          <w:tcPr>
            <w:tcW w:w="60" w:type="dxa"/>
            <w:tcBorders/>
            <w:shd w:fill="EEEEEE" w:val="clear"/>
            <w:vAlign w:val="center"/>
          </w:tcPr>
          <w:p>
            <w:pPr>
              <w:pStyle w:val="TableContents"/>
              <w:bidi w:val="0"/>
              <w:spacing w:before="0" w:after="283"/>
              <w:jc w:val="left"/>
              <w:rPr/>
            </w:pPr>
            <w:r>
              <w:rPr/>
              <w:t> </w:t>
            </w:r>
          </w:p>
        </w:tc>
        <w:tc>
          <w:tcPr>
            <w:tcW w:w="131" w:type="dxa"/>
            <w:tcBorders/>
            <w:shd w:fill="EEEEEE" w:val="clear"/>
            <w:vAlign w:val="center"/>
          </w:tcPr>
          <w:p>
            <w:pPr>
              <w:pStyle w:val="TableContents"/>
              <w:bidi w:val="0"/>
              <w:spacing w:before="0" w:after="283"/>
              <w:jc w:val="left"/>
              <w:rPr>
                <w:sz w:val="20"/>
              </w:rPr>
            </w:pPr>
            <w:r>
              <w:rPr>
                <w:sz w:val="20"/>
              </w:rPr>
              <w:t>$</w:t>
            </w:r>
          </w:p>
        </w:tc>
        <w:tc>
          <w:tcPr>
            <w:tcW w:w="1058" w:type="dxa"/>
            <w:tcBorders/>
            <w:shd w:fill="EEEEEE" w:val="clear"/>
            <w:vAlign w:val="center"/>
          </w:tcPr>
          <w:p>
            <w:pPr>
              <w:pStyle w:val="TableContents"/>
              <w:bidi w:val="0"/>
              <w:spacing w:before="0" w:after="283"/>
              <w:jc w:val="right"/>
              <w:rPr>
                <w:sz w:val="20"/>
              </w:rPr>
            </w:pPr>
            <w:r>
              <w:rPr>
                <w:sz w:val="20"/>
              </w:rPr>
              <w:t>88,902,048</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38" w:type="dxa"/>
            <w:tcBorders/>
            <w:shd w:fill="EEEEEE" w:val="clear"/>
            <w:vAlign w:val="center"/>
          </w:tcPr>
          <w:p>
            <w:pPr>
              <w:pStyle w:val="TableContents"/>
              <w:bidi w:val="0"/>
              <w:spacing w:before="0" w:after="283"/>
              <w:jc w:val="left"/>
              <w:rPr>
                <w:sz w:val="20"/>
              </w:rPr>
            </w:pPr>
            <w:r>
              <w:rPr>
                <w:sz w:val="20"/>
              </w:rPr>
              <w:t>$</w:t>
            </w:r>
          </w:p>
        </w:tc>
        <w:tc>
          <w:tcPr>
            <w:tcW w:w="1051" w:type="dxa"/>
            <w:tcBorders/>
            <w:shd w:fill="EEEEEE" w:val="clear"/>
            <w:vAlign w:val="center"/>
          </w:tcPr>
          <w:p>
            <w:pPr>
              <w:pStyle w:val="TableContents"/>
              <w:bidi w:val="0"/>
              <w:spacing w:before="0" w:after="283"/>
              <w:jc w:val="right"/>
              <w:rPr>
                <w:sz w:val="20"/>
              </w:rPr>
            </w:pPr>
            <w:r>
              <w:rPr>
                <w:sz w:val="20"/>
              </w:rPr>
              <w:t>79,418,473</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920" w:type="dxa"/>
            <w:tcBorders/>
            <w:shd w:fill="EEEEEE" w:val="clear"/>
            <w:vAlign w:val="center"/>
          </w:tcPr>
          <w:p>
            <w:pPr>
              <w:pStyle w:val="TableContents"/>
              <w:bidi w:val="0"/>
              <w:spacing w:before="0" w:after="283"/>
              <w:jc w:val="right"/>
              <w:rPr>
                <w:sz w:val="20"/>
              </w:rPr>
            </w:pPr>
            <w:r>
              <w:rPr>
                <w:sz w:val="20"/>
              </w:rPr>
              <w:t>11.94%</w:t>
            </w:r>
          </w:p>
        </w:tc>
        <w:tc>
          <w:tcPr>
            <w:tcW w:w="95" w:type="dxa"/>
            <w:tcBorders/>
            <w:shd w:fill="EEEEEE" w:val="clear"/>
            <w:vAlign w:val="center"/>
          </w:tcPr>
          <w:p>
            <w:pPr>
              <w:pStyle w:val="TableContents"/>
              <w:bidi w:val="0"/>
              <w:spacing w:before="0" w:after="283"/>
              <w:jc w:val="left"/>
              <w:rPr/>
            </w:pPr>
            <w:r>
              <w:rPr/>
              <w:t> </w:t>
            </w:r>
          </w:p>
        </w:tc>
      </w:tr>
      <w:tr>
        <w:trPr/>
        <w:tc>
          <w:tcPr>
            <w:tcW w:w="4775" w:type="dxa"/>
            <w:tcBorders/>
            <w:shd w:fill="FFFFFF" w:val="clear"/>
            <w:vAlign w:val="center"/>
          </w:tcPr>
          <w:p>
            <w:pPr>
              <w:pStyle w:val="TableContents"/>
              <w:bidi w:val="0"/>
              <w:spacing w:before="0" w:after="283"/>
              <w:jc w:val="left"/>
              <w:rPr>
                <w:sz w:val="20"/>
              </w:rPr>
            </w:pPr>
            <w:r>
              <w:rPr>
                <w:sz w:val="20"/>
              </w:rPr>
              <w:t>Cost of goods sold</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54,104,587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1"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46,218,580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sz w:val="20"/>
              </w:rPr>
            </w:pPr>
            <w:r>
              <w:rPr>
                <w:sz w:val="20"/>
              </w:rPr>
              <w:t>17.06%</w:t>
            </w:r>
          </w:p>
        </w:tc>
        <w:tc>
          <w:tcPr>
            <w:tcW w:w="95" w:type="dxa"/>
            <w:tcBorders/>
            <w:shd w:fill="FFFFFF" w:val="clear"/>
            <w:vAlign w:val="center"/>
          </w:tcPr>
          <w:p>
            <w:pPr>
              <w:pStyle w:val="TableContents"/>
              <w:bidi w:val="0"/>
              <w:spacing w:before="0" w:after="283"/>
              <w:jc w:val="left"/>
              <w:rPr/>
            </w:pPr>
            <w:r>
              <w:rPr/>
              <w:t> </w:t>
            </w:r>
          </w:p>
        </w:tc>
      </w:tr>
      <w:tr>
        <w:trPr/>
        <w:tc>
          <w:tcPr>
            <w:tcW w:w="4775" w:type="dxa"/>
            <w:tcBorders/>
            <w:shd w:fill="EEEEEE" w:val="clear"/>
            <w:vAlign w:val="center"/>
          </w:tcPr>
          <w:p>
            <w:pPr>
              <w:pStyle w:val="TableContents"/>
              <w:bidi w:val="0"/>
              <w:spacing w:before="0" w:after="283"/>
              <w:jc w:val="left"/>
              <w:rPr>
                <w:sz w:val="20"/>
              </w:rPr>
            </w:pPr>
            <w:r>
              <w:rPr>
                <w:sz w:val="20"/>
              </w:rPr>
              <w:t>Gross profit</w:t>
            </w:r>
          </w:p>
        </w:tc>
        <w:tc>
          <w:tcPr>
            <w:tcW w:w="60" w:type="dxa"/>
            <w:tcBorders/>
            <w:shd w:fill="EEEEEE" w:val="clear"/>
            <w:vAlign w:val="center"/>
          </w:tcPr>
          <w:p>
            <w:pPr>
              <w:pStyle w:val="TableContents"/>
              <w:bidi w:val="0"/>
              <w:spacing w:before="0" w:after="283"/>
              <w:jc w:val="left"/>
              <w:rPr/>
            </w:pPr>
            <w:r>
              <w:rPr/>
              <w:t> </w:t>
            </w:r>
          </w:p>
        </w:tc>
        <w:tc>
          <w:tcPr>
            <w:tcW w:w="131" w:type="dxa"/>
            <w:tcBorders/>
            <w:shd w:fill="EEEEEE" w:val="clear"/>
            <w:vAlign w:val="center"/>
          </w:tcPr>
          <w:p>
            <w:pPr>
              <w:pStyle w:val="TableContents"/>
              <w:bidi w:val="0"/>
              <w:spacing w:before="0" w:after="283"/>
              <w:jc w:val="left"/>
              <w:rPr/>
            </w:pPr>
            <w:r>
              <w:rPr/>
              <w:t> </w:t>
            </w:r>
          </w:p>
        </w:tc>
        <w:tc>
          <w:tcPr>
            <w:tcW w:w="1058" w:type="dxa"/>
            <w:tcBorders/>
            <w:shd w:fill="EEEEEE" w:val="clear"/>
            <w:vAlign w:val="center"/>
          </w:tcPr>
          <w:p>
            <w:pPr>
              <w:pStyle w:val="TableContents"/>
              <w:bidi w:val="0"/>
              <w:spacing w:before="0" w:after="283"/>
              <w:jc w:val="right"/>
              <w:rPr>
                <w:sz w:val="20"/>
              </w:rPr>
            </w:pPr>
            <w:r>
              <w:rPr>
                <w:sz w:val="20"/>
              </w:rPr>
              <w:t>34,797,461</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38" w:type="dxa"/>
            <w:tcBorders/>
            <w:shd w:fill="EEEEEE" w:val="clear"/>
            <w:vAlign w:val="center"/>
          </w:tcPr>
          <w:p>
            <w:pPr>
              <w:pStyle w:val="TableContents"/>
              <w:bidi w:val="0"/>
              <w:spacing w:before="0" w:after="283"/>
              <w:jc w:val="left"/>
              <w:rPr/>
            </w:pPr>
            <w:r>
              <w:rPr/>
              <w:t> </w:t>
            </w:r>
          </w:p>
        </w:tc>
        <w:tc>
          <w:tcPr>
            <w:tcW w:w="1051" w:type="dxa"/>
            <w:tcBorders/>
            <w:shd w:fill="EEEEEE" w:val="clear"/>
            <w:vAlign w:val="center"/>
          </w:tcPr>
          <w:p>
            <w:pPr>
              <w:pStyle w:val="TableContents"/>
              <w:bidi w:val="0"/>
              <w:spacing w:before="0" w:after="283"/>
              <w:jc w:val="right"/>
              <w:rPr>
                <w:sz w:val="20"/>
              </w:rPr>
            </w:pPr>
            <w:r>
              <w:rPr>
                <w:sz w:val="20"/>
              </w:rPr>
              <w:t>33,199,893</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920" w:type="dxa"/>
            <w:tcBorders/>
            <w:shd w:fill="EEEEEE" w:val="clear"/>
            <w:vAlign w:val="center"/>
          </w:tcPr>
          <w:p>
            <w:pPr>
              <w:pStyle w:val="TableContents"/>
              <w:bidi w:val="0"/>
              <w:spacing w:before="0" w:after="283"/>
              <w:jc w:val="right"/>
              <w:rPr>
                <w:sz w:val="20"/>
              </w:rPr>
            </w:pPr>
            <w:r>
              <w:rPr>
                <w:sz w:val="20"/>
              </w:rPr>
              <w:t>4.81%</w:t>
            </w:r>
          </w:p>
        </w:tc>
        <w:tc>
          <w:tcPr>
            <w:tcW w:w="95" w:type="dxa"/>
            <w:tcBorders/>
            <w:shd w:fill="EEEEEE" w:val="clear"/>
            <w:vAlign w:val="center"/>
          </w:tcPr>
          <w:p>
            <w:pPr>
              <w:pStyle w:val="TableContents"/>
              <w:bidi w:val="0"/>
              <w:spacing w:before="0" w:after="283"/>
              <w:jc w:val="left"/>
              <w:rPr/>
            </w:pPr>
            <w:r>
              <w:rPr/>
              <w:t> </w:t>
            </w:r>
          </w:p>
        </w:tc>
      </w:tr>
      <w:tr>
        <w:trPr/>
        <w:tc>
          <w:tcPr>
            <w:tcW w:w="4775" w:type="dxa"/>
            <w:tcBorders/>
            <w:shd w:fill="FFFFFF" w:val="clear"/>
            <w:vAlign w:val="center"/>
          </w:tcPr>
          <w:p>
            <w:pPr>
              <w:pStyle w:val="TableContents"/>
              <w:bidi w:val="0"/>
              <w:spacing w:before="0" w:after="283"/>
              <w:jc w:val="left"/>
              <w:rPr>
                <w:sz w:val="20"/>
              </w:rPr>
            </w:pPr>
            <w:r>
              <w:rPr>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48,281,004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1"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30,887,856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sz w:val="20"/>
              </w:rPr>
            </w:pPr>
            <w:r>
              <w:rPr>
                <w:sz w:val="20"/>
              </w:rPr>
              <w:t>56.31%</w:t>
            </w:r>
          </w:p>
        </w:tc>
        <w:tc>
          <w:tcPr>
            <w:tcW w:w="95" w:type="dxa"/>
            <w:tcBorders/>
            <w:shd w:fill="FFFFFF" w:val="clear"/>
            <w:vAlign w:val="center"/>
          </w:tcPr>
          <w:p>
            <w:pPr>
              <w:pStyle w:val="TableContents"/>
              <w:bidi w:val="0"/>
              <w:spacing w:before="0" w:after="283"/>
              <w:jc w:val="left"/>
              <w:rPr/>
            </w:pPr>
            <w:r>
              <w:rPr/>
              <w:t> </w:t>
            </w:r>
          </w:p>
        </w:tc>
      </w:tr>
      <w:tr>
        <w:trPr/>
        <w:tc>
          <w:tcPr>
            <w:tcW w:w="4775" w:type="dxa"/>
            <w:tcBorders/>
            <w:shd w:fill="EEEEEE" w:val="clear"/>
            <w:vAlign w:val="center"/>
          </w:tcPr>
          <w:p>
            <w:pPr>
              <w:pStyle w:val="TableContents"/>
              <w:bidi w:val="0"/>
              <w:spacing w:before="0" w:after="283"/>
              <w:jc w:val="left"/>
              <w:rPr>
                <w:sz w:val="20"/>
              </w:rPr>
            </w:pPr>
            <w:r>
              <w:rPr>
                <w:sz w:val="20"/>
              </w:rPr>
              <w:t>(Loss) Income from operations</w:t>
            </w:r>
          </w:p>
        </w:tc>
        <w:tc>
          <w:tcPr>
            <w:tcW w:w="60" w:type="dxa"/>
            <w:tcBorders/>
            <w:shd w:fill="EEEEEE" w:val="clear"/>
            <w:vAlign w:val="center"/>
          </w:tcPr>
          <w:p>
            <w:pPr>
              <w:pStyle w:val="TableContents"/>
              <w:bidi w:val="0"/>
              <w:spacing w:before="0" w:after="283"/>
              <w:jc w:val="left"/>
              <w:rPr/>
            </w:pPr>
            <w:r>
              <w:rPr/>
              <w:t> </w:t>
            </w:r>
          </w:p>
        </w:tc>
        <w:tc>
          <w:tcPr>
            <w:tcW w:w="131" w:type="dxa"/>
            <w:tcBorders/>
            <w:shd w:fill="EEEEEE" w:val="clear"/>
            <w:vAlign w:val="center"/>
          </w:tcPr>
          <w:p>
            <w:pPr>
              <w:pStyle w:val="TableContents"/>
              <w:bidi w:val="0"/>
              <w:spacing w:before="0" w:after="283"/>
              <w:jc w:val="left"/>
              <w:rPr/>
            </w:pPr>
            <w:r>
              <w:rPr/>
              <w:t> </w:t>
            </w:r>
          </w:p>
        </w:tc>
        <w:tc>
          <w:tcPr>
            <w:tcW w:w="1058" w:type="dxa"/>
            <w:tcBorders/>
            <w:shd w:fill="EEEEEE" w:val="clear"/>
            <w:vAlign w:val="center"/>
          </w:tcPr>
          <w:p>
            <w:pPr>
              <w:pStyle w:val="TableContents"/>
              <w:bidi w:val="0"/>
              <w:spacing w:before="0" w:after="283"/>
              <w:jc w:val="right"/>
              <w:rPr>
                <w:sz w:val="20"/>
              </w:rPr>
            </w:pPr>
            <w:r>
              <w:rPr>
                <w:sz w:val="20"/>
              </w:rPr>
              <w:t>(13,483,543</w:t>
            </w:r>
          </w:p>
        </w:tc>
        <w:tc>
          <w:tcPr>
            <w:tcW w:w="80" w:type="dxa"/>
            <w:tcBorders/>
            <w:shd w:fill="EEEEEE" w:val="clear"/>
            <w:vAlign w:val="center"/>
          </w:tcPr>
          <w:p>
            <w:pPr>
              <w:pStyle w:val="TableContents"/>
              <w:bidi w:val="0"/>
              <w:spacing w:before="0" w:after="283"/>
              <w:jc w:val="left"/>
              <w:rPr>
                <w:sz w:val="20"/>
              </w:rPr>
            </w:pPr>
            <w:r>
              <w:rPr>
                <w:sz w:val="20"/>
              </w:rPr>
              <w:t>)</w:t>
            </w:r>
          </w:p>
        </w:tc>
        <w:tc>
          <w:tcPr>
            <w:tcW w:w="60" w:type="dxa"/>
            <w:tcBorders/>
            <w:shd w:fill="EEEEEE" w:val="clear"/>
            <w:vAlign w:val="center"/>
          </w:tcPr>
          <w:p>
            <w:pPr>
              <w:pStyle w:val="TableContents"/>
              <w:bidi w:val="0"/>
              <w:spacing w:before="0" w:after="283"/>
              <w:jc w:val="left"/>
              <w:rPr/>
            </w:pPr>
            <w:r>
              <w:rPr/>
              <w:t> </w:t>
            </w:r>
          </w:p>
        </w:tc>
        <w:tc>
          <w:tcPr>
            <w:tcW w:w="138" w:type="dxa"/>
            <w:tcBorders/>
            <w:shd w:fill="EEEEEE" w:val="clear"/>
            <w:vAlign w:val="center"/>
          </w:tcPr>
          <w:p>
            <w:pPr>
              <w:pStyle w:val="TableContents"/>
              <w:bidi w:val="0"/>
              <w:spacing w:before="0" w:after="283"/>
              <w:jc w:val="left"/>
              <w:rPr/>
            </w:pPr>
            <w:r>
              <w:rPr/>
              <w:t> </w:t>
            </w:r>
          </w:p>
        </w:tc>
        <w:tc>
          <w:tcPr>
            <w:tcW w:w="1051" w:type="dxa"/>
            <w:tcBorders/>
            <w:shd w:fill="EEEEEE" w:val="clear"/>
            <w:vAlign w:val="center"/>
          </w:tcPr>
          <w:p>
            <w:pPr>
              <w:pStyle w:val="TableContents"/>
              <w:bidi w:val="0"/>
              <w:spacing w:before="0" w:after="283"/>
              <w:jc w:val="right"/>
              <w:rPr>
                <w:sz w:val="20"/>
              </w:rPr>
            </w:pPr>
            <w:r>
              <w:rPr>
                <w:sz w:val="20"/>
              </w:rPr>
              <w:t>2,312,037</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920" w:type="dxa"/>
            <w:tcBorders/>
            <w:shd w:fill="EEEEEE" w:val="clear"/>
            <w:vAlign w:val="center"/>
          </w:tcPr>
          <w:p>
            <w:pPr>
              <w:pStyle w:val="TableContents"/>
              <w:bidi w:val="0"/>
              <w:spacing w:before="0" w:after="283"/>
              <w:jc w:val="right"/>
              <w:rPr>
                <w:sz w:val="20"/>
              </w:rPr>
            </w:pPr>
            <w:r>
              <w:rPr>
                <w:sz w:val="20"/>
              </w:rPr>
              <w:t>(683.19%</w:t>
            </w:r>
          </w:p>
        </w:tc>
        <w:tc>
          <w:tcPr>
            <w:tcW w:w="95" w:type="dxa"/>
            <w:tcBorders/>
            <w:shd w:fill="EEEEEE" w:val="clear"/>
            <w:vAlign w:val="center"/>
          </w:tcPr>
          <w:p>
            <w:pPr>
              <w:pStyle w:val="TableContents"/>
              <w:bidi w:val="0"/>
              <w:spacing w:before="0" w:after="283"/>
              <w:jc w:val="left"/>
              <w:rPr>
                <w:sz w:val="20"/>
              </w:rPr>
            </w:pPr>
            <w:r>
              <w:rPr>
                <w:sz w:val="20"/>
              </w:rPr>
              <w:t>)</w:t>
            </w:r>
          </w:p>
        </w:tc>
      </w:tr>
      <w:tr>
        <w:trPr/>
        <w:tc>
          <w:tcPr>
            <w:tcW w:w="4775" w:type="dxa"/>
            <w:tcBorders/>
            <w:shd w:fill="FFFFFF" w:val="clear"/>
            <w:vAlign w:val="center"/>
          </w:tcPr>
          <w:p>
            <w:pPr>
              <w:pStyle w:val="TableContents"/>
              <w:bidi w:val="0"/>
              <w:spacing w:before="0" w:after="283"/>
              <w:jc w:val="left"/>
              <w:rPr>
                <w:sz w:val="20"/>
              </w:rPr>
            </w:pPr>
            <w:r>
              <w:rPr>
                <w:sz w:val="20"/>
              </w:rPr>
              <w:t>Other (expenses)</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(1,184,030</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3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1"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(248,419</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sz w:val="20"/>
              </w:rPr>
            </w:pPr>
            <w:r>
              <w:rPr>
                <w:sz w:val="20"/>
              </w:rPr>
              <w:t>376.63%</w:t>
            </w:r>
          </w:p>
        </w:tc>
        <w:tc>
          <w:tcPr>
            <w:tcW w:w="95" w:type="dxa"/>
            <w:tcBorders/>
            <w:shd w:fill="FFFFFF" w:val="clear"/>
            <w:vAlign w:val="center"/>
          </w:tcPr>
          <w:p>
            <w:pPr>
              <w:pStyle w:val="TableContents"/>
              <w:bidi w:val="0"/>
              <w:spacing w:before="0" w:after="283"/>
              <w:jc w:val="left"/>
              <w:rPr/>
            </w:pPr>
            <w:r>
              <w:rPr/>
              <w:t> </w:t>
            </w:r>
          </w:p>
        </w:tc>
      </w:tr>
      <w:tr>
        <w:trPr/>
        <w:tc>
          <w:tcPr>
            <w:tcW w:w="4775" w:type="dxa"/>
            <w:tcBorders/>
            <w:shd w:fill="EEEEEE" w:val="clear"/>
            <w:vAlign w:val="center"/>
          </w:tcPr>
          <w:p>
            <w:pPr>
              <w:pStyle w:val="TableContents"/>
              <w:bidi w:val="0"/>
              <w:spacing w:before="0" w:after="283"/>
              <w:jc w:val="left"/>
              <w:rPr>
                <w:sz w:val="20"/>
              </w:rPr>
            </w:pPr>
            <w:r>
              <w:rPr>
                <w:sz w:val="20"/>
              </w:rPr>
              <w:t>(Loss) Income before income taxes</w:t>
            </w:r>
          </w:p>
        </w:tc>
        <w:tc>
          <w:tcPr>
            <w:tcW w:w="60" w:type="dxa"/>
            <w:tcBorders/>
            <w:shd w:fill="EEEEEE" w:val="clear"/>
            <w:vAlign w:val="center"/>
          </w:tcPr>
          <w:p>
            <w:pPr>
              <w:pStyle w:val="TableContents"/>
              <w:bidi w:val="0"/>
              <w:spacing w:before="0" w:after="283"/>
              <w:jc w:val="left"/>
              <w:rPr/>
            </w:pPr>
            <w:r>
              <w:rPr/>
              <w:t> </w:t>
            </w:r>
          </w:p>
        </w:tc>
        <w:tc>
          <w:tcPr>
            <w:tcW w:w="131" w:type="dxa"/>
            <w:tcBorders/>
            <w:shd w:fill="EEEEEE" w:val="clear"/>
            <w:vAlign w:val="center"/>
          </w:tcPr>
          <w:p>
            <w:pPr>
              <w:pStyle w:val="TableContents"/>
              <w:bidi w:val="0"/>
              <w:spacing w:before="0" w:after="283"/>
              <w:jc w:val="left"/>
              <w:rPr/>
            </w:pPr>
            <w:r>
              <w:rPr/>
              <w:t> </w:t>
            </w:r>
          </w:p>
        </w:tc>
        <w:tc>
          <w:tcPr>
            <w:tcW w:w="1058" w:type="dxa"/>
            <w:tcBorders/>
            <w:shd w:fill="EEEEEE" w:val="clear"/>
            <w:vAlign w:val="center"/>
          </w:tcPr>
          <w:p>
            <w:pPr>
              <w:pStyle w:val="TableContents"/>
              <w:bidi w:val="0"/>
              <w:spacing w:before="0" w:after="283"/>
              <w:jc w:val="right"/>
              <w:rPr>
                <w:sz w:val="20"/>
              </w:rPr>
            </w:pPr>
            <w:r>
              <w:rPr>
                <w:sz w:val="20"/>
              </w:rPr>
              <w:t>(14,667,573</w:t>
            </w:r>
          </w:p>
        </w:tc>
        <w:tc>
          <w:tcPr>
            <w:tcW w:w="80" w:type="dxa"/>
            <w:tcBorders/>
            <w:shd w:fill="EEEEEE" w:val="clear"/>
            <w:vAlign w:val="center"/>
          </w:tcPr>
          <w:p>
            <w:pPr>
              <w:pStyle w:val="TableContents"/>
              <w:bidi w:val="0"/>
              <w:spacing w:before="0" w:after="283"/>
              <w:jc w:val="left"/>
              <w:rPr>
                <w:sz w:val="20"/>
              </w:rPr>
            </w:pPr>
            <w:r>
              <w:rPr>
                <w:sz w:val="20"/>
              </w:rPr>
              <w:t>)</w:t>
            </w:r>
          </w:p>
        </w:tc>
        <w:tc>
          <w:tcPr>
            <w:tcW w:w="60" w:type="dxa"/>
            <w:tcBorders/>
            <w:shd w:fill="EEEEEE" w:val="clear"/>
            <w:vAlign w:val="center"/>
          </w:tcPr>
          <w:p>
            <w:pPr>
              <w:pStyle w:val="TableContents"/>
              <w:bidi w:val="0"/>
              <w:spacing w:before="0" w:after="283"/>
              <w:jc w:val="left"/>
              <w:rPr/>
            </w:pPr>
            <w:r>
              <w:rPr/>
              <w:t> </w:t>
            </w:r>
          </w:p>
        </w:tc>
        <w:tc>
          <w:tcPr>
            <w:tcW w:w="138" w:type="dxa"/>
            <w:tcBorders/>
            <w:shd w:fill="EEEEEE" w:val="clear"/>
            <w:vAlign w:val="center"/>
          </w:tcPr>
          <w:p>
            <w:pPr>
              <w:pStyle w:val="TableContents"/>
              <w:bidi w:val="0"/>
              <w:spacing w:before="0" w:after="283"/>
              <w:jc w:val="left"/>
              <w:rPr/>
            </w:pPr>
            <w:r>
              <w:rPr/>
              <w:t> </w:t>
            </w:r>
          </w:p>
        </w:tc>
        <w:tc>
          <w:tcPr>
            <w:tcW w:w="1051" w:type="dxa"/>
            <w:tcBorders/>
            <w:shd w:fill="EEEEEE" w:val="clear"/>
            <w:vAlign w:val="center"/>
          </w:tcPr>
          <w:p>
            <w:pPr>
              <w:pStyle w:val="TableContents"/>
              <w:bidi w:val="0"/>
              <w:spacing w:before="0" w:after="283"/>
              <w:jc w:val="right"/>
              <w:rPr>
                <w:sz w:val="20"/>
              </w:rPr>
            </w:pPr>
            <w:r>
              <w:rPr>
                <w:sz w:val="20"/>
              </w:rPr>
              <w:t>2,063,618</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920" w:type="dxa"/>
            <w:tcBorders/>
            <w:shd w:fill="EEEEEE" w:val="clear"/>
            <w:vAlign w:val="center"/>
          </w:tcPr>
          <w:p>
            <w:pPr>
              <w:pStyle w:val="TableContents"/>
              <w:bidi w:val="0"/>
              <w:spacing w:before="0" w:after="283"/>
              <w:jc w:val="right"/>
              <w:rPr>
                <w:sz w:val="20"/>
              </w:rPr>
            </w:pPr>
            <w:r>
              <w:rPr>
                <w:sz w:val="20"/>
              </w:rPr>
              <w:t>(810.77%</w:t>
            </w:r>
          </w:p>
        </w:tc>
        <w:tc>
          <w:tcPr>
            <w:tcW w:w="95" w:type="dxa"/>
            <w:tcBorders/>
            <w:shd w:fill="EEEEEE" w:val="clear"/>
            <w:vAlign w:val="center"/>
          </w:tcPr>
          <w:p>
            <w:pPr>
              <w:pStyle w:val="TableContents"/>
              <w:bidi w:val="0"/>
              <w:spacing w:before="0" w:after="283"/>
              <w:jc w:val="left"/>
              <w:rPr>
                <w:sz w:val="20"/>
              </w:rPr>
            </w:pPr>
            <w:r>
              <w:rPr>
                <w:sz w:val="20"/>
              </w:rPr>
              <w:t>)</w:t>
            </w:r>
          </w:p>
        </w:tc>
      </w:tr>
      <w:tr>
        <w:trPr/>
        <w:tc>
          <w:tcPr>
            <w:tcW w:w="4775" w:type="dxa"/>
            <w:tcBorders/>
            <w:shd w:fill="FFFFFF" w:val="clear"/>
            <w:vAlign w:val="center"/>
          </w:tcPr>
          <w:p>
            <w:pPr>
              <w:pStyle w:val="TableContents"/>
              <w:bidi w:val="0"/>
              <w:spacing w:before="0" w:after="283"/>
              <w:jc w:val="left"/>
              <w:rPr>
                <w:sz w:val="20"/>
              </w:rPr>
            </w:pPr>
            <w:r>
              <w:rPr>
                <w:sz w:val="20"/>
              </w:rPr>
              <w:t>Income tax (benefit) expenses</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(2,690,500</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3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1"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558,975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sz w:val="20"/>
              </w:rPr>
            </w:pPr>
            <w:r>
              <w:rPr>
                <w:sz w:val="20"/>
              </w:rPr>
              <w:t>(581.33%</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4775" w:type="dxa"/>
            <w:tcBorders/>
            <w:shd w:fill="EEEEEE" w:val="clear"/>
            <w:vAlign w:val="center"/>
          </w:tcPr>
          <w:p>
            <w:pPr>
              <w:pStyle w:val="TableContents"/>
              <w:bidi w:val="0"/>
              <w:spacing w:before="0" w:after="283"/>
              <w:jc w:val="left"/>
              <w:rPr>
                <w:sz w:val="20"/>
              </w:rPr>
            </w:pPr>
            <w:r>
              <w:rPr>
                <w:sz w:val="20"/>
              </w:rPr>
              <w:t>Net (loss) income</w:t>
            </w:r>
          </w:p>
        </w:tc>
        <w:tc>
          <w:tcPr>
            <w:tcW w:w="60" w:type="dxa"/>
            <w:tcBorders/>
            <w:shd w:fill="EEEEEE" w:val="clear"/>
            <w:vAlign w:val="center"/>
          </w:tcPr>
          <w:p>
            <w:pPr>
              <w:pStyle w:val="TableContents"/>
              <w:bidi w:val="0"/>
              <w:spacing w:before="0" w:after="283"/>
              <w:jc w:val="left"/>
              <w:rPr/>
            </w:pPr>
            <w:r>
              <w:rPr/>
              <w:t> </w:t>
            </w:r>
          </w:p>
        </w:tc>
        <w:tc>
          <w:tcPr>
            <w:tcW w:w="131" w:type="dxa"/>
            <w:tcBorders/>
            <w:shd w:fill="EEEEEE" w:val="clear"/>
            <w:vAlign w:val="center"/>
          </w:tcPr>
          <w:p>
            <w:pPr>
              <w:pStyle w:val="TableContents"/>
              <w:bidi w:val="0"/>
              <w:spacing w:before="0" w:after="283"/>
              <w:jc w:val="left"/>
              <w:rPr/>
            </w:pPr>
            <w:r>
              <w:rPr/>
              <w:t> </w:t>
            </w:r>
          </w:p>
        </w:tc>
        <w:tc>
          <w:tcPr>
            <w:tcW w:w="1058" w:type="dxa"/>
            <w:tcBorders/>
            <w:shd w:fill="EEEEEE" w:val="clear"/>
            <w:vAlign w:val="center"/>
          </w:tcPr>
          <w:p>
            <w:pPr>
              <w:pStyle w:val="TableContents"/>
              <w:bidi w:val="0"/>
              <w:spacing w:before="0" w:after="283"/>
              <w:jc w:val="right"/>
              <w:rPr>
                <w:sz w:val="20"/>
              </w:rPr>
            </w:pPr>
            <w:r>
              <w:rPr>
                <w:sz w:val="20"/>
              </w:rPr>
              <w:t>(11,977,073</w:t>
            </w:r>
          </w:p>
        </w:tc>
        <w:tc>
          <w:tcPr>
            <w:tcW w:w="80" w:type="dxa"/>
            <w:tcBorders/>
            <w:shd w:fill="EEEEEE" w:val="clear"/>
            <w:vAlign w:val="center"/>
          </w:tcPr>
          <w:p>
            <w:pPr>
              <w:pStyle w:val="TableContents"/>
              <w:bidi w:val="0"/>
              <w:spacing w:before="0" w:after="283"/>
              <w:jc w:val="left"/>
              <w:rPr>
                <w:sz w:val="20"/>
              </w:rPr>
            </w:pPr>
            <w:r>
              <w:rPr>
                <w:sz w:val="20"/>
              </w:rPr>
              <w:t>)</w:t>
            </w:r>
          </w:p>
        </w:tc>
        <w:tc>
          <w:tcPr>
            <w:tcW w:w="60" w:type="dxa"/>
            <w:tcBorders/>
            <w:shd w:fill="EEEEEE" w:val="clear"/>
            <w:vAlign w:val="center"/>
          </w:tcPr>
          <w:p>
            <w:pPr>
              <w:pStyle w:val="TableContents"/>
              <w:bidi w:val="0"/>
              <w:spacing w:before="0" w:after="283"/>
              <w:jc w:val="left"/>
              <w:rPr/>
            </w:pPr>
            <w:r>
              <w:rPr/>
              <w:t> </w:t>
            </w:r>
          </w:p>
        </w:tc>
        <w:tc>
          <w:tcPr>
            <w:tcW w:w="138" w:type="dxa"/>
            <w:tcBorders/>
            <w:shd w:fill="EEEEEE" w:val="clear"/>
            <w:vAlign w:val="center"/>
          </w:tcPr>
          <w:p>
            <w:pPr>
              <w:pStyle w:val="TableContents"/>
              <w:bidi w:val="0"/>
              <w:spacing w:before="0" w:after="283"/>
              <w:jc w:val="left"/>
              <w:rPr/>
            </w:pPr>
            <w:r>
              <w:rPr/>
              <w:t> </w:t>
            </w:r>
          </w:p>
        </w:tc>
        <w:tc>
          <w:tcPr>
            <w:tcW w:w="1051" w:type="dxa"/>
            <w:tcBorders/>
            <w:shd w:fill="EEEEEE" w:val="clear"/>
            <w:vAlign w:val="center"/>
          </w:tcPr>
          <w:p>
            <w:pPr>
              <w:pStyle w:val="TableContents"/>
              <w:bidi w:val="0"/>
              <w:spacing w:before="0" w:after="283"/>
              <w:jc w:val="right"/>
              <w:rPr>
                <w:sz w:val="20"/>
              </w:rPr>
            </w:pPr>
            <w:r>
              <w:rPr>
                <w:sz w:val="20"/>
              </w:rPr>
              <w:t>1,504,643</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920" w:type="dxa"/>
            <w:tcBorders/>
            <w:shd w:fill="EEEEEE" w:val="clear"/>
            <w:vAlign w:val="center"/>
          </w:tcPr>
          <w:p>
            <w:pPr>
              <w:pStyle w:val="TableContents"/>
              <w:bidi w:val="0"/>
              <w:spacing w:before="0" w:after="283"/>
              <w:jc w:val="right"/>
              <w:rPr>
                <w:sz w:val="20"/>
              </w:rPr>
            </w:pPr>
            <w:r>
              <w:rPr>
                <w:sz w:val="20"/>
              </w:rPr>
              <w:t>(896.01%</w:t>
            </w:r>
          </w:p>
        </w:tc>
        <w:tc>
          <w:tcPr>
            <w:tcW w:w="95" w:type="dxa"/>
            <w:tcBorders/>
            <w:shd w:fill="EEEEEE" w:val="clear"/>
            <w:vAlign w:val="center"/>
          </w:tcPr>
          <w:p>
            <w:pPr>
              <w:pStyle w:val="TableContents"/>
              <w:bidi w:val="0"/>
              <w:spacing w:before="0" w:after="283"/>
              <w:jc w:val="left"/>
              <w:rPr>
                <w:sz w:val="20"/>
              </w:rPr>
            </w:pPr>
            <w:r>
              <w:rPr>
                <w:sz w:val="20"/>
              </w:rPr>
              <w:t>)</w:t>
            </w:r>
          </w:p>
        </w:tc>
      </w:tr>
      <w:tr>
        <w:trPr/>
        <w:tc>
          <w:tcPr>
            <w:tcW w:w="4775" w:type="dxa"/>
            <w:tcBorders/>
            <w:shd w:fill="FFFFFF" w:val="clear"/>
            <w:vAlign w:val="center"/>
          </w:tcPr>
          <w:p>
            <w:pPr>
              <w:pStyle w:val="TableContents"/>
              <w:bidi w:val="0"/>
              <w:spacing w:before="0" w:after="283"/>
              <w:jc w:val="left"/>
              <w:rPr>
                <w:sz w:val="20"/>
              </w:rPr>
            </w:pPr>
            <w:r>
              <w:rPr>
                <w:sz w:val="20"/>
              </w:rPr>
              <w:t>Non-controlling interest</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sz w:val="20"/>
              </w:rPr>
            </w:pPr>
            <w:r>
              <w:rPr>
                <w:sz w:val="20"/>
              </w:rPr>
              <w:t>(11,683</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right"/>
              <w:rPr>
                <w:sz w:val="20"/>
              </w:rPr>
            </w:pPr>
            <w:r>
              <w:rPr>
                <w:sz w:val="20"/>
              </w:rPr>
              <w:t>(13,232</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sz w:val="20"/>
              </w:rPr>
            </w:pPr>
            <w:r>
              <w:rPr>
                <w:sz w:val="20"/>
              </w:rPr>
              <w:t>(11.70%</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4775" w:type="dxa"/>
            <w:tcBorders/>
            <w:shd w:fill="EEEEEE" w:val="clear"/>
            <w:vAlign w:val="center"/>
          </w:tcPr>
          <w:p>
            <w:pPr>
              <w:pStyle w:val="TableContents"/>
              <w:bidi w:val="0"/>
              <w:spacing w:before="0" w:after="283"/>
              <w:jc w:val="left"/>
              <w:rPr>
                <w:sz w:val="20"/>
              </w:rPr>
            </w:pPr>
            <w:r>
              <w:rPr>
                <w:sz w:val="20"/>
              </w:rPr>
              <w:t>Net (loss) income attributable to iPower Inc.</w:t>
            </w:r>
          </w:p>
        </w:tc>
        <w:tc>
          <w:tcPr>
            <w:tcW w:w="60" w:type="dxa"/>
            <w:tcBorders/>
            <w:shd w:fill="EEEEEE" w:val="clear"/>
            <w:vAlign w:val="center"/>
          </w:tcPr>
          <w:p>
            <w:pPr>
              <w:pStyle w:val="TableContents"/>
              <w:bidi w:val="0"/>
              <w:spacing w:before="0" w:after="283"/>
              <w:jc w:val="left"/>
              <w:rPr/>
            </w:pPr>
            <w:r>
              <w:rPr/>
              <w:t> </w:t>
            </w:r>
          </w:p>
        </w:tc>
        <w:tc>
          <w:tcPr>
            <w:tcW w:w="131"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shd w:fill="EEEEEE" w:val="clear"/>
            <w:tcMar>
              <w:bottom w:w="28" w:type="dxa"/>
            </w:tcMar>
            <w:vAlign w:val="center"/>
          </w:tcPr>
          <w:p>
            <w:pPr>
              <w:pStyle w:val="TableContents"/>
              <w:bidi w:val="0"/>
              <w:spacing w:before="0" w:after="283"/>
              <w:jc w:val="right"/>
              <w:rPr>
                <w:sz w:val="20"/>
              </w:rPr>
            </w:pPr>
            <w:r>
              <w:rPr>
                <w:sz w:val="20"/>
              </w:rPr>
              <w:t>(11,965,390</w:t>
            </w:r>
          </w:p>
        </w:tc>
        <w:tc>
          <w:tcPr>
            <w:tcW w:w="80" w:type="dxa"/>
            <w:tcBorders/>
            <w:shd w:fill="EEEEEE" w:val="clear"/>
            <w:vAlign w:val="center"/>
          </w:tcPr>
          <w:p>
            <w:pPr>
              <w:pStyle w:val="TableContents"/>
              <w:bidi w:val="0"/>
              <w:spacing w:before="0" w:after="283"/>
              <w:jc w:val="left"/>
              <w:rPr>
                <w:sz w:val="20"/>
              </w:rPr>
            </w:pPr>
            <w:r>
              <w:rPr>
                <w:sz w:val="20"/>
              </w:rPr>
              <w:t>)</w:t>
            </w:r>
          </w:p>
        </w:tc>
        <w:tc>
          <w:tcPr>
            <w:tcW w:w="60" w:type="dxa"/>
            <w:tcBorders/>
            <w:shd w:fill="EEEEEE" w:val="clear"/>
            <w:vAlign w:val="center"/>
          </w:tcPr>
          <w:p>
            <w:pPr>
              <w:pStyle w:val="TableContents"/>
              <w:bidi w:val="0"/>
              <w:spacing w:before="0" w:after="283"/>
              <w:jc w:val="left"/>
              <w:rPr/>
            </w:pPr>
            <w:r>
              <w:rPr/>
              <w:t> </w:t>
            </w:r>
          </w:p>
        </w:tc>
        <w:tc>
          <w:tcPr>
            <w:tcW w:w="138"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051" w:type="dxa"/>
            <w:tcBorders>
              <w:bottom w:val="single" w:sz="8" w:space="0" w:color="000000"/>
            </w:tcBorders>
            <w:shd w:fill="EEEEEE" w:val="clear"/>
            <w:tcMar>
              <w:bottom w:w="28" w:type="dxa"/>
            </w:tcMar>
            <w:vAlign w:val="center"/>
          </w:tcPr>
          <w:p>
            <w:pPr>
              <w:pStyle w:val="TableContents"/>
              <w:bidi w:val="0"/>
              <w:spacing w:before="0" w:after="283"/>
              <w:jc w:val="right"/>
              <w:rPr>
                <w:sz w:val="20"/>
              </w:rPr>
            </w:pPr>
            <w:r>
              <w:rPr>
                <w:sz w:val="20"/>
              </w:rPr>
              <w:t>1,517,875</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920" w:type="dxa"/>
            <w:tcBorders/>
            <w:shd w:fill="EEEEEE" w:val="clear"/>
            <w:vAlign w:val="center"/>
          </w:tcPr>
          <w:p>
            <w:pPr>
              <w:pStyle w:val="TableContents"/>
              <w:bidi w:val="0"/>
              <w:spacing w:before="0" w:after="283"/>
              <w:jc w:val="right"/>
              <w:rPr>
                <w:sz w:val="20"/>
              </w:rPr>
            </w:pPr>
            <w:r>
              <w:rPr>
                <w:sz w:val="20"/>
              </w:rPr>
              <w:t>(888.30%</w:t>
            </w:r>
          </w:p>
        </w:tc>
        <w:tc>
          <w:tcPr>
            <w:tcW w:w="95" w:type="dxa"/>
            <w:tcBorders/>
            <w:shd w:fill="EEEEEE" w:val="clear"/>
            <w:vAlign w:val="center"/>
          </w:tcPr>
          <w:p>
            <w:pPr>
              <w:pStyle w:val="TableContents"/>
              <w:bidi w:val="0"/>
              <w:spacing w:before="0" w:after="283"/>
              <w:jc w:val="left"/>
              <w:rPr>
                <w:sz w:val="20"/>
              </w:rPr>
            </w:pPr>
            <w:r>
              <w:rPr>
                <w:sz w:val="20"/>
              </w:rPr>
              <w:t>)</w:t>
            </w:r>
          </w:p>
        </w:tc>
      </w:tr>
      <w:tr>
        <w:trPr/>
        <w:tc>
          <w:tcPr>
            <w:tcW w:w="4775" w:type="dxa"/>
            <w:tcBorders/>
            <w:shd w:fill="FFFFFF" w:val="clear"/>
            <w:vAlign w:val="center"/>
          </w:tcPr>
          <w:p>
            <w:pPr>
              <w:pStyle w:val="TableContents"/>
              <w:bidi w:val="0"/>
              <w:spacing w:before="0" w:after="283"/>
              <w:jc w:val="left"/>
              <w:rPr>
                <w:sz w:val="20"/>
              </w:rPr>
            </w:pPr>
            <w:r>
              <w:rPr>
                <w:sz w:val="20"/>
              </w:rPr>
              <w:t>Other comprehensive (loss) income</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(67,812</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3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1"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5,678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sz w:val="20"/>
              </w:rPr>
            </w:pPr>
            <w:r>
              <w:rPr>
                <w:sz w:val="20"/>
              </w:rPr>
              <w:t>(1294.27%</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4775" w:type="dxa"/>
            <w:tcBorders/>
            <w:shd w:fill="EEEEEE" w:val="clear"/>
            <w:vAlign w:val="center"/>
          </w:tcPr>
          <w:p>
            <w:pPr>
              <w:pStyle w:val="TableContents"/>
              <w:bidi w:val="0"/>
              <w:spacing w:before="0" w:after="283"/>
              <w:jc w:val="left"/>
              <w:rPr>
                <w:sz w:val="20"/>
              </w:rPr>
            </w:pPr>
            <w:r>
              <w:rPr>
                <w:sz w:val="20"/>
              </w:rPr>
              <w:t>Comprehensive (loss) income attributable to iPower Inc.</w:t>
            </w:r>
          </w:p>
        </w:tc>
        <w:tc>
          <w:tcPr>
            <w:tcW w:w="60" w:type="dxa"/>
            <w:tcBorders/>
            <w:shd w:fill="EEEEEE" w:val="clear"/>
            <w:vAlign w:val="center"/>
          </w:tcPr>
          <w:p>
            <w:pPr>
              <w:pStyle w:val="TableContents"/>
              <w:bidi w:val="0"/>
              <w:spacing w:before="0" w:after="283"/>
              <w:jc w:val="left"/>
              <w:rPr/>
            </w:pPr>
            <w:r>
              <w:rPr/>
              <w:t> </w:t>
            </w:r>
          </w:p>
        </w:tc>
        <w:tc>
          <w:tcPr>
            <w:tcW w:w="131" w:type="dxa"/>
            <w:tcBorders>
              <w:bottom w:val="double" w:sz="6" w:space="0" w:color="000000"/>
            </w:tcBorders>
            <w:shd w:fill="EEEEEE" w:val="clear"/>
            <w:tcMar>
              <w:bottom w:w="28" w:type="dxa"/>
            </w:tcMar>
            <w:vAlign w:val="center"/>
          </w:tcPr>
          <w:p>
            <w:pPr>
              <w:pStyle w:val="TableContents"/>
              <w:bidi w:val="0"/>
              <w:spacing w:before="0" w:after="283"/>
              <w:jc w:val="left"/>
              <w:rPr>
                <w:sz w:val="20"/>
              </w:rPr>
            </w:pPr>
            <w:r>
              <w:rPr>
                <w:sz w:val="20"/>
              </w:rPr>
              <w:t>$</w:t>
            </w:r>
          </w:p>
        </w:tc>
        <w:tc>
          <w:tcPr>
            <w:tcW w:w="1058" w:type="dxa"/>
            <w:tcBorders>
              <w:bottom w:val="double" w:sz="6" w:space="0" w:color="000000"/>
            </w:tcBorders>
            <w:shd w:fill="EEEEEE" w:val="clear"/>
            <w:tcMar>
              <w:bottom w:w="28" w:type="dxa"/>
            </w:tcMar>
            <w:vAlign w:val="center"/>
          </w:tcPr>
          <w:p>
            <w:pPr>
              <w:pStyle w:val="TableContents"/>
              <w:bidi w:val="0"/>
              <w:spacing w:before="0" w:after="283"/>
              <w:jc w:val="right"/>
              <w:rPr>
                <w:sz w:val="20"/>
              </w:rPr>
            </w:pPr>
            <w:r>
              <w:rPr>
                <w:sz w:val="20"/>
              </w:rPr>
              <w:t>(12,033,202</w:t>
            </w:r>
          </w:p>
        </w:tc>
        <w:tc>
          <w:tcPr>
            <w:tcW w:w="80" w:type="dxa"/>
            <w:tcBorders/>
            <w:shd w:fill="EEEEEE" w:val="clear"/>
            <w:vAlign w:val="center"/>
          </w:tcPr>
          <w:p>
            <w:pPr>
              <w:pStyle w:val="TableContents"/>
              <w:bidi w:val="0"/>
              <w:spacing w:before="0" w:after="283"/>
              <w:jc w:val="left"/>
              <w:rPr>
                <w:sz w:val="20"/>
              </w:rPr>
            </w:pPr>
            <w:r>
              <w:rPr>
                <w:sz w:val="20"/>
              </w:rPr>
              <w:t>)</w:t>
            </w:r>
          </w:p>
        </w:tc>
        <w:tc>
          <w:tcPr>
            <w:tcW w:w="60" w:type="dxa"/>
            <w:tcBorders/>
            <w:shd w:fill="EEEEEE" w:val="clear"/>
            <w:vAlign w:val="center"/>
          </w:tcPr>
          <w:p>
            <w:pPr>
              <w:pStyle w:val="TableContents"/>
              <w:bidi w:val="0"/>
              <w:spacing w:before="0" w:after="283"/>
              <w:jc w:val="left"/>
              <w:rPr/>
            </w:pPr>
            <w:r>
              <w:rPr/>
              <w:t> </w:t>
            </w:r>
          </w:p>
        </w:tc>
        <w:tc>
          <w:tcPr>
            <w:tcW w:w="138" w:type="dxa"/>
            <w:tcBorders>
              <w:bottom w:val="double" w:sz="6" w:space="0" w:color="000000"/>
            </w:tcBorders>
            <w:shd w:fill="EEEEEE" w:val="clear"/>
            <w:tcMar>
              <w:bottom w:w="28" w:type="dxa"/>
            </w:tcMar>
            <w:vAlign w:val="center"/>
          </w:tcPr>
          <w:p>
            <w:pPr>
              <w:pStyle w:val="TableContents"/>
              <w:bidi w:val="0"/>
              <w:spacing w:before="0" w:after="283"/>
              <w:jc w:val="left"/>
              <w:rPr>
                <w:sz w:val="20"/>
              </w:rPr>
            </w:pPr>
            <w:r>
              <w:rPr>
                <w:sz w:val="20"/>
              </w:rPr>
              <w:t>$</w:t>
            </w:r>
          </w:p>
        </w:tc>
        <w:tc>
          <w:tcPr>
            <w:tcW w:w="1051" w:type="dxa"/>
            <w:tcBorders>
              <w:bottom w:val="double" w:sz="6" w:space="0" w:color="000000"/>
            </w:tcBorders>
            <w:shd w:fill="EEEEEE" w:val="clear"/>
            <w:tcMar>
              <w:bottom w:w="28" w:type="dxa"/>
            </w:tcMar>
            <w:vAlign w:val="center"/>
          </w:tcPr>
          <w:p>
            <w:pPr>
              <w:pStyle w:val="TableContents"/>
              <w:bidi w:val="0"/>
              <w:spacing w:before="0" w:after="283"/>
              <w:jc w:val="right"/>
              <w:rPr>
                <w:sz w:val="20"/>
              </w:rPr>
            </w:pPr>
            <w:r>
              <w:rPr>
                <w:sz w:val="20"/>
              </w:rPr>
              <w:t>1,523,553</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920" w:type="dxa"/>
            <w:tcBorders/>
            <w:shd w:fill="EEEEEE" w:val="clear"/>
            <w:vAlign w:val="center"/>
          </w:tcPr>
          <w:p>
            <w:pPr>
              <w:pStyle w:val="TableContents"/>
              <w:bidi w:val="0"/>
              <w:spacing w:before="0" w:after="283"/>
              <w:jc w:val="right"/>
              <w:rPr>
                <w:sz w:val="20"/>
              </w:rPr>
            </w:pPr>
            <w:r>
              <w:rPr>
                <w:sz w:val="20"/>
              </w:rPr>
              <w:t>(889.81%</w:t>
            </w:r>
          </w:p>
        </w:tc>
        <w:tc>
          <w:tcPr>
            <w:tcW w:w="95" w:type="dxa"/>
            <w:tcBorders/>
            <w:shd w:fill="EEEEEE" w:val="clear"/>
            <w:vAlign w:val="center"/>
          </w:tcPr>
          <w:p>
            <w:pPr>
              <w:pStyle w:val="TableContents"/>
              <w:bidi w:val="0"/>
              <w:spacing w:before="0" w:after="283"/>
              <w:jc w:val="left"/>
              <w:rPr>
                <w:sz w:val="20"/>
              </w:rPr>
            </w:pPr>
            <w:r>
              <w:rPr>
                <w:sz w:val="20"/>
              </w:rPr>
              <w:t>)</w:t>
            </w:r>
          </w:p>
        </w:tc>
      </w:tr>
      <w:tr>
        <w:trPr/>
        <w:tc>
          <w:tcPr>
            <w:tcW w:w="47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775" w:type="dxa"/>
            <w:tcBorders/>
            <w:shd w:fill="EEEEEE" w:val="clear"/>
            <w:vAlign w:val="center"/>
          </w:tcPr>
          <w:p>
            <w:pPr>
              <w:pStyle w:val="TableContents"/>
              <w:bidi w:val="0"/>
              <w:spacing w:before="0" w:after="283"/>
              <w:jc w:val="left"/>
              <w:rPr>
                <w:sz w:val="20"/>
              </w:rPr>
            </w:pPr>
            <w:r>
              <w:rPr>
                <w:sz w:val="20"/>
              </w:rPr>
              <w:t>Gross profit % of revenues</w:t>
            </w:r>
          </w:p>
        </w:tc>
        <w:tc>
          <w:tcPr>
            <w:tcW w:w="60" w:type="dxa"/>
            <w:tcBorders/>
            <w:shd w:fill="EEEEEE" w:val="clear"/>
            <w:vAlign w:val="center"/>
          </w:tcPr>
          <w:p>
            <w:pPr>
              <w:pStyle w:val="TableContents"/>
              <w:bidi w:val="0"/>
              <w:spacing w:before="0" w:after="283"/>
              <w:jc w:val="left"/>
              <w:rPr/>
            </w:pPr>
            <w:r>
              <w:rPr/>
              <w:t> </w:t>
            </w:r>
          </w:p>
        </w:tc>
        <w:tc>
          <w:tcPr>
            <w:tcW w:w="131" w:type="dxa"/>
            <w:tcBorders/>
            <w:shd w:fill="EEEEEE" w:val="clear"/>
            <w:vAlign w:val="center"/>
          </w:tcPr>
          <w:p>
            <w:pPr>
              <w:pStyle w:val="TableContents"/>
              <w:bidi w:val="0"/>
              <w:spacing w:before="0" w:after="283"/>
              <w:jc w:val="left"/>
              <w:rPr/>
            </w:pPr>
            <w:r>
              <w:rPr/>
              <w:t> </w:t>
            </w:r>
          </w:p>
        </w:tc>
        <w:tc>
          <w:tcPr>
            <w:tcW w:w="1058" w:type="dxa"/>
            <w:tcBorders/>
            <w:shd w:fill="EEEEEE" w:val="clear"/>
            <w:vAlign w:val="center"/>
          </w:tcPr>
          <w:p>
            <w:pPr>
              <w:pStyle w:val="TableContents"/>
              <w:bidi w:val="0"/>
              <w:spacing w:before="0" w:after="283"/>
              <w:jc w:val="right"/>
              <w:rPr>
                <w:sz w:val="20"/>
              </w:rPr>
            </w:pPr>
            <w:r>
              <w:rPr>
                <w:sz w:val="20"/>
              </w:rPr>
              <w:t>39.14%</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38" w:type="dxa"/>
            <w:tcBorders/>
            <w:shd w:fill="EEEEEE" w:val="clear"/>
            <w:vAlign w:val="center"/>
          </w:tcPr>
          <w:p>
            <w:pPr>
              <w:pStyle w:val="TableContents"/>
              <w:bidi w:val="0"/>
              <w:spacing w:before="0" w:after="283"/>
              <w:jc w:val="left"/>
              <w:rPr/>
            </w:pPr>
            <w:r>
              <w:rPr/>
              <w:t> </w:t>
            </w:r>
          </w:p>
        </w:tc>
        <w:tc>
          <w:tcPr>
            <w:tcW w:w="1051" w:type="dxa"/>
            <w:tcBorders/>
            <w:shd w:fill="EEEEEE" w:val="clear"/>
            <w:vAlign w:val="center"/>
          </w:tcPr>
          <w:p>
            <w:pPr>
              <w:pStyle w:val="TableContents"/>
              <w:bidi w:val="0"/>
              <w:spacing w:before="0" w:after="283"/>
              <w:jc w:val="right"/>
              <w:rPr>
                <w:sz w:val="20"/>
              </w:rPr>
            </w:pPr>
            <w:r>
              <w:rPr>
                <w:sz w:val="20"/>
              </w:rPr>
              <w:t>41.80%</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920"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r>
      <w:tr>
        <w:trPr/>
        <w:tc>
          <w:tcPr>
            <w:tcW w:w="4775" w:type="dxa"/>
            <w:tcBorders/>
            <w:shd w:fill="FFFFFF" w:val="clear"/>
            <w:vAlign w:val="center"/>
          </w:tcPr>
          <w:p>
            <w:pPr>
              <w:pStyle w:val="TableContents"/>
              <w:bidi w:val="0"/>
              <w:spacing w:before="0" w:after="283"/>
              <w:jc w:val="left"/>
              <w:rPr>
                <w:sz w:val="20"/>
              </w:rPr>
            </w:pPr>
            <w:r>
              <w:rPr>
                <w:sz w:val="20"/>
              </w:rPr>
              <w:t>Operating (loss) income % of revenues</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sz w:val="20"/>
              </w:rPr>
            </w:pPr>
            <w:r>
              <w:rPr>
                <w:sz w:val="20"/>
              </w:rPr>
              <w:t>(15.17%</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right"/>
              <w:rPr>
                <w:sz w:val="20"/>
              </w:rPr>
            </w:pPr>
            <w:r>
              <w:rPr>
                <w:sz w:val="20"/>
              </w:rPr>
              <w:t>2.91%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775" w:type="dxa"/>
            <w:tcBorders/>
            <w:shd w:fill="EEEEEE" w:val="clear"/>
            <w:vAlign w:val="center"/>
          </w:tcPr>
          <w:p>
            <w:pPr>
              <w:pStyle w:val="TableContents"/>
              <w:bidi w:val="0"/>
              <w:spacing w:before="0" w:after="283"/>
              <w:jc w:val="left"/>
              <w:rPr>
                <w:sz w:val="20"/>
              </w:rPr>
            </w:pPr>
            <w:r>
              <w:rPr>
                <w:sz w:val="20"/>
              </w:rPr>
              <w:t>Net (loss) income attributable to iPower Inc. % of revenues</w:t>
            </w:r>
          </w:p>
        </w:tc>
        <w:tc>
          <w:tcPr>
            <w:tcW w:w="60" w:type="dxa"/>
            <w:tcBorders/>
            <w:shd w:fill="EEEEEE" w:val="clear"/>
            <w:vAlign w:val="center"/>
          </w:tcPr>
          <w:p>
            <w:pPr>
              <w:pStyle w:val="TableContents"/>
              <w:bidi w:val="0"/>
              <w:spacing w:before="0" w:after="283"/>
              <w:jc w:val="left"/>
              <w:rPr/>
            </w:pPr>
            <w:r>
              <w:rPr/>
              <w:t> </w:t>
            </w:r>
          </w:p>
        </w:tc>
        <w:tc>
          <w:tcPr>
            <w:tcW w:w="131" w:type="dxa"/>
            <w:tcBorders/>
            <w:shd w:fill="EEEEEE" w:val="clear"/>
            <w:vAlign w:val="center"/>
          </w:tcPr>
          <w:p>
            <w:pPr>
              <w:pStyle w:val="TableContents"/>
              <w:bidi w:val="0"/>
              <w:spacing w:before="0" w:after="283"/>
              <w:jc w:val="left"/>
              <w:rPr/>
            </w:pPr>
            <w:r>
              <w:rPr/>
              <w:t> </w:t>
            </w:r>
          </w:p>
        </w:tc>
        <w:tc>
          <w:tcPr>
            <w:tcW w:w="1058" w:type="dxa"/>
            <w:tcBorders/>
            <w:shd w:fill="EEEEEE" w:val="clear"/>
            <w:vAlign w:val="center"/>
          </w:tcPr>
          <w:p>
            <w:pPr>
              <w:pStyle w:val="TableContents"/>
              <w:bidi w:val="0"/>
              <w:spacing w:before="0" w:after="283"/>
              <w:jc w:val="right"/>
              <w:rPr>
                <w:sz w:val="20"/>
              </w:rPr>
            </w:pPr>
            <w:r>
              <w:rPr>
                <w:sz w:val="20"/>
              </w:rPr>
              <w:t>(13.46%</w:t>
            </w:r>
          </w:p>
        </w:tc>
        <w:tc>
          <w:tcPr>
            <w:tcW w:w="80" w:type="dxa"/>
            <w:tcBorders/>
            <w:shd w:fill="EEEEEE" w:val="clear"/>
            <w:vAlign w:val="center"/>
          </w:tcPr>
          <w:p>
            <w:pPr>
              <w:pStyle w:val="TableContents"/>
              <w:bidi w:val="0"/>
              <w:spacing w:before="0" w:after="283"/>
              <w:jc w:val="left"/>
              <w:rPr>
                <w:sz w:val="20"/>
              </w:rPr>
            </w:pPr>
            <w:r>
              <w:rPr>
                <w:sz w:val="20"/>
              </w:rPr>
              <w:t>)</w:t>
            </w:r>
          </w:p>
        </w:tc>
        <w:tc>
          <w:tcPr>
            <w:tcW w:w="60" w:type="dxa"/>
            <w:tcBorders/>
            <w:shd w:fill="EEEEEE" w:val="clear"/>
            <w:vAlign w:val="center"/>
          </w:tcPr>
          <w:p>
            <w:pPr>
              <w:pStyle w:val="TableContents"/>
              <w:bidi w:val="0"/>
              <w:spacing w:before="0" w:after="283"/>
              <w:jc w:val="left"/>
              <w:rPr/>
            </w:pPr>
            <w:r>
              <w:rPr/>
              <w:t> </w:t>
            </w:r>
          </w:p>
        </w:tc>
        <w:tc>
          <w:tcPr>
            <w:tcW w:w="138" w:type="dxa"/>
            <w:tcBorders/>
            <w:shd w:fill="EEEEEE" w:val="clear"/>
            <w:vAlign w:val="center"/>
          </w:tcPr>
          <w:p>
            <w:pPr>
              <w:pStyle w:val="TableContents"/>
              <w:bidi w:val="0"/>
              <w:spacing w:before="0" w:after="283"/>
              <w:jc w:val="left"/>
              <w:rPr/>
            </w:pPr>
            <w:r>
              <w:rPr/>
              <w:t> </w:t>
            </w:r>
          </w:p>
        </w:tc>
        <w:tc>
          <w:tcPr>
            <w:tcW w:w="1051" w:type="dxa"/>
            <w:tcBorders/>
            <w:shd w:fill="EEEEEE" w:val="clear"/>
            <w:vAlign w:val="center"/>
          </w:tcPr>
          <w:p>
            <w:pPr>
              <w:pStyle w:val="TableContents"/>
              <w:bidi w:val="0"/>
              <w:spacing w:before="0" w:after="283"/>
              <w:jc w:val="right"/>
              <w:rPr>
                <w:sz w:val="20"/>
              </w:rPr>
            </w:pPr>
            <w:r>
              <w:rPr>
                <w:sz w:val="20"/>
              </w:rPr>
              <w:t>1.91%</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920"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for the year ended June 30, 2023 increased 11.94% to $88,902,048 as compared to $79,418,473 for the year ended June 30, 2022. While pricing remained stable, the increased revenue mainly resulted from an increase in sales volume and expansion of sales to other regions, such as Canada, Europe and Asia. However, while the revenues for the current year ended June 30, 2023 improved over last year, we cannot be assured that this trend will continue.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Costs of Goods Sold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of goods sold for the year ended June 30, 2023 increased 17.06% to $54,104,587 as compared to $46,218,580 for the year ended June 30, 2022. The increase was due to an increase in sales, as discussed above. In addition, we experienced an increase in costs of goods sold as a percentage of revenue as a result of the increased freight charges capitalized in the inventories sold during the year ended June 30, 2023. We have seen decreasing freight charges since September 2022; however, we can provide no assurance that this trend will continue.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was $34,797,461 for the year ended June 30, 2023 as compared to $33,199,893 for the year ended June 30, 2022. The gross profit ratio decreased to 39.14% for the year ended June 30, 2023 from 41.80% for the year ended June 30, 2022. The decrease in gross profit ratio was mainly driven by an increase in costs of goods sold during the year ended June 30, 2023, as discussed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 for the year ended June 30, 2023 increased 56.31% to $48,281,004 as compared to $30,887,856 for the year ended June 30, 2022. The increase was mainly due to the combination of an increase in selling and fulfillment expenses of $13.2 million as a result of increased advertising, merchant fees, delivery fees, rental expenses, storage costs and fulfillment workforce, general and administrative expenses of $1.08 million, which included payroll expenses, stock-based compensation expense, insurance expenses, legal fees related to the Boustead case, and other operating expenses including expenses associated with being a publicly traded company, and $3.06 million of impairment loss on goodwill triggered by a decrease in the Company’s share price of its common stock and the net loss incurred during the quarter ended September 30, 2022.</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(Loss) Income from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income from operations was ($13,483,543) for the year ended June 30, 2023 as compared to $2,312,037 for the year ended June 30, 2022. The decrease was due to the increase in operating expenses was greater than the increase in gross profit as discussed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(expenses) consist of interest expense, financing fees and other non-operating income (expenses). Other expenses for the year ended June 30, 2023 were $1,184,030 as compared to $248,419 for the year ended June 30, 2022. The increase in other expenses was mainly due to a combined result of decrease in other non-operating income of $404,115, and an increase in interest, including amortization of debt discount, on the revolving loan of $608,121 during the year ended June 30,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Net (Loss) Income Attributable to iPower Inc.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iPower Inc. for the year ended June 30, 2023 was ($11,965,390) as compared to net income of $1,517,875 for the year ended June 30, 2022, representing a decrease of $13,483,265. The decrease was primarily due to a decrease in gross profit and an increase in operating expenses as discussed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Comprehensive (loss) Income Attributable to iPower Inc.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Comprehensive (loss) attributable to iPower Inc. for the year ended June 30, 2023 was ($12,033,202) as compared to comprehensive income of $1,523,553 for the year ended June 30, 2022, representing a decrease of $13,556,755. The decrease was due to the reasons discussed above, along with other comprehensive loss of $(67,812) as a result of foreign currency translation adjustments resulting from the translation of RMB, the functional currency of our VIE in the PRC, to USD, the reporting currency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Sources of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fiscal year ended June 30, 2023 we primarily funded our operations with cash and cash equivalents generated from operations, as well as through borrowing under our credit facility from JPMorgan Chase Bank (“JPM”). We had cash and cash equivalents of $3,735,642 as of June 30, 2023, representing a $1,913,695 increase from $1,821,947 in cash as of June 30, 2022. The cash increase was primarily the result of the increase in net cash provided by operating activities, including decreased inventory and accounts receivable and increased accounts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current operating plan, we believe that our existing cash and cash equivalents and cash flows from operations will be sufficient to finance our operations during the next 12 months. However, our liquidity and our ability to meet our obligations and fund our capital requirements are dependent on our future financial performance, which is subject to general economic, financial and other factors that are beyond our control, such as rising inflation and potential recession, and our anticipated funding requirements could increase. See the “Risk Factors” section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cash requirements consist primarily of day-to-day operating expenses and obligations with respect to warehouse leases. We lease all our office and warehouse facilities. We expect to make future payments on existing leases from cash generated from operations. We have credit terms in place with our major suppliers, however as we bring on new suppliers, we are often required to prepay our inventory purchases from them. This is consistent with our historical operating model which allowed us to operate using only cash generated by the business. Beyond the next 12 months we believe that our cash flow from operations should improve as supply chains begin to return to normal and new suppliers we are bringing online transition to credit terms more favorable to us. In addition, we plan to increase the size of our in-house product catalog, which will have a net beneficial impact to our margin profile and ability to generate cash. Currently, we have approximately $18.0 million in unused credit under the revolving line with JPM. Given our current working capital position and available funding from our revolving credit line, we believe we will be able to manage through the current challenges by managing payment terms with customers and vendors.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Working Capital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2023 and 2022, our working capital was $17.9 million and $32.3 million, respectively. The historical seasonality in our business during the year can cause cash and cash equivalents, inventory and accounts payable to fluctuate, resulting in changes in our working capital. We anticipate that past historical trends to remain in place through the balance of the fiscal year with working capital remaining near this level for the foreseeable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(used in) operating activities for the years ended June 30, 2023 and 2022 was $9,211,269 and ($16,603,005), respectively. The increase in cash provided by operating activities mainly resulted from decreased accounts receivable, inventories, prepayments and other current assets and increased accounts payable.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Activities</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June 30, 2023 and 2022, net cash used in investing activities was $140,813 and $139,386, respectively. The increase in cash used in investing activities was because the Company made additional purchase of equipment during the year ended June 30, 2023.</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provided by financing activities was ($7,153,620) and $11,911,916, respectively, for the years ended June 30, 2023 and 2022. The main reason the Company experienced a decrease in net cash provided by financing activities was primarily due to our payment of $11.9 million for: (1) $1.5 million to pay off investment payable; (2) $1.8 million to pay down note payable; and (3) $8.6 million to pay down the outstanding balance of the asset-based revolving loan facility with JPM.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have any off-balance sheet arrangements (as that term is defined in Item 303 of Regulation S-K) that are reasonably likely to have a current or future material effect on our financial condition, revenue or expenses, results of operations, liquidity, capital expenditures or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prepare our consolidated financial statements in accordance with accounting principles generally accepted in the United States, or GAAP and pursuant to the rules and regulations of the Securities Exchange Commission (“SEC”). The preparation of consolidated financial statements in conformity with GAAP requires management to make estimates and assumptions that affect the amounts reported in the consolidated financial statements and accompanying notes. Actual results could differ from those estimates. In some cases, changes in the accounting estimates are reasonably likely to occur from period to period. Accordingly, actual results could differ materially from our estimates. To the extent that there are material differences between these estimates and actual results, our financial condition and results of operations will be affected. We base our estimates on experience and other assumptions that we believe are reasonable under the circumstances, and we evaluate these estimates on an ongoing basis. We refer to accounting estimates of this type as critical accounting policies, which we discuss further below. While our significant accounting policies are more fully described in Note 2 to our audited consolidated financial statements, we believe that the following accounting policies are critical to the process of making significant judgments and estimates in the preparation of our audited consolidated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from product sales revenues, net of promotional discounts and return allowances, when the following revenue recognition criteria are met: a contract has been identified, separate performance obligations are identified, the transaction price is determined, the transaction price is allocated to separate performance obligations and revenue is recognized upon satisfying each performance obligation. The Company transfers the risk of loss or damage upon shipment, therefore, revenue from product sales is recognized when it is shipped to the customer. Return allowances, which reduce product revenue by the Company’s best estimate of expected product returns, are estimated using historical experience.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the criteria of ASC 606 - Revenue Recognition Principal Agent Considerations in determining whether it is appropriate to record the gross amount of product sales and related costs or the net amount earned as commissions. Generally, when the Company is primarily responsible for fulfilling the promise to provide a specified good or service, the Company is subject to inventory risk before the good or service has been transferred to a customer and the Company has discretion in establishing the price, revenue is recorded at gross.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received prior to the delivery of goods to customers are recorded as customer deposits.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periodically provides incentive offers to its customers to encourage purchases. Such offers include current discount offers, such as percentage discounts off current purchases and other similar offers. Current discount offers, when accepted by the Company’s customers, are treated as a reduction to the purchase price of the related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discounts are recorded in the period in which the related sale is recognized. Sales return allowances are estimated based on historical amounts and are recorded upon recognizing the related sales. Shipping and handling costs are recorded as selling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Inventory,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consists of finished goods ready for sale and is stated at the lower of cost or market. The Company values its inventory using the weighted average costing method. The Company’s policy is to include as a part of inventory and cost of goods sold any freight incurred to ship the product from its vendors to warehouses. Outbound freight costs related to shipping costs to customers are considered period costs and reflected in selling and fulfillment expenses. The Company regularly review inventory and consider forecasts of future demand, market conditions and product obsolescence.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estimated realizable value of the inventory is less than cost, the Company makes provisions in order to reduce its carrying value to its estimated market value. The Company also reviews inventory for slow moving and obsolescence and records allowance for obsolescence.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Variable interest entities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15, 2022, the Company acquired 100% of the ordinary shares of Anivia and its subsidiaries, including Daheshou (Shenzhen) Information Technology Co., Ltd., a company organized under the Laws of the PRC (“DHS”). Pursuant to the terms of the agreements, the Company does not have direct ownership in DHS but is actively involved in DHS’s operations as the sole manager to direct the activities and significantly impact DHS’s economic performance. DHS’s operational funding is provided by the Company after February 15, 2022. During the term of the agreements, which run for a term of 10 years from February 2022 to February 2032, the Company bears all the risk of loss and has the right to receive all of the benefits from DHS. As such, based on the determination that the Company is the primary beneficiary of DHS, in accordance with ASC 810-10-25-38A through 25-38J, DHS is considered a variable interest entity (“VIE”) of the Company and the financial statements of DHS have been consolidated from the date such control existed, February 15, 2022. See Note 4 and Note 5 for details on acquisition.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Goodwill represents the excess of the purchase price over the fair value of assets acquired and liabilities assumed. The Company accounts for goodwill under </w:t>
      </w:r>
      <w:r>
        <w:rPr>
          <w:rFonts w:ascii="Times New Roman;Times;Serif" w:hAnsi="Times New Roman;Times;Serif"/>
          <w:b w:val="false"/>
          <w:i/>
          <w:caps w:val="false"/>
          <w:smallCaps w:val="false"/>
          <w:sz w:val="20"/>
        </w:rPr>
        <w:t>ASC Topic 350, Intangibles-Goodwill and Other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is not amortized but is reviewed for potential impairment on an annual basis, or if events or circumstances indicate a potential impairment, at the reporting unit level. The Company’s review for impairment includes an assessment of qualitative factors to determine whether it is more likely than not that the fair value of a reporting unit is less than its carrying value, including goodwill. If it is determined that it is more likely than not that the fair value of a reporting unit is less than its carrying value, including goodwill, a quantitative goodwill impairment test is performed, which compares the fair value of the reporting unit with its carrying amounts, including goodwill. If the fair value of the reporting unit exceeds its carrying amount, goodwill of the reporting unit is considered not impaired. However, if the carrying amount of the reporting unit exceeds its fair value, an impairment loss will be recognized in an amount equal to that excess, limited to the total amount of goodwill allocated to that reporting unit. The Company engaged an independent third-party valuation firm in August 2022 to conduct an evaluation of goodwill impairment for the Company as a whole at the consolidated reporting unit level as of June 30, 2022, which evaluation was conducted prior to the Company’s filing of its Annual Report on Form 10-K for the period ended June 30, 2022. Due to the decrease in the Company’s share price subsequent to the filing of the June 30, 2022 Form 10-K and the net loss incurred during the quarter ended September 30, 2022, the Company engaged the same valuation firm to review goodwill for impairment. Based on this review, the Company concluded an impairment loss of $3,060,034 as of September 30, 2022 was required. The impairment amount was determined based on the discounted cash flows with the revised projections reflecting the increase in freight and storage costs in the current interim quarter. The Company also considered the Market Capital Method, which is an alternative market approach, suggested the Company’s goodwill is partially impaired.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the quarter ended September 30, 2022, during the period ended June 30, 2023, the Company performed a qualitative and quantitative goodwill impairment analysis following the steps laid out in ASC 350-20-35-3C and noted no goodwill impairment. As of June 30, 2023 and 2022, the goodwill balance amounted to $3,034,110 and $6,094,144,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Intangible Assets,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Finite life intangible assets at June 30, 2023 include a covenant not to compete, supplier relationship and software recognized as part of the acquisition of Anivia. Intangible assets are recorded at the estimated fair value of these items at the date of acquisition, February 15, 2022. Intangible assets are amortized on a straight-line basis over their estimated useful life as followings:</w:t>
      </w:r>
    </w:p>
    <w:p>
      <w:pPr>
        <w:pStyle w:val="TextBody"/>
        <w:bidi w:val="0"/>
        <w:spacing w:before="0" w:after="0"/>
        <w:ind w:left="0" w:right="0" w:firstLine="720"/>
        <w:jc w:val="both"/>
        <w:rPr>
          <w:caps w:val="false"/>
          <w:smallCaps w:val="false"/>
        </w:rPr>
      </w:pPr>
      <w:r>
        <w:rPr>
          <w:caps w:val="false"/>
          <w:smallCaps w:val="false"/>
        </w:rPr>
        <w:t> </w:t>
      </w:r>
    </w:p>
    <w:tbl>
      <w:tblPr>
        <w:tblW w:w="3700" w:type="dxa"/>
        <w:jc w:val="left"/>
        <w:tblInd w:w="0" w:type="dxa"/>
        <w:tblLayout w:type="fixed"/>
        <w:tblCellMar>
          <w:top w:w="0" w:type="dxa"/>
          <w:left w:w="0" w:type="dxa"/>
          <w:bottom w:w="0" w:type="dxa"/>
          <w:right w:w="0" w:type="dxa"/>
        </w:tblCellMar>
      </w:tblPr>
      <w:tblGrid>
        <w:gridCol w:w="2525"/>
        <w:gridCol w:w="60"/>
        <w:gridCol w:w="1115"/>
      </w:tblGrid>
      <w:tr>
        <w:trPr/>
        <w:tc>
          <w:tcPr>
            <w:tcW w:w="2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tcBorders>
              <w:bottom w:val="single" w:sz="8" w:space="0" w:color="000000"/>
            </w:tcBorders>
            <w:tcMar>
              <w:bottom w:w="28" w:type="dxa"/>
            </w:tcMar>
            <w:vAlign w:val="center"/>
          </w:tcPr>
          <w:p>
            <w:pPr>
              <w:pStyle w:val="TableContents"/>
              <w:bidi w:val="0"/>
              <w:spacing w:before="0" w:after="283"/>
              <w:jc w:val="center"/>
              <w:rPr/>
            </w:pPr>
            <w:r>
              <w:rPr/>
              <w:t>Useful Life</w:t>
            </w:r>
          </w:p>
        </w:tc>
      </w:tr>
      <w:tr>
        <w:trPr/>
        <w:tc>
          <w:tcPr>
            <w:tcW w:w="2525" w:type="dxa"/>
            <w:tcBorders/>
            <w:shd w:fill="EEEEEE" w:val="clear"/>
            <w:vAlign w:val="center"/>
          </w:tcPr>
          <w:p>
            <w:pPr>
              <w:pStyle w:val="TableContents"/>
              <w:bidi w:val="0"/>
              <w:spacing w:before="0" w:after="283"/>
              <w:jc w:val="left"/>
              <w:rPr/>
            </w:pPr>
            <w:r>
              <w:rPr/>
              <w:t>Covenant Not to Compete</w:t>
            </w:r>
          </w:p>
        </w:tc>
        <w:tc>
          <w:tcPr>
            <w:tcW w:w="60" w:type="dxa"/>
            <w:tcBorders/>
            <w:shd w:fill="EEEEEE" w:val="clear"/>
            <w:vAlign w:val="center"/>
          </w:tcPr>
          <w:p>
            <w:pPr>
              <w:pStyle w:val="TableContents"/>
              <w:bidi w:val="0"/>
              <w:spacing w:before="0" w:after="283"/>
              <w:jc w:val="left"/>
              <w:rPr/>
            </w:pPr>
            <w:r>
              <w:rPr/>
              <w:t> </w:t>
            </w:r>
          </w:p>
        </w:tc>
        <w:tc>
          <w:tcPr>
            <w:tcW w:w="1115" w:type="dxa"/>
            <w:tcBorders/>
            <w:shd w:fill="EEEEEE" w:val="clear"/>
            <w:vAlign w:val="center"/>
          </w:tcPr>
          <w:p>
            <w:pPr>
              <w:pStyle w:val="TableContents"/>
              <w:bidi w:val="0"/>
              <w:spacing w:before="0" w:after="283"/>
              <w:jc w:val="center"/>
              <w:rPr/>
            </w:pPr>
            <w:r>
              <w:rPr/>
              <w:t>10 years</w:t>
            </w:r>
          </w:p>
        </w:tc>
      </w:tr>
      <w:tr>
        <w:trPr/>
        <w:tc>
          <w:tcPr>
            <w:tcW w:w="2525" w:type="dxa"/>
            <w:tcBorders/>
            <w:shd w:fill="FFFFFF" w:val="clear"/>
            <w:vAlign w:val="center"/>
          </w:tcPr>
          <w:p>
            <w:pPr>
              <w:pStyle w:val="TableContents"/>
              <w:bidi w:val="0"/>
              <w:spacing w:before="0" w:after="283"/>
              <w:jc w:val="left"/>
              <w:rPr/>
            </w:pPr>
            <w:r>
              <w:rPr/>
              <w:t>Supplier relationship</w:t>
            </w:r>
          </w:p>
        </w:tc>
        <w:tc>
          <w:tcPr>
            <w:tcW w:w="60"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center"/>
              <w:rPr/>
            </w:pPr>
            <w:r>
              <w:rPr/>
              <w:t>6 years</w:t>
            </w:r>
          </w:p>
        </w:tc>
      </w:tr>
      <w:tr>
        <w:trPr/>
        <w:tc>
          <w:tcPr>
            <w:tcW w:w="2525" w:type="dxa"/>
            <w:tcBorders/>
            <w:shd w:fill="EEEEEE" w:val="clear"/>
            <w:vAlign w:val="center"/>
          </w:tcPr>
          <w:p>
            <w:pPr>
              <w:pStyle w:val="TableContents"/>
              <w:bidi w:val="0"/>
              <w:spacing w:before="0" w:after="283"/>
              <w:jc w:val="left"/>
              <w:rPr/>
            </w:pPr>
            <w:r>
              <w:rPr/>
              <w:t>Software</w:t>
            </w:r>
          </w:p>
        </w:tc>
        <w:tc>
          <w:tcPr>
            <w:tcW w:w="60" w:type="dxa"/>
            <w:tcBorders/>
            <w:shd w:fill="EEEEEE" w:val="clear"/>
            <w:vAlign w:val="center"/>
          </w:tcPr>
          <w:p>
            <w:pPr>
              <w:pStyle w:val="TableContents"/>
              <w:bidi w:val="0"/>
              <w:spacing w:before="0" w:after="283"/>
              <w:jc w:val="left"/>
              <w:rPr/>
            </w:pPr>
            <w:r>
              <w:rPr/>
              <w:t> </w:t>
            </w:r>
          </w:p>
        </w:tc>
        <w:tc>
          <w:tcPr>
            <w:tcW w:w="1115" w:type="dxa"/>
            <w:tcBorders/>
            <w:shd w:fill="EEEEEE" w:val="clear"/>
            <w:vAlign w:val="center"/>
          </w:tcPr>
          <w:p>
            <w:pPr>
              <w:pStyle w:val="TableContents"/>
              <w:bidi w:val="0"/>
              <w:spacing w:before="0" w:after="283"/>
              <w:jc w:val="center"/>
              <w:rPr/>
            </w:pPr>
            <w:r>
              <w:rPr/>
              <w:t>5 years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reviews the recoverability of long-lived assets, including intangible assets, when events or changes in circumstances occur that indicate the carrying value of the asset may not be recoverable. The assessment of possible impairment is based on the ability to recover the carrying value of the asset from the expected future pretax cash flows (undiscounted and without interest charges) of the related operations. If these cash flows are less than the carrying value of such asset, an impairment loss is recognized for the difference between estimated fair value and carrying value. The measurement of impairment requires management to make estimates of these cash flows related to long-lived assets, as well as other fair value determinations. As of June 30, 2023, there were no indicators of impairment.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Stock-based Compensation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applies ASC No. 718, “Compensation-Stock Compensation,” which requires that share-based payment transactions with employees and nonemployees upon adoption of ASU 2018-07, be measured based on the grant date fair value of the equity instrument and recognized as compensation expense over the requisite service period, with a corresponding addition to equity. Under this method, compensation cost related to employee share options or similar equity instruments is measured at the grant date based on the fair value of the award and is recognized over the period during which an employee is required to provide service in exchange for the award, which generally is the vesting period. In addition to the requisite service period, the Company also evaluates the performance condition and market condition under ASC 718-10-20. For an award that contains both a performance and a market condition, and where both conditions must be satisfied in order for the award to vest, the market condition is incorporated into the fair value of the award, and that fair value is recognized over the employee’s requisite service period or nonemployee’s vesting period if it is probable that the performance condition will be met. If the performance condition is ultimately not met, compensation cost related to the award should not be recognized (or should be reversed) because the vesting condition in the award has not been satisfied.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recognize forfeitures of such equity-based compensation as they occur.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income taxes under the asset and liability method. Deferred tax assets and liabilities are recognized for future tax consequences attributable to differences between the financial statement carrying amounts of existing assets and liabilities and their perspective tax bases. Deferred tax assets and liabilities are measured using enacted tax rates expected to apply to taxable income in the years in which the temporary differences are expected to be recovered or settled. The effect on deferred tax assets and liabilities of a change in tax rates is recognized in income in the period that includes the enactment date. Valuation allowances are recorded, when necessary, to reduce deferred tax assets to the amount expected to be realized. As of June 30, 2023, the Company expected that the deferred tax assets are fully realizable so did not record any valuation allowance.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implementation of certain provisions of ASC 740, Income Taxes (“ASC 740”), which clarifies the accounting and disclosure for uncertainty in tax position, as defined, ASC 740 seeks to reduce the diversity in practice associated with certain aspects of the recognition and measurement related to accounting for income taxes. The Company has adopted the provisions of ASC 740 since its inception on April 11, 2018, and has subsequently analyzed filing positions in each of the federal and state jurisdictions where the Company is required to file income tax returns, as well as open tax years in such jurisdictions. The Company has identified the U.S. federal jurisdiction and the states of Nevada and California as its “major” tax jurisdictions. However, the Company has certain tax attribute carryforwards which will remain subject to review and adjustment by the relevant tax authorities until the statute of limitations closes with respect to the year in which such attributes are utilized.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that our income tax filing positions and deductions will be sustained on audit and do not anticipate any adjustments that will result in a material change to its financial position. Therefore, no reserves for uncertain income tax positions have been recorded pursuant to ASC 740. The Company’s policy for recording interest and penalties associated with income-based tax audits is to record such items as a component of 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Recently issued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2022, FASB issued ASU 2022-04, Liabilities—Supplier Finance Programs (Subtopic 405-50): Disclosure of Supplier Finance Program Obligations. The amendments in this ASU require that a company that uses a supplier finance program in connection with the purchase of goods or services disclose sufficient information about the program to allow a user of financial statements to understand the program’s nature, activity during the period, changes from period to period, and potential magnitude. ASU 2022-04 is effective for fiscal years, including interim periods within those fiscal years, beginning after December 15, 2022, except for the rollforward of the supplier finance program obligations, which is effective for fiscal years beginning after December 15, 2023. Early adoption is permitted. An entity should apply ASU No. 2022-04 retrospectively to all periods in which a balance sheet is presented, except for the obligation rollforward, which should be applied prospectively. The Company does not expect the adoption of this standard to have a material impact on its consolidated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2022, FASB issued ASU 2022-03, Fair Value Measurement (Topic 820): Fair Value Measurement of Equity Securities Subject to Contractual Sale Restrictions. The amendments in this ASU clarify the guidance in ASC 820 on the fair value measurement of an equity security that is subject to a contractual sale restriction and require specific disclosures related to such an equity security. This standard is effective for fiscal years beginning after December 15, 2024. The Company does not expect the adoption of this standard to have a material impact on its consolidated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2021, the FASB issued ASU 2021-08, Business Combinations (Topic 805), Accounting for Contract Assets and Contract Liabilities from Contracts with Customers. This ASU clarifies that an acquirer of a business should recognize and measure contract assets and contract liabilities in a business combination in accordance with ASU 2014-09, Revenue from Contracts with Customers (Topic 606) as if the entity had originated the contracts. The guidance is effective for fiscal years beginning after December 15, 2023, with early application permitted. The Company does not expect the adoption of this standard to have a material impact on our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2020 and January 2021, the FASB issued ASU No. 2020-04, Reference Rate Reform (Topic 848): Facilitation of the Effects of Reference Rate Reform on Financial Reporting and ASU No. 2021-01, Reference Rate Reform (Topic 848): Scope, respectively (collectively, “Topic 848”). Topic 848 provides optional expedients and exceptions for applying GAAP to contracts, hedging relationships and other transactions that reference the London Interbank Offered Rate (“LIBOR”) or another reference rate expected to be discontinued because of reference rate reform. The expedients and exceptions provided by Topic 848 are effective for all entities as of March 12, 2020 through December 31, 2022. In December 2022, the FASB issued ASU 2022-06, Reference Rate reform (Topic 848): Deferral of the Sunset Date of Topic 848, which deferred the sunset date of Topic 848, Reference Rate Reform to December 31, 2024, after which entities will no longer be permitted to apply the relief in Topic 848. The Company does not expect the adoption of this standard to have a material impact on the Company's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2020, the FASB issued ASU 2020-06, “Debt – Debt with Conversion and Other Options (Subtopic 470-20) and Derivatives and Hedging – Contracts in Entity’s Own Equity (Subtopic 815-40).” This ASU reduces the number of accounting models for convertible debt instruments and convertible preferred stock, as well as amend the guidance for the derivatives scope exception for contracts in an entity’s own equity to reduce form-over-substance-based accounting conclusions. In addition, this ASU improves and amends the related EPS guidance. This standard is effective for the Company on July 1, 2024, including interim periods within those fiscal years. Adoption is either a modified retrospective method or a fully retrospective method of transition. The Company does not expect the adoption of this standard to have a material impact on the consolidated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2020, the FASB issued ASU 2020-01, “Investments - Equity Securities (Topic 321), Investments - Equity Method and Joint Ventures (Topic 323), and Derivatives and Hedging (Topic 815) - Clarifying the Interactions between Topic 321, Topic 323, and Topic 815.” This ASU among other things clarifies that a company should consider observable transactions that require a company to either apply or discontinue the equity method of accounting under Topic 323, Investments—Equity Method and Joint Ventures, for the purposes of applying the measurement alternative in accordance with Topic 321 immediately before applying or upon discontinuing the equity method. The new ASU clarifies that, when determining the accounting for certain forward contracts and purchased options a company should not consider, whether upon settlement or exercise, if the underlying securities would be accounted for under the equity method or fair value option. ASU 2020-01 is effective for public business entities for fiscal years, and interim periods within those fiscal years, beginning after December 15, 2021. An entity should apply ASU 2020-01 prospectively at the beginning of the interim period that includes the adoption date. The Company adopted ASU 2020-01 on July 1, 2022. The adoption of ASU 2020-01 did not have material impact on the Company's consolidated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2019, the FASB issued ASU 2019-12, Income Taxes (Topic 740) – Simplifying the Accounting for Income Taxes. The update is intended to simplify the current rules regarding the accounting for income taxes and addresses several technical topics including accounting for franchise taxes, allocating income taxes between a loss in continuing operations and in other categories such as discontinued operations, reporting income taxes for legal entities that are not subject to income taxes, and interim accounting for enacted changes in tax laws. The new standard is effective for fiscal years beginning after December 15, 2021, and interim periods within fiscal years beginning after December 15, 2022; however, early adoption is permitted. The Company adopted ASU 2019-12 on July 1, 2022. The adoption of this standard did not have material impact on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2017, the FASB issued ASU 2017-04, “Intangibles - Goodwill and Other (Topic 350): Simplifying the Test for Goodwill Impairment,” which eliminates step two from the goodwill impairment test. Under ASU 2017-04, an entity should recognize an impairment charge for the amount by which the carrying amount of a reporting unit exceeds its fair value up to the amount of goodwill allocated to that reporting unit. ASU 2017-04 became effective for accelerated filing companies for annual periods or any interim goodwill impairment tests in fiscal years beginning after December 15, 2019. All other entities, including not-for-profit entities, that are adopting the amendments in this Update should do so for their annual or any interim goodwill impairment tests in fiscal years beginning after December 15, 2022. Early adoption is permitted for interim or annual goodwill impairment tests performed on testing dates after  January 1, 2017. The Company has adopted ASU 2017-04. See disclosures above on Goodwill for further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believe other recently issued but not yet effective accounting standards, if currently adopted, would have a material effect on the consolidated financial position, statements of operations and cash flows.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Financings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Asset-based revolving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12, 2021, the Company entered into a Credit Agreement with JPMorgan Chase Bank, N.A. (“JPM”), as administrative agent, issuing bank and swingline lender, for an asset-based revolving loan (“ABL”) of up to $25 million with key terms listed as follows:</w:t>
      </w:r>
    </w:p>
    <w:p>
      <w:pPr>
        <w:pStyle w:val="TextBody"/>
        <w:bidi w:val="0"/>
        <w:spacing w:before="0" w:after="0"/>
        <w:ind w:left="0" w:right="0" w:hanging="0"/>
        <w:jc w:val="left"/>
        <w:rPr>
          <w:caps w:val="false"/>
          <w:smallCaps w:val="false"/>
        </w:rPr>
      </w:pPr>
      <w:r>
        <w:rPr>
          <w:caps w:val="false"/>
          <w:smallCaps w:val="false"/>
        </w:rPr>
        <w:t> </w:t>
      </w:r>
    </w:p>
    <w:tbl>
      <w:tblPr>
        <w:tblW w:w="3070" w:type="dxa"/>
        <w:jc w:val="left"/>
        <w:tblInd w:w="0" w:type="dxa"/>
        <w:tblLayout w:type="fixed"/>
        <w:tblCellMar>
          <w:top w:w="0" w:type="dxa"/>
          <w:left w:w="0" w:type="dxa"/>
          <w:bottom w:w="0" w:type="dxa"/>
          <w:right w:w="0" w:type="dxa"/>
        </w:tblCellMar>
      </w:tblPr>
      <w:tblGrid>
        <w:gridCol w:w="75"/>
        <w:gridCol w:w="95"/>
        <w:gridCol w:w="2900"/>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Borrowing base equal to the sum of</w:t>
            </w:r>
          </w:p>
        </w:tc>
      </w:tr>
    </w:tbl>
    <w:tbl>
      <w:tblPr>
        <w:tblW w:w="9925" w:type="dxa"/>
        <w:jc w:val="left"/>
        <w:tblInd w:w="0" w:type="dxa"/>
        <w:tblLayout w:type="fixed"/>
        <w:tblCellMar>
          <w:top w:w="0" w:type="dxa"/>
          <w:left w:w="0" w:type="dxa"/>
          <w:bottom w:w="0" w:type="dxa"/>
          <w:right w:w="0" w:type="dxa"/>
        </w:tblCellMar>
      </w:tblPr>
      <w:tblGrid>
        <w:gridCol w:w="75"/>
        <w:gridCol w:w="170"/>
        <w:gridCol w:w="96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Wingdings" w:hAnsi="Wingdings"/>
                <w:sz w:val="20"/>
              </w:rPr>
            </w:pPr>
            <w:r>
              <w:rPr>
                <w:rFonts w:ascii="Wingdings" w:hAnsi="Wingdings"/>
                <w:sz w:val="20"/>
              </w:rPr>
              <w:t>Ø</w:t>
            </w:r>
          </w:p>
        </w:tc>
        <w:tc>
          <w:tcPr>
            <w:tcW w:w="96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Up to 90% of eligible credit card receivables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Wingdings" w:hAnsi="Wingdings"/>
                <w:sz w:val="20"/>
              </w:rPr>
            </w:pPr>
            <w:r>
              <w:rPr>
                <w:rFonts w:ascii="Wingdings" w:hAnsi="Wingdings"/>
                <w:sz w:val="20"/>
              </w:rPr>
              <w:t>Ø</w:t>
            </w:r>
          </w:p>
        </w:tc>
        <w:tc>
          <w:tcPr>
            <w:tcW w:w="96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Up to 85% of eligible trade accounts receivable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Wingdings" w:hAnsi="Wingdings"/>
                <w:sz w:val="20"/>
              </w:rPr>
            </w:pPr>
            <w:r>
              <w:rPr>
                <w:rFonts w:ascii="Wingdings" w:hAnsi="Wingdings"/>
                <w:sz w:val="20"/>
              </w:rPr>
              <w:t>Ø</w:t>
            </w:r>
          </w:p>
        </w:tc>
        <w:tc>
          <w:tcPr>
            <w:tcW w:w="96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Up to the lesser of (i) 65% of cost of eligible inventory or (ii) 85% of net orderly liquidation value of eligible inventory</w:t>
            </w:r>
          </w:p>
        </w:tc>
      </w:tr>
    </w:tbl>
    <w:tbl>
      <w:tblPr>
        <w:tblW w:w="7495" w:type="dxa"/>
        <w:jc w:val="left"/>
        <w:tblInd w:w="0" w:type="dxa"/>
        <w:tblLayout w:type="fixed"/>
        <w:tblCellMar>
          <w:top w:w="0" w:type="dxa"/>
          <w:left w:w="0" w:type="dxa"/>
          <w:bottom w:w="0" w:type="dxa"/>
          <w:right w:w="0" w:type="dxa"/>
        </w:tblCellMar>
      </w:tblPr>
      <w:tblGrid>
        <w:gridCol w:w="75"/>
        <w:gridCol w:w="95"/>
        <w:gridCol w:w="732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rates of between LIBOR plus 2% and LIBOR plus 2.25% depending on utilization</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Undrawn fee of between 0.25% and 0.375% depending on utilization</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Maturity Date of November 12, 2024</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ABL includes an accordion feature that allows the Company to borrow up to an additional $25 million. To secure complete payment and performance of the secured obligations, the Company granted a security interest in all of its right, title and interest in, to and under all of the Company’s assets as collateral to the ABL. Upon closing of the ABL, the Company paid $796,035 financing fees including 2% of $25.0 million or $500,000 paid to its financial advisor. The financing fees are recorded as debt discount and to be amortized over three years as financing expenses, the term of the ABL.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is a summary of the interest expense recorded for the years ended June 30, 2023 and 2022:</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4990" w:type="dxa"/>
        <w:jc w:val="left"/>
        <w:tblInd w:w="0" w:type="dxa"/>
        <w:tblLayout w:type="fixed"/>
        <w:tblCellMar>
          <w:top w:w="0" w:type="dxa"/>
          <w:left w:w="0" w:type="dxa"/>
          <w:bottom w:w="0" w:type="dxa"/>
          <w:right w:w="0" w:type="dxa"/>
        </w:tblCellMar>
      </w:tblPr>
      <w:tblGrid>
        <w:gridCol w:w="2855"/>
        <w:gridCol w:w="60"/>
        <w:gridCol w:w="140"/>
        <w:gridCol w:w="800"/>
        <w:gridCol w:w="60"/>
        <w:gridCol w:w="60"/>
        <w:gridCol w:w="140"/>
        <w:gridCol w:w="800"/>
        <w:gridCol w:w="75"/>
      </w:tblGrid>
      <w:tr>
        <w:trPr/>
        <w:tc>
          <w:tcPr>
            <w:tcW w:w="28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pPr>
            <w:r>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pPr>
            <w:r>
              <w:rPr/>
              <w:t>2022</w:t>
            </w:r>
          </w:p>
        </w:tc>
        <w:tc>
          <w:tcPr>
            <w:tcW w:w="75" w:type="dxa"/>
            <w:tcBorders/>
            <w:vAlign w:val="center"/>
          </w:tcPr>
          <w:p>
            <w:pPr>
              <w:pStyle w:val="TableContents"/>
              <w:bidi w:val="0"/>
              <w:spacing w:before="0" w:after="283"/>
              <w:jc w:val="left"/>
              <w:rPr/>
            </w:pPr>
            <w:r>
              <w:rPr/>
              <w:t> </w:t>
            </w:r>
          </w:p>
        </w:tc>
      </w:tr>
      <w:tr>
        <w:trPr/>
        <w:tc>
          <w:tcPr>
            <w:tcW w:w="2855" w:type="dxa"/>
            <w:tcBorders/>
            <w:shd w:fill="EEEEEE" w:val="clear"/>
            <w:vAlign w:val="center"/>
          </w:tcPr>
          <w:p>
            <w:pPr>
              <w:pStyle w:val="TableContents"/>
              <w:bidi w:val="0"/>
              <w:spacing w:before="0" w:after="283"/>
              <w:jc w:val="left"/>
              <w:rPr/>
            </w:pPr>
            <w:r>
              <w:rPr/>
              <w:t>Accrued interest</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800" w:type="dxa"/>
            <w:tcBorders/>
            <w:shd w:fill="EEEEEE" w:val="clear"/>
            <w:vAlign w:val="center"/>
          </w:tcPr>
          <w:p>
            <w:pPr>
              <w:pStyle w:val="TableContents"/>
              <w:bidi w:val="0"/>
              <w:spacing w:before="0" w:after="283"/>
              <w:jc w:val="right"/>
              <w:rPr/>
            </w:pPr>
            <w:r>
              <w:rPr/>
              <w:t>670,924</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800" w:type="dxa"/>
            <w:tcBorders/>
            <w:shd w:fill="EEEEEE" w:val="clear"/>
            <w:vAlign w:val="center"/>
          </w:tcPr>
          <w:p>
            <w:pPr>
              <w:pStyle w:val="TableContents"/>
              <w:bidi w:val="0"/>
              <w:spacing w:before="0" w:after="283"/>
              <w:jc w:val="right"/>
              <w:rPr/>
            </w:pPr>
            <w:r>
              <w:rPr/>
              <w:t>159,256</w:t>
            </w:r>
          </w:p>
        </w:tc>
        <w:tc>
          <w:tcPr>
            <w:tcW w:w="75" w:type="dxa"/>
            <w:tcBorders/>
            <w:shd w:fill="EEEEEE"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left"/>
              <w:rPr/>
            </w:pPr>
            <w:r>
              <w:rPr/>
              <w:t>Credit utilization fees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43,931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23,287</w:t>
            </w:r>
          </w:p>
        </w:tc>
        <w:tc>
          <w:tcPr>
            <w:tcW w:w="75" w:type="dxa"/>
            <w:tcBorders/>
            <w:shd w:fill="FFFFFF" w:val="clear"/>
            <w:vAlign w:val="center"/>
          </w:tcPr>
          <w:p>
            <w:pPr>
              <w:pStyle w:val="TableContents"/>
              <w:bidi w:val="0"/>
              <w:spacing w:before="0" w:after="283"/>
              <w:jc w:val="left"/>
              <w:rPr/>
            </w:pPr>
            <w:r>
              <w:rPr/>
              <w:t> </w:t>
            </w:r>
          </w:p>
        </w:tc>
      </w:tr>
      <w:tr>
        <w:trPr/>
        <w:tc>
          <w:tcPr>
            <w:tcW w:w="2855" w:type="dxa"/>
            <w:tcBorders/>
            <w:shd w:fill="EEEEEE" w:val="clear"/>
            <w:vAlign w:val="center"/>
          </w:tcPr>
          <w:p>
            <w:pPr>
              <w:pStyle w:val="TableContents"/>
              <w:bidi w:val="0"/>
              <w:spacing w:before="0" w:after="283"/>
              <w:jc w:val="left"/>
              <w:rPr/>
            </w:pPr>
            <w:r>
              <w:rPr/>
              <w:t>Amortization of debt discount</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EEEEEE" w:val="clear"/>
            <w:tcMar>
              <w:bottom w:w="28" w:type="dxa"/>
            </w:tcMar>
            <w:vAlign w:val="center"/>
          </w:tcPr>
          <w:p>
            <w:pPr>
              <w:pStyle w:val="TableContents"/>
              <w:bidi w:val="0"/>
              <w:spacing w:before="0" w:after="283"/>
              <w:jc w:val="right"/>
              <w:rPr/>
            </w:pPr>
            <w:r>
              <w:rPr/>
              <w:t>265,218</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EEEEEE" w:val="clear"/>
            <w:tcMar>
              <w:bottom w:w="28" w:type="dxa"/>
            </w:tcMar>
            <w:vAlign w:val="center"/>
          </w:tcPr>
          <w:p>
            <w:pPr>
              <w:pStyle w:val="TableContents"/>
              <w:bidi w:val="0"/>
              <w:spacing w:before="0" w:after="283"/>
              <w:jc w:val="right"/>
              <w:rPr/>
            </w:pPr>
            <w:r>
              <w:rPr/>
              <w:t>176,812</w:t>
            </w:r>
          </w:p>
        </w:tc>
        <w:tc>
          <w:tcPr>
            <w:tcW w:w="75" w:type="dxa"/>
            <w:tcBorders/>
            <w:shd w:fill="EEEEEE"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right"/>
              <w:rPr/>
            </w:pPr>
            <w:r>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980,073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359,355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2023 and 2022, the outstanding amount of the JPM revolving loan payable, net of debt discount and including interest, was $9,791,191 and $12,314,627, respectively.</w:t>
      </w:r>
    </w:p>
    <w:p>
      <w:pPr>
        <w:pStyle w:val="TextBody"/>
        <w:bidi w:val="0"/>
        <w:spacing w:before="0" w:after="0"/>
        <w:ind w:left="0" w:right="0" w:hanging="0"/>
        <w:jc w:val="righ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2022, the Company entered into a second amendment to the credit agreement and consent (the “Second Amendment to the Credit Agreement”), originally dated November 12, 2021, as amended, with JPM, as administrative agent and lender. The Company entered into the Second Amendment to the Credit Agreement primarily for the purpose of changing the interest rate repayment calculations from LIBOR to the Secured Overnight Financing Rate, or SOFR, which adjustment had originally been anticipated under the terms of the original Credit Agreement. In addition, two of the negative covenants set forth in the original credit agreement were amended in order to (i) adjust the definition of “Covenant Testing Trigger Period” to increase the required cash availability from $3,000,000 to $4,000,000, or 10% of the aggregate revolving commitment for the preceding 30 days, and (ii) require that the Company will not and will not permit any of its subsidiaries, after reasonable due diligence and due inquiry, to knowingly sell their products, inventory or services directly to any commercial businesses that grow or cultivate cannabis; it being acknowledged, however, that the Company does not generally conduct due diligence on its individual retail customers.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11, 2022, the Company and JPM entered into a default waiver and consent agreement (the “Waiver Letter”) pursuant to which the parties recognized that the Company was in default on its failure to satisfy the minimum Excess Availability requirement of $7,500,000, as defined in the Credit Agreement, and deliver a certificate to JPM accurately reflecting the Excess Availability (together, the “Existing Defaults”). Under the terms of the Waiver Letter, JPM agreed to waive the right to enforce an event of default based on the aforementioned Existing Defaults. As of June 30, 2023, the Company was in compliance with the ABL covenants.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Promissory note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15, 2022, as part of the consideration for the acquisition of Anivia, the Company issued a two-year unsecured 6% subordinated promissory note, payable in equal semi-annual installments commencing August 15, 2022 (the “Purchase Note”). The principal amount of the Purchase Note was $3.5 million with a fair value of $3.6 million as of February 15, 2022. In October 2022, the Company paid the first installment of $875,000, and in February 2023, the Company paid the second installment of $875,000. For the year ended June 30, 2023, the Company recorded accrued interest of $157,500 and amortization of note premium of $50,418. As of June 30, 2023, including $236,250 of accrued interest and $31,602 of unamortized premium, the total outstanding balance of the Purchase Note was $2,017,852, which is presented on the consolidated balance sheet as a current portion of $2,017,852 and a non-current portion of $0. For the year ended June 30, 2022, the Company recorded accrued interest of $78,750 and amortization of note premium of $18,609. As of June 30, 2022, including $78,750 of accrued interest and $82,020 of unamortized premium, the total outstanding balance of the Purchase Note was $3,660,770, which was presented on the consolidated balance sheet as a current portion of $1,879,065 and a non-current portion of $1,781,705.</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Emerging Growth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the JOBS Act. Accordingly, certain specified reporting and other regulatory requirements for public companies are reduced for businesses that meet the qualifications for emerging growth companies.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include:</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exemption from the auditor attestation requirement in the assessment of our internal controls over financial reporting required by Section 404 of the Sarbanes-Oxley Act of 2002;</w:t>
            </w:r>
          </w:p>
        </w:tc>
      </w:tr>
      <w:tr>
        <w:trPr/>
        <w:tc>
          <w:tcPr>
            <w:tcW w:w="219" w:type="dxa"/>
            <w:tcBorders/>
            <w:vAlign w:val="center"/>
          </w:tcPr>
          <w:p>
            <w:pPr>
              <w:pStyle w:val="TableContents"/>
              <w:bidi w:val="0"/>
              <w:spacing w:before="0" w:after="283"/>
              <w:jc w:val="left"/>
              <w:rPr/>
            </w:pPr>
            <w:r>
              <w:rPr/>
              <w:t> </w:t>
            </w:r>
          </w:p>
        </w:tc>
        <w:tc>
          <w:tcPr>
            <w:tcW w:w="9986" w:type="dxa"/>
            <w:tcBorders/>
            <w:vAlign w:val="center"/>
          </w:tcPr>
          <w:p>
            <w:pPr>
              <w:pStyle w:val="TableContents"/>
              <w:bidi w:val="0"/>
              <w:spacing w:before="0" w:after="283"/>
              <w:jc w:val="both"/>
              <w:rPr/>
            </w:pPr>
            <w:r>
              <w:rPr/>
              <w:t> </w:t>
            </w:r>
          </w:p>
        </w:tc>
      </w:tr>
      <w:tr>
        <w:trPr/>
        <w:tc>
          <w:tcPr>
            <w:tcW w:w="2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exemption from the adoption of new or revised financial accounting standards until they would apply to private companies;</w:t>
            </w:r>
          </w:p>
        </w:tc>
      </w:tr>
      <w:tr>
        <w:trPr/>
        <w:tc>
          <w:tcPr>
            <w:tcW w:w="219" w:type="dxa"/>
            <w:tcBorders/>
            <w:vAlign w:val="center"/>
          </w:tcPr>
          <w:p>
            <w:pPr>
              <w:pStyle w:val="TableContents"/>
              <w:bidi w:val="0"/>
              <w:spacing w:before="0" w:after="283"/>
              <w:jc w:val="left"/>
              <w:rPr/>
            </w:pPr>
            <w:r>
              <w:rPr/>
              <w:t> </w:t>
            </w:r>
          </w:p>
        </w:tc>
        <w:tc>
          <w:tcPr>
            <w:tcW w:w="9986" w:type="dxa"/>
            <w:tcBorders/>
            <w:vAlign w:val="center"/>
          </w:tcPr>
          <w:p>
            <w:pPr>
              <w:pStyle w:val="TableContents"/>
              <w:bidi w:val="0"/>
              <w:spacing w:before="0" w:after="283"/>
              <w:jc w:val="both"/>
              <w:rPr/>
            </w:pPr>
            <w:r>
              <w:rPr/>
              <w:t> </w:t>
            </w:r>
          </w:p>
        </w:tc>
      </w:tr>
      <w:tr>
        <w:trPr/>
        <w:tc>
          <w:tcPr>
            <w:tcW w:w="2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exemption from compliance with any new requirements adopted by the Public Company Accounting Oversight Board, or the PCAOB, requiring mandatory audit firm rotation or a supplement to the auditor’s report in which the auditor would be required to provide additional information about our audit and our financial statements; and</w:t>
            </w:r>
          </w:p>
        </w:tc>
      </w:tr>
      <w:tr>
        <w:trPr/>
        <w:tc>
          <w:tcPr>
            <w:tcW w:w="219" w:type="dxa"/>
            <w:tcBorders/>
            <w:vAlign w:val="center"/>
          </w:tcPr>
          <w:p>
            <w:pPr>
              <w:pStyle w:val="TableContents"/>
              <w:bidi w:val="0"/>
              <w:spacing w:before="0" w:after="283"/>
              <w:jc w:val="left"/>
              <w:rPr/>
            </w:pPr>
            <w:r>
              <w:rPr/>
              <w:t> </w:t>
            </w:r>
          </w:p>
        </w:tc>
        <w:tc>
          <w:tcPr>
            <w:tcW w:w="9986" w:type="dxa"/>
            <w:tcBorders/>
            <w:vAlign w:val="center"/>
          </w:tcPr>
          <w:p>
            <w:pPr>
              <w:pStyle w:val="TableContents"/>
              <w:bidi w:val="0"/>
              <w:spacing w:before="0" w:after="283"/>
              <w:jc w:val="both"/>
              <w:rPr/>
            </w:pPr>
            <w:r>
              <w:rPr/>
              <w:t> </w:t>
            </w:r>
          </w:p>
        </w:tc>
      </w:tr>
      <w:tr>
        <w:trPr/>
        <w:tc>
          <w:tcPr>
            <w:tcW w:w="2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reduced disclosure about our executive compensation arrangements.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4" w:name="k_019"/>
      <w:bookmarkEnd w:id="44"/>
      <w:r>
        <w:rPr>
          <w:rFonts w:ascii="Times New Roman;Times;Serif" w:hAnsi="Times New Roman;Times;Serif"/>
          <w:b/>
          <w:i w:val="false"/>
          <w:caps w:val="false"/>
          <w:smallCaps w:val="false"/>
          <w:sz w:val="20"/>
        </w:rPr>
        <w:t>ITEM 7A. QUANTITATIVE AND QUALITATIVE DISCLOSURES ABOUT MARKET RISK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“smaller reporting company,” this item is not required.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5" w:name="k_020"/>
      <w:bookmarkEnd w:id="45"/>
      <w:r>
        <w:rPr>
          <w:rFonts w:ascii="Times New Roman;Times;Serif" w:hAnsi="Times New Roman;Times;Serif"/>
          <w:b/>
          <w:i w:val="false"/>
          <w:caps w:val="false"/>
          <w:smallCaps w:val="false"/>
          <w:sz w:val="20"/>
        </w:rPr>
        <w:t>ITEM 8. FINANCIAL STATEMENTS AND SUPPLEMENTARY DATA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Index to Financial Statements</w:t>
      </w:r>
    </w:p>
    <w:p>
      <w:pPr>
        <w:pStyle w:val="TextBody"/>
        <w:bidi w:val="0"/>
        <w:spacing w:before="0" w:after="0"/>
        <w:ind w:left="0" w:right="0" w:hanging="0"/>
        <w:jc w:val="center"/>
        <w:rPr>
          <w:caps w:val="false"/>
          <w:smallCaps w:val="false"/>
        </w:rPr>
      </w:pPr>
      <w:r>
        <w:rPr>
          <w:caps w:val="false"/>
          <w:smallCaps w:val="false"/>
        </w:rPr>
        <w:t> </w:t>
      </w:r>
    </w:p>
    <w:tbl>
      <w:tblPr>
        <w:tblW w:w="10045" w:type="dxa"/>
        <w:jc w:val="left"/>
        <w:tblInd w:w="0" w:type="dxa"/>
        <w:tblLayout w:type="fixed"/>
        <w:tblCellMar>
          <w:top w:w="0" w:type="dxa"/>
          <w:left w:w="0" w:type="dxa"/>
          <w:bottom w:w="0" w:type="dxa"/>
          <w:right w:w="0" w:type="dxa"/>
        </w:tblCellMar>
      </w:tblPr>
      <w:tblGrid>
        <w:gridCol w:w="9620"/>
        <w:gridCol w:w="425"/>
      </w:tblGrid>
      <w:tr>
        <w:trPr/>
        <w:tc>
          <w:tcPr>
            <w:tcW w:w="9620" w:type="dxa"/>
            <w:tcBorders/>
            <w:vAlign w:val="center"/>
          </w:tcPr>
          <w:p>
            <w:pPr>
              <w:pStyle w:val="TableContents"/>
              <w:bidi w:val="0"/>
              <w:spacing w:before="0" w:after="283"/>
              <w:jc w:val="left"/>
              <w:rPr/>
            </w:pPr>
            <w:r>
              <w:rPr/>
              <w:t> </w:t>
            </w:r>
          </w:p>
        </w:tc>
        <w:tc>
          <w:tcPr>
            <w:tcW w:w="4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Page</w:t>
            </w:r>
          </w:p>
        </w:tc>
      </w:tr>
      <w:tr>
        <w:trPr/>
        <w:tc>
          <w:tcPr>
            <w:tcW w:w="96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center"/>
              <w:rPr/>
            </w:pPr>
            <w:r>
              <w:rPr/>
              <w:t> </w:t>
            </w:r>
          </w:p>
        </w:tc>
      </w:tr>
      <w:tr>
        <w:trPr/>
        <w:tc>
          <w:tcPr>
            <w:tcW w:w="9620" w:type="dxa"/>
            <w:tcBorders/>
            <w:vAlign w:val="center"/>
          </w:tcPr>
          <w:p>
            <w:pPr>
              <w:pStyle w:val="TableContents"/>
              <w:bidi w:val="0"/>
              <w:spacing w:before="0" w:after="283"/>
              <w:jc w:val="left"/>
              <w:rPr/>
            </w:pPr>
            <w:hyperlink w:anchor="k_001">
              <w:r>
                <w:rPr>
                  <w:rStyle w:val="InternetLink"/>
                  <w:rFonts w:ascii="Times New Roman;Times;Serif" w:hAnsi="Times New Roman;Times;Serif"/>
                  <w:sz w:val="20"/>
                </w:rPr>
                <w:t>Report of Independent Registered Public Accounting Firm</w:t>
              </w:r>
            </w:hyperlink>
            <w:r>
              <w:rPr>
                <w:rFonts w:ascii="Times New Roman;Times;Serif" w:hAnsi="Times New Roman;Times;Serif"/>
                <w:sz w:val="20"/>
              </w:rPr>
              <w:t xml:space="preserve"> PCAOB ID (</w:t>
            </w:r>
            <w:bookmarkStart w:id="46" w:name="xdx_908_edei--AuditorFirmId_c20220701__2"/>
            <w:bookmarkEnd w:id="46"/>
            <w:r>
              <w:rPr>
                <w:rFonts w:ascii="Times New Roman;Times;Serif" w:hAnsi="Times New Roman;Times;Serif"/>
                <w:sz w:val="20"/>
              </w:rPr>
              <w:t>1195)</w:t>
            </w:r>
          </w:p>
        </w:tc>
        <w:tc>
          <w:tcPr>
            <w:tcW w:w="4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F-1</w:t>
            </w:r>
          </w:p>
        </w:tc>
      </w:tr>
      <w:tr>
        <w:trPr/>
        <w:tc>
          <w:tcPr>
            <w:tcW w:w="96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center"/>
              <w:rPr/>
            </w:pPr>
            <w:r>
              <w:rPr/>
              <w:t> </w:t>
            </w:r>
          </w:p>
        </w:tc>
      </w:tr>
      <w:tr>
        <w:trPr/>
        <w:tc>
          <w:tcPr>
            <w:tcW w:w="9620" w:type="dxa"/>
            <w:tcBorders/>
            <w:vAlign w:val="center"/>
          </w:tcPr>
          <w:p>
            <w:pPr>
              <w:pStyle w:val="TableContents"/>
              <w:bidi w:val="0"/>
              <w:spacing w:before="0" w:after="283"/>
              <w:jc w:val="left"/>
              <w:rPr/>
            </w:pPr>
            <w:hyperlink w:anchor="k_002">
              <w:r>
                <w:rPr>
                  <w:rStyle w:val="InternetLink"/>
                  <w:rFonts w:ascii="Times New Roman;Times;Serif" w:hAnsi="Times New Roman;Times;Serif"/>
                  <w:sz w:val="20"/>
                </w:rPr>
                <w:t>Consolidated Balance Sheets as of June 30, 2023 and 2022</w:t>
              </w:r>
            </w:hyperlink>
          </w:p>
        </w:tc>
        <w:tc>
          <w:tcPr>
            <w:tcW w:w="4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F-2</w:t>
            </w:r>
          </w:p>
        </w:tc>
      </w:tr>
      <w:tr>
        <w:trPr/>
        <w:tc>
          <w:tcPr>
            <w:tcW w:w="96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center"/>
              <w:rPr/>
            </w:pPr>
            <w:r>
              <w:rPr/>
              <w:t> </w:t>
            </w:r>
          </w:p>
        </w:tc>
      </w:tr>
      <w:tr>
        <w:trPr/>
        <w:tc>
          <w:tcPr>
            <w:tcW w:w="9620" w:type="dxa"/>
            <w:tcBorders/>
            <w:vAlign w:val="center"/>
          </w:tcPr>
          <w:p>
            <w:pPr>
              <w:pStyle w:val="TableContents"/>
              <w:bidi w:val="0"/>
              <w:spacing w:before="0" w:after="283"/>
              <w:jc w:val="left"/>
              <w:rPr/>
            </w:pPr>
            <w:hyperlink w:anchor="k_003">
              <w:r>
                <w:rPr>
                  <w:rStyle w:val="InternetLink"/>
                  <w:rFonts w:ascii="Times New Roman;Times;Serif" w:hAnsi="Times New Roman;Times;Serif"/>
                  <w:sz w:val="20"/>
                </w:rPr>
                <w:t>Consolidated Statements of Operations and Comprehensive Income (Loss) for the years ended June 30, 2023 and 2022</w:t>
              </w:r>
            </w:hyperlink>
          </w:p>
        </w:tc>
        <w:tc>
          <w:tcPr>
            <w:tcW w:w="4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F-3</w:t>
            </w:r>
          </w:p>
        </w:tc>
      </w:tr>
      <w:tr>
        <w:trPr/>
        <w:tc>
          <w:tcPr>
            <w:tcW w:w="96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center"/>
              <w:rPr/>
            </w:pPr>
            <w:r>
              <w:rPr/>
              <w:t> </w:t>
            </w:r>
          </w:p>
        </w:tc>
      </w:tr>
      <w:tr>
        <w:trPr/>
        <w:tc>
          <w:tcPr>
            <w:tcW w:w="9620" w:type="dxa"/>
            <w:tcBorders/>
            <w:vAlign w:val="center"/>
          </w:tcPr>
          <w:p>
            <w:pPr>
              <w:pStyle w:val="TableContents"/>
              <w:bidi w:val="0"/>
              <w:spacing w:before="0" w:after="283"/>
              <w:jc w:val="left"/>
              <w:rPr/>
            </w:pPr>
            <w:hyperlink w:anchor="k_004">
              <w:r>
                <w:rPr>
                  <w:rStyle w:val="InternetLink"/>
                  <w:rFonts w:ascii="Times New Roman;Times;Serif" w:hAnsi="Times New Roman;Times;Serif"/>
                  <w:sz w:val="20"/>
                </w:rPr>
                <w:t>Consolidated Statements of Changes in Stockholders’ Equity for the years ended June 30, 2023 and 2022</w:t>
              </w:r>
            </w:hyperlink>
          </w:p>
        </w:tc>
        <w:tc>
          <w:tcPr>
            <w:tcW w:w="4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F-4</w:t>
            </w:r>
          </w:p>
        </w:tc>
      </w:tr>
      <w:tr>
        <w:trPr/>
        <w:tc>
          <w:tcPr>
            <w:tcW w:w="96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center"/>
              <w:rPr/>
            </w:pPr>
            <w:r>
              <w:rPr/>
              <w:t> </w:t>
            </w:r>
          </w:p>
        </w:tc>
      </w:tr>
      <w:tr>
        <w:trPr/>
        <w:tc>
          <w:tcPr>
            <w:tcW w:w="9620" w:type="dxa"/>
            <w:tcBorders/>
            <w:vAlign w:val="center"/>
          </w:tcPr>
          <w:p>
            <w:pPr>
              <w:pStyle w:val="TableContents"/>
              <w:bidi w:val="0"/>
              <w:spacing w:before="0" w:after="283"/>
              <w:jc w:val="left"/>
              <w:rPr/>
            </w:pPr>
            <w:hyperlink w:anchor="k_005">
              <w:r>
                <w:rPr>
                  <w:rStyle w:val="InternetLink"/>
                  <w:rFonts w:ascii="Times New Roman;Times;Serif" w:hAnsi="Times New Roman;Times;Serif"/>
                  <w:sz w:val="20"/>
                </w:rPr>
                <w:t>Consolidated Statements of Cash Flows for the years ended June 30, 2023 and 2022</w:t>
              </w:r>
            </w:hyperlink>
          </w:p>
        </w:tc>
        <w:tc>
          <w:tcPr>
            <w:tcW w:w="4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F-5</w:t>
            </w:r>
          </w:p>
        </w:tc>
      </w:tr>
      <w:tr>
        <w:trPr/>
        <w:tc>
          <w:tcPr>
            <w:tcW w:w="96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center"/>
              <w:rPr/>
            </w:pPr>
            <w:r>
              <w:rPr/>
              <w:t> </w:t>
            </w:r>
          </w:p>
        </w:tc>
      </w:tr>
      <w:tr>
        <w:trPr/>
        <w:tc>
          <w:tcPr>
            <w:tcW w:w="9620" w:type="dxa"/>
            <w:tcBorders/>
            <w:vAlign w:val="center"/>
          </w:tcPr>
          <w:p>
            <w:pPr>
              <w:pStyle w:val="TableContents"/>
              <w:bidi w:val="0"/>
              <w:spacing w:before="0" w:after="283"/>
              <w:jc w:val="left"/>
              <w:rPr/>
            </w:pPr>
            <w:hyperlink w:anchor="k_006">
              <w:r>
                <w:rPr>
                  <w:rStyle w:val="InternetLink"/>
                  <w:rFonts w:ascii="Times New Roman;Times;Serif" w:hAnsi="Times New Roman;Times;Serif"/>
                  <w:sz w:val="20"/>
                </w:rPr>
                <w:t>Notes to Consolidated Financial Statements</w:t>
              </w:r>
            </w:hyperlink>
          </w:p>
        </w:tc>
        <w:tc>
          <w:tcPr>
            <w:tcW w:w="4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943600" cy="5619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43600" cy="561975"/>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bookmarkStart w:id="47" w:name="k_001"/>
      <w:bookmarkEnd w:id="47"/>
      <w:r>
        <w:rPr>
          <w:rFonts w:ascii="Times New Roman;Times;Serif" w:hAnsi="Times New Roman;Times;Serif"/>
          <w:b w:val="false"/>
          <w:i w:val="false"/>
          <w:caps w:val="false"/>
          <w:smallCaps w:val="false"/>
          <w:sz w:val="20"/>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Board of Directors and Stockholders of iPower,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sheets of iPower, Inc. and its subsidiaries (the “Company”) as of June 30, 2023 and 2022, and the related consolidated statements of operations and other comprehensive (loss) income, changes in stockholders’ equity, and cash flows for each of the years in the two-year period ended June 30, 2023 and the related notes (collectively referred to as the consolidated financial statements). In our opinion, the consolidated financial statements present fairly, in all material respects, the financial position of the Company as of June 30, 2023 and 2022, and the results of their operations and their cash flows for each of the years in the two-year period ended June 30, 2023, in conformity with accounting principles generally accepted in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bookmarkStart w:id="48" w:name="xdx_901_edei--AuditorName_c20220701__202"/>
      <w:bookmarkEnd w:id="48"/>
      <w:r>
        <w:rPr>
          <w:rFonts w:ascii="Times New Roman;Times;Serif" w:hAnsi="Times New Roman;Times;Serif"/>
          <w:b w:val="false"/>
          <w:i w:val="false"/>
          <w:caps w:val="false"/>
          <w:smallCaps w:val="false"/>
          <w:sz w:val="20"/>
        </w:rPr>
        <w:t>UHY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49" w:name="xdx_901_edei--AuditorLocation_c20220701_"/>
      <w:bookmarkEnd w:id="49"/>
      <w:r>
        <w:rPr>
          <w:rFonts w:ascii="Times New Roman;Times;Serif" w:hAnsi="Times New Roman;Times;Serif"/>
          <w:b w:val="false"/>
          <w:i w:val="false"/>
          <w:caps w:val="false"/>
          <w:smallCaps w:val="false"/>
          <w:sz w:val="20"/>
        </w:rPr>
        <w:t>Irvine, California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14,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F-1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iPower Inc. and Subsidiaries</w:t>
      </w:r>
    </w:p>
    <w:p>
      <w:pPr>
        <w:pStyle w:val="TextBody"/>
        <w:bidi w:val="0"/>
        <w:spacing w:before="0" w:after="0"/>
        <w:jc w:val="center"/>
        <w:rPr>
          <w:rFonts w:ascii="Times New Roman;Times;Serif" w:hAnsi="Times New Roman;Times;Serif"/>
          <w:b w:val="false"/>
          <w:i w:val="false"/>
          <w:caps w:val="false"/>
          <w:smallCaps w:val="false"/>
          <w:sz w:val="20"/>
        </w:rPr>
      </w:pPr>
      <w:bookmarkStart w:id="50" w:name="k_002"/>
      <w:bookmarkEnd w:id="50"/>
      <w:r>
        <w:rPr>
          <w:rFonts w:ascii="Times New Roman;Times;Serif" w:hAnsi="Times New Roman;Times;Serif"/>
          <w:b w:val="false"/>
          <w:i w:val="false"/>
          <w:caps w:val="false"/>
          <w:smallCaps w:val="false"/>
          <w:sz w:val="20"/>
        </w:rPr>
        <w:t>Consolidated Balance Sheets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2023 and 2022</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51" w:name="xdx_30A_111_ziLVG7y0Xas5"/>
      <w:bookmarkStart w:id="52" w:name="xdx_30A_111_ziLVG7y0Xas5"/>
      <w:bookmarkEnd w:id="52"/>
    </w:p>
    <w:tbl>
      <w:tblPr>
        <w:tblW w:w="10205" w:type="dxa"/>
        <w:jc w:val="left"/>
        <w:tblInd w:w="0" w:type="dxa"/>
        <w:tblLayout w:type="fixed"/>
        <w:tblCellMar>
          <w:top w:w="0" w:type="dxa"/>
          <w:left w:w="0" w:type="dxa"/>
          <w:bottom w:w="0" w:type="dxa"/>
          <w:right w:w="0" w:type="dxa"/>
        </w:tblCellMar>
      </w:tblPr>
      <w:tblGrid>
        <w:gridCol w:w="7400"/>
        <w:gridCol w:w="60"/>
        <w:gridCol w:w="140"/>
        <w:gridCol w:w="1100"/>
        <w:gridCol w:w="95"/>
        <w:gridCol w:w="60"/>
        <w:gridCol w:w="140"/>
        <w:gridCol w:w="1100"/>
        <w:gridCol w:w="110"/>
      </w:tblGrid>
      <w:tr>
        <w:trPr/>
        <w:tc>
          <w:tcPr>
            <w:tcW w:w="74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53" w:name="xdx_491_20230630"/>
            <w:bookmarkEnd w:id="53"/>
          </w:p>
        </w:tc>
        <w:tc>
          <w:tcPr>
            <w:tcW w:w="124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4" w:name="xdx_490_20220630"/>
            <w:bookmarkEnd w:id="54"/>
          </w:p>
        </w:tc>
        <w:tc>
          <w:tcPr>
            <w:tcW w:w="1240"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74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pPr>
            <w:r>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pPr>
            <w:r>
              <w:rPr/>
              <w:t>June 30,</w:t>
            </w:r>
          </w:p>
        </w:tc>
        <w:tc>
          <w:tcPr>
            <w:tcW w:w="110" w:type="dxa"/>
            <w:tcBorders/>
            <w:vAlign w:val="center"/>
          </w:tcPr>
          <w:p>
            <w:pPr>
              <w:pStyle w:val="TableContents"/>
              <w:bidi w:val="0"/>
              <w:spacing w:before="0" w:after="283"/>
              <w:jc w:val="left"/>
              <w:rPr/>
            </w:pPr>
            <w:r>
              <w:rPr/>
              <w:t> </w:t>
            </w:r>
          </w:p>
        </w:tc>
      </w:tr>
      <w:tr>
        <w:trPr/>
        <w:tc>
          <w:tcPr>
            <w:tcW w:w="74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pPr>
            <w:r>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pPr>
            <w:r>
              <w:rPr/>
              <w:t>2022</w:t>
            </w:r>
          </w:p>
        </w:tc>
        <w:tc>
          <w:tcPr>
            <w:tcW w:w="110" w:type="dxa"/>
            <w:tcBorders/>
            <w:vAlign w:val="center"/>
          </w:tcPr>
          <w:p>
            <w:pPr>
              <w:pStyle w:val="TableContents"/>
              <w:bidi w:val="0"/>
              <w:spacing w:before="0" w:after="283"/>
              <w:jc w:val="left"/>
              <w:rPr/>
            </w:pPr>
            <w:r>
              <w:rPr/>
              <w:t> </w:t>
            </w:r>
          </w:p>
        </w:tc>
      </w:tr>
      <w:tr>
        <w:trPr/>
        <w:tc>
          <w:tcPr>
            <w:tcW w:w="74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bookmarkStart w:id="55" w:name="xdx_409_eus-gaap--AssetsAbstract_iB_zITQ"/>
            <w:bookmarkEnd w:id="55"/>
          </w:p>
        </w:tc>
      </w:tr>
      <w:tr>
        <w:trPr/>
        <w:tc>
          <w:tcPr>
            <w:tcW w:w="7400" w:type="dxa"/>
            <w:tcBorders/>
            <w:vAlign w:val="center"/>
          </w:tcPr>
          <w:p>
            <w:pPr>
              <w:pStyle w:val="TableContents"/>
              <w:bidi w:val="0"/>
              <w:spacing w:before="0" w:after="283"/>
              <w:jc w:val="left"/>
              <w:rPr>
                <w:u w:val="single"/>
              </w:rPr>
            </w:pPr>
            <w:r>
              <w:rPr>
                <w:u w:val="single"/>
              </w:rPr>
              <w:t>ASSETS</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bookmarkStart w:id="56" w:name="xdx_401_eus-gaap--AssetsCurrentAbstract_"/>
            <w:bookmarkEnd w:id="56"/>
          </w:p>
        </w:tc>
      </w:tr>
      <w:tr>
        <w:trPr/>
        <w:tc>
          <w:tcPr>
            <w:tcW w:w="7400" w:type="dxa"/>
            <w:tcBorders/>
            <w:shd w:fill="EEEEEE" w:val="clear"/>
            <w:vAlign w:val="center"/>
          </w:tcPr>
          <w:p>
            <w:pPr>
              <w:pStyle w:val="TableContents"/>
              <w:bidi w:val="0"/>
              <w:spacing w:before="0" w:after="283"/>
              <w:jc w:val="left"/>
              <w:rPr/>
            </w:pPr>
            <w:r>
              <w:rPr/>
              <w:t>Current assets</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 </w:t>
            </w:r>
          </w:p>
        </w:tc>
        <w:tc>
          <w:tcPr>
            <w:tcW w:w="110" w:type="dxa"/>
            <w:tcBorders/>
            <w:shd w:fill="EEEEEE" w:val="clear"/>
            <w:vAlign w:val="center"/>
          </w:tcPr>
          <w:p>
            <w:pPr>
              <w:pStyle w:val="TableContents"/>
              <w:bidi w:val="0"/>
              <w:spacing w:before="0" w:after="283"/>
              <w:jc w:val="left"/>
              <w:rPr/>
            </w:pPr>
            <w:r>
              <w:rPr/>
              <w:t> </w:t>
            </w:r>
            <w:bookmarkStart w:id="57" w:name="xdx_40E_eus-gaap--CashAndCashEquivalents"/>
            <w:bookmarkEnd w:id="57"/>
          </w:p>
        </w:tc>
      </w:tr>
      <w:tr>
        <w:trPr/>
        <w:tc>
          <w:tcPr>
            <w:tcW w:w="7400" w:type="dxa"/>
            <w:tcBorders/>
            <w:shd w:fill="FFFFFF" w:val="clear"/>
            <w:vAlign w:val="center"/>
          </w:tcPr>
          <w:p>
            <w:pPr>
              <w:pStyle w:val="TableContents"/>
              <w:bidi w:val="0"/>
              <w:spacing w:before="0" w:after="283"/>
              <w:jc w:val="left"/>
              <w:rPr/>
            </w:pPr>
            <w:r>
              <w:rPr/>
              <w:t>Cash and cash equivalent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3,735,642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1,821,947</w:t>
            </w:r>
          </w:p>
        </w:tc>
        <w:tc>
          <w:tcPr>
            <w:tcW w:w="110" w:type="dxa"/>
            <w:tcBorders/>
            <w:shd w:fill="FFFFFF" w:val="clear"/>
            <w:vAlign w:val="center"/>
          </w:tcPr>
          <w:p>
            <w:pPr>
              <w:pStyle w:val="TableContents"/>
              <w:bidi w:val="0"/>
              <w:spacing w:before="0" w:after="283"/>
              <w:jc w:val="left"/>
              <w:rPr/>
            </w:pPr>
            <w:r>
              <w:rPr/>
              <w:t> </w:t>
            </w:r>
            <w:bookmarkStart w:id="58" w:name="xdx_402_eus-gaap--AccountsReceivableNetC"/>
            <w:bookmarkEnd w:id="58"/>
          </w:p>
        </w:tc>
      </w:tr>
      <w:tr>
        <w:trPr/>
        <w:tc>
          <w:tcPr>
            <w:tcW w:w="7400" w:type="dxa"/>
            <w:tcBorders/>
            <w:shd w:fill="EEEEEE" w:val="clear"/>
            <w:vAlign w:val="center"/>
          </w:tcPr>
          <w:p>
            <w:pPr>
              <w:pStyle w:val="TableContents"/>
              <w:bidi w:val="0"/>
              <w:spacing w:before="0" w:after="283"/>
              <w:jc w:val="left"/>
              <w:rPr/>
            </w:pPr>
            <w:r>
              <w:rPr/>
              <w:t>Accounts receivable, net</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14,071,543</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17,432,287</w:t>
            </w:r>
          </w:p>
        </w:tc>
        <w:tc>
          <w:tcPr>
            <w:tcW w:w="110" w:type="dxa"/>
            <w:tcBorders/>
            <w:shd w:fill="EEEEEE" w:val="clear"/>
            <w:vAlign w:val="center"/>
          </w:tcPr>
          <w:p>
            <w:pPr>
              <w:pStyle w:val="TableContents"/>
              <w:bidi w:val="0"/>
              <w:spacing w:before="0" w:after="283"/>
              <w:jc w:val="left"/>
              <w:rPr/>
            </w:pPr>
            <w:r>
              <w:rPr/>
              <w:t> </w:t>
            </w:r>
            <w:bookmarkStart w:id="59" w:name="xdx_40A_eus-gaap--InventoryNet_i01I_maCz"/>
            <w:bookmarkEnd w:id="59"/>
          </w:p>
        </w:tc>
      </w:tr>
      <w:tr>
        <w:trPr/>
        <w:tc>
          <w:tcPr>
            <w:tcW w:w="7400" w:type="dxa"/>
            <w:tcBorders/>
            <w:shd w:fill="FFFFFF" w:val="clear"/>
            <w:vAlign w:val="center"/>
          </w:tcPr>
          <w:p>
            <w:pPr>
              <w:pStyle w:val="TableContents"/>
              <w:bidi w:val="0"/>
              <w:spacing w:before="0" w:after="283"/>
              <w:jc w:val="left"/>
              <w:rPr/>
            </w:pPr>
            <w:r>
              <w:rPr/>
              <w:t>Inventories,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20,593,889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30,433,766</w:t>
            </w:r>
          </w:p>
        </w:tc>
        <w:tc>
          <w:tcPr>
            <w:tcW w:w="110" w:type="dxa"/>
            <w:tcBorders/>
            <w:shd w:fill="FFFFFF" w:val="clear"/>
            <w:vAlign w:val="center"/>
          </w:tcPr>
          <w:p>
            <w:pPr>
              <w:pStyle w:val="TableContents"/>
              <w:bidi w:val="0"/>
              <w:spacing w:before="0" w:after="283"/>
              <w:jc w:val="left"/>
              <w:rPr/>
            </w:pPr>
            <w:r>
              <w:rPr/>
              <w:t> </w:t>
            </w:r>
            <w:bookmarkStart w:id="60" w:name="xdx_40B_ecustom--OtherReceivableRelatedP"/>
            <w:bookmarkEnd w:id="60"/>
          </w:p>
        </w:tc>
      </w:tr>
      <w:tr>
        <w:trPr/>
        <w:tc>
          <w:tcPr>
            <w:tcW w:w="7400" w:type="dxa"/>
            <w:tcBorders/>
            <w:shd w:fill="EEEEEE" w:val="clear"/>
            <w:vAlign w:val="center"/>
          </w:tcPr>
          <w:p>
            <w:pPr>
              <w:pStyle w:val="TableContents"/>
              <w:bidi w:val="0"/>
              <w:spacing w:before="0" w:after="283"/>
              <w:jc w:val="left"/>
              <w:rPr/>
            </w:pPr>
            <w:r>
              <w:rPr/>
              <w:t>Other receivable - related party</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51,762</w:t>
            </w:r>
          </w:p>
        </w:tc>
        <w:tc>
          <w:tcPr>
            <w:tcW w:w="110" w:type="dxa"/>
            <w:tcBorders/>
            <w:shd w:fill="EEEEEE" w:val="clear"/>
            <w:vAlign w:val="center"/>
          </w:tcPr>
          <w:p>
            <w:pPr>
              <w:pStyle w:val="TableContents"/>
              <w:bidi w:val="0"/>
              <w:spacing w:before="0" w:after="283"/>
              <w:jc w:val="left"/>
              <w:rPr/>
            </w:pPr>
            <w:r>
              <w:rPr/>
              <w:t> </w:t>
            </w:r>
            <w:bookmarkStart w:id="61" w:name="xdx_40F_eus-gaap--OtherPrepaidExpenseCur"/>
            <w:bookmarkEnd w:id="61"/>
          </w:p>
        </w:tc>
      </w:tr>
      <w:tr>
        <w:trPr/>
        <w:tc>
          <w:tcPr>
            <w:tcW w:w="7400" w:type="dxa"/>
            <w:tcBorders/>
            <w:shd w:fill="FFFFFF" w:val="clear"/>
            <w:vAlign w:val="center"/>
          </w:tcPr>
          <w:p>
            <w:pPr>
              <w:pStyle w:val="TableContents"/>
              <w:bidi w:val="0"/>
              <w:spacing w:before="0" w:after="283"/>
              <w:jc w:val="left"/>
              <w:rPr/>
            </w:pPr>
            <w:r>
              <w:rPr/>
              <w:t>Prepayments and other current assets,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2,858,196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5,444,463</w:t>
            </w:r>
          </w:p>
        </w:tc>
        <w:tc>
          <w:tcPr>
            <w:tcW w:w="110" w:type="dxa"/>
            <w:tcBorders/>
            <w:shd w:fill="FFFFFF" w:val="clear"/>
            <w:vAlign w:val="center"/>
          </w:tcPr>
          <w:p>
            <w:pPr>
              <w:pStyle w:val="TableContents"/>
              <w:bidi w:val="0"/>
              <w:spacing w:before="0" w:after="283"/>
              <w:jc w:val="left"/>
              <w:rPr/>
            </w:pPr>
            <w:r>
              <w:rPr/>
              <w:t> </w:t>
            </w:r>
            <w:bookmarkStart w:id="62" w:name="xdx_401_eus-gaap--AssetsCurrent_i01TI_mt"/>
            <w:bookmarkEnd w:id="62"/>
          </w:p>
        </w:tc>
      </w:tr>
      <w:tr>
        <w:trPr/>
        <w:tc>
          <w:tcPr>
            <w:tcW w:w="7400" w:type="dxa"/>
            <w:tcBorders/>
            <w:shd w:fill="EEEEEE" w:val="clear"/>
            <w:vAlign w:val="center"/>
          </w:tcPr>
          <w:p>
            <w:pPr>
              <w:pStyle w:val="TableContents"/>
              <w:bidi w:val="0"/>
              <w:spacing w:before="0" w:after="283"/>
              <w:jc w:val="left"/>
              <w:rPr/>
            </w:pPr>
            <w:r>
              <w:rPr/>
              <w:t>Total current assets</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EEEEEE" w:val="clear"/>
            <w:tcMar>
              <w:bottom w:w="28" w:type="dxa"/>
            </w:tcMar>
            <w:vAlign w:val="center"/>
          </w:tcPr>
          <w:p>
            <w:pPr>
              <w:pStyle w:val="TableContents"/>
              <w:bidi w:val="0"/>
              <w:spacing w:before="0" w:after="283"/>
              <w:jc w:val="right"/>
              <w:rPr/>
            </w:pPr>
            <w:r>
              <w:rPr/>
              <w:t>41,259,270</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EEEEEE" w:val="clear"/>
            <w:tcMar>
              <w:bottom w:w="28" w:type="dxa"/>
            </w:tcMar>
            <w:vAlign w:val="center"/>
          </w:tcPr>
          <w:p>
            <w:pPr>
              <w:pStyle w:val="TableContents"/>
              <w:bidi w:val="0"/>
              <w:spacing w:before="0" w:after="283"/>
              <w:jc w:val="right"/>
              <w:rPr/>
            </w:pPr>
            <w:r>
              <w:rPr/>
              <w:t>55,184,225</w:t>
            </w:r>
          </w:p>
        </w:tc>
        <w:tc>
          <w:tcPr>
            <w:tcW w:w="110" w:type="dxa"/>
            <w:tcBorders/>
            <w:shd w:fill="EEEEEE"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63" w:name="xdx_405_eus-gaap--AssetsNoncurrentAbstra"/>
            <w:bookmarkEnd w:id="63"/>
          </w:p>
        </w:tc>
      </w:tr>
      <w:tr>
        <w:trPr/>
        <w:tc>
          <w:tcPr>
            <w:tcW w:w="7400" w:type="dxa"/>
            <w:tcBorders/>
            <w:shd w:fill="EEEEEE" w:val="clear"/>
            <w:vAlign w:val="center"/>
          </w:tcPr>
          <w:p>
            <w:pPr>
              <w:pStyle w:val="TableContents"/>
              <w:bidi w:val="0"/>
              <w:spacing w:before="0" w:after="283"/>
              <w:jc w:val="left"/>
              <w:rPr/>
            </w:pPr>
            <w:r>
              <w:rPr/>
              <w:t>Non-current assets</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 </w:t>
            </w:r>
          </w:p>
        </w:tc>
        <w:tc>
          <w:tcPr>
            <w:tcW w:w="110" w:type="dxa"/>
            <w:tcBorders/>
            <w:shd w:fill="EEEEEE" w:val="clear"/>
            <w:vAlign w:val="center"/>
          </w:tcPr>
          <w:p>
            <w:pPr>
              <w:pStyle w:val="TableContents"/>
              <w:bidi w:val="0"/>
              <w:spacing w:before="0" w:after="283"/>
              <w:jc w:val="left"/>
              <w:rPr/>
            </w:pPr>
            <w:r>
              <w:rPr/>
              <w:t> </w:t>
            </w:r>
            <w:bookmarkStart w:id="64" w:name="xdx_409_eus-gaap--OperatingLeaseRightOfU"/>
            <w:bookmarkEnd w:id="64"/>
          </w:p>
        </w:tc>
      </w:tr>
      <w:tr>
        <w:trPr/>
        <w:tc>
          <w:tcPr>
            <w:tcW w:w="7400" w:type="dxa"/>
            <w:tcBorders/>
            <w:shd w:fill="FFFFFF" w:val="clear"/>
            <w:vAlign w:val="center"/>
          </w:tcPr>
          <w:p>
            <w:pPr>
              <w:pStyle w:val="TableContents"/>
              <w:bidi w:val="0"/>
              <w:spacing w:before="0" w:after="283"/>
              <w:jc w:val="left"/>
              <w:rPr/>
            </w:pPr>
            <w:r>
              <w:rPr/>
              <w:t>Right of use - non-current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7,837,345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10,453,282</w:t>
            </w:r>
          </w:p>
        </w:tc>
        <w:tc>
          <w:tcPr>
            <w:tcW w:w="110" w:type="dxa"/>
            <w:tcBorders/>
            <w:shd w:fill="FFFFFF" w:val="clear"/>
            <w:vAlign w:val="center"/>
          </w:tcPr>
          <w:p>
            <w:pPr>
              <w:pStyle w:val="TableContents"/>
              <w:bidi w:val="0"/>
              <w:spacing w:before="0" w:after="283"/>
              <w:jc w:val="left"/>
              <w:rPr/>
            </w:pPr>
            <w:r>
              <w:rPr/>
              <w:t> </w:t>
            </w:r>
            <w:bookmarkStart w:id="65" w:name="xdx_404_eus-gaap--PropertyPlantAndEquipm"/>
            <w:bookmarkEnd w:id="65"/>
          </w:p>
        </w:tc>
      </w:tr>
      <w:tr>
        <w:trPr/>
        <w:tc>
          <w:tcPr>
            <w:tcW w:w="7400" w:type="dxa"/>
            <w:tcBorders/>
            <w:shd w:fill="EEEEEE" w:val="clear"/>
            <w:vAlign w:val="center"/>
          </w:tcPr>
          <w:p>
            <w:pPr>
              <w:pStyle w:val="TableContents"/>
              <w:bidi w:val="0"/>
              <w:spacing w:before="0" w:after="283"/>
              <w:jc w:val="left"/>
              <w:rPr/>
            </w:pPr>
            <w:r>
              <w:rPr/>
              <w:t>Property and equipment, net</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536,418</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544,633</w:t>
            </w:r>
          </w:p>
        </w:tc>
        <w:tc>
          <w:tcPr>
            <w:tcW w:w="110" w:type="dxa"/>
            <w:tcBorders/>
            <w:shd w:fill="EEEEEE" w:val="clear"/>
            <w:vAlign w:val="center"/>
          </w:tcPr>
          <w:p>
            <w:pPr>
              <w:pStyle w:val="TableContents"/>
              <w:bidi w:val="0"/>
              <w:spacing w:before="0" w:after="283"/>
              <w:jc w:val="left"/>
              <w:rPr/>
            </w:pPr>
            <w:r>
              <w:rPr/>
              <w:t> </w:t>
            </w:r>
            <w:bookmarkStart w:id="66" w:name="xdx_40D_eus-gaap--DeferredIncomeTaxAsset"/>
            <w:bookmarkEnd w:id="66"/>
          </w:p>
        </w:tc>
      </w:tr>
      <w:tr>
        <w:trPr/>
        <w:tc>
          <w:tcPr>
            <w:tcW w:w="7400" w:type="dxa"/>
            <w:tcBorders/>
            <w:shd w:fill="FFFFFF" w:val="clear"/>
            <w:vAlign w:val="center"/>
          </w:tcPr>
          <w:p>
            <w:pPr>
              <w:pStyle w:val="TableContents"/>
              <w:bidi w:val="0"/>
              <w:spacing w:before="0" w:after="283"/>
              <w:jc w:val="left"/>
              <w:rPr/>
            </w:pPr>
            <w:r>
              <w:rPr/>
              <w:t>Deferred tax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2,155,250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67" w:name="xdx_402_ecustom--NoncurrentPrepayments_i"/>
            <w:bookmarkEnd w:id="67"/>
          </w:p>
        </w:tc>
      </w:tr>
      <w:tr>
        <w:trPr/>
        <w:tc>
          <w:tcPr>
            <w:tcW w:w="7400" w:type="dxa"/>
            <w:tcBorders/>
            <w:shd w:fill="EEEEEE" w:val="clear"/>
            <w:vAlign w:val="center"/>
          </w:tcPr>
          <w:p>
            <w:pPr>
              <w:pStyle w:val="TableContents"/>
              <w:bidi w:val="0"/>
              <w:spacing w:before="0" w:after="283"/>
              <w:jc w:val="left"/>
              <w:rPr/>
            </w:pPr>
            <w:r>
              <w:rPr/>
              <w:t>Non-current prepayments</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531,456</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925,624</w:t>
            </w:r>
          </w:p>
        </w:tc>
        <w:tc>
          <w:tcPr>
            <w:tcW w:w="110" w:type="dxa"/>
            <w:tcBorders/>
            <w:shd w:fill="EEEEEE" w:val="clear"/>
            <w:vAlign w:val="center"/>
          </w:tcPr>
          <w:p>
            <w:pPr>
              <w:pStyle w:val="TableContents"/>
              <w:bidi w:val="0"/>
              <w:spacing w:before="0" w:after="283"/>
              <w:jc w:val="left"/>
              <w:rPr/>
            </w:pPr>
            <w:r>
              <w:rPr/>
              <w:t> </w:t>
            </w:r>
            <w:bookmarkStart w:id="68" w:name="xdx_405_eus-gaap--Goodwill_i01I_maCzGDR_"/>
            <w:bookmarkEnd w:id="68"/>
          </w:p>
        </w:tc>
      </w:tr>
      <w:tr>
        <w:trPr/>
        <w:tc>
          <w:tcPr>
            <w:tcW w:w="7400" w:type="dxa"/>
            <w:tcBorders/>
            <w:shd w:fill="FFFFFF" w:val="clear"/>
            <w:vAlign w:val="center"/>
          </w:tcPr>
          <w:p>
            <w:pPr>
              <w:pStyle w:val="TableContents"/>
              <w:bidi w:val="0"/>
              <w:spacing w:before="0" w:after="283"/>
              <w:jc w:val="left"/>
              <w:rPr/>
            </w:pPr>
            <w:r>
              <w:rPr/>
              <w:t>Goodwill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3,034,110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6,094,144</w:t>
            </w:r>
          </w:p>
        </w:tc>
        <w:tc>
          <w:tcPr>
            <w:tcW w:w="110" w:type="dxa"/>
            <w:tcBorders/>
            <w:shd w:fill="FFFFFF" w:val="clear"/>
            <w:vAlign w:val="center"/>
          </w:tcPr>
          <w:p>
            <w:pPr>
              <w:pStyle w:val="TableContents"/>
              <w:bidi w:val="0"/>
              <w:spacing w:before="0" w:after="283"/>
              <w:jc w:val="left"/>
              <w:rPr/>
            </w:pPr>
            <w:r>
              <w:rPr/>
              <w:t> </w:t>
            </w:r>
            <w:bookmarkStart w:id="69" w:name="xdx_409_eus-gaap--RealEstateInvestmentsJ"/>
            <w:bookmarkEnd w:id="69"/>
          </w:p>
        </w:tc>
      </w:tr>
      <w:tr>
        <w:trPr/>
        <w:tc>
          <w:tcPr>
            <w:tcW w:w="7400" w:type="dxa"/>
            <w:tcBorders/>
            <w:shd w:fill="EEEEEE" w:val="clear"/>
            <w:vAlign w:val="center"/>
          </w:tcPr>
          <w:p>
            <w:pPr>
              <w:pStyle w:val="TableContents"/>
              <w:bidi w:val="0"/>
              <w:spacing w:before="0" w:after="283"/>
              <w:jc w:val="left"/>
              <w:rPr/>
            </w:pPr>
            <w:r>
              <w:rPr/>
              <w:t>Investment in joint venture</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33,113</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43,385</w:t>
            </w:r>
          </w:p>
        </w:tc>
        <w:tc>
          <w:tcPr>
            <w:tcW w:w="110" w:type="dxa"/>
            <w:tcBorders/>
            <w:shd w:fill="EEEEEE" w:val="clear"/>
            <w:vAlign w:val="center"/>
          </w:tcPr>
          <w:p>
            <w:pPr>
              <w:pStyle w:val="TableContents"/>
              <w:bidi w:val="0"/>
              <w:spacing w:before="0" w:after="283"/>
              <w:jc w:val="left"/>
              <w:rPr/>
            </w:pPr>
            <w:r>
              <w:rPr/>
              <w:t> </w:t>
            </w:r>
            <w:bookmarkStart w:id="70" w:name="xdx_40D_eus-gaap--IntangibleAssetsNetExc"/>
            <w:bookmarkEnd w:id="70"/>
          </w:p>
        </w:tc>
      </w:tr>
      <w:tr>
        <w:trPr/>
        <w:tc>
          <w:tcPr>
            <w:tcW w:w="7400" w:type="dxa"/>
            <w:tcBorders/>
            <w:shd w:fill="FFFFFF" w:val="clear"/>
            <w:vAlign w:val="center"/>
          </w:tcPr>
          <w:p>
            <w:pPr>
              <w:pStyle w:val="TableContents"/>
              <w:bidi w:val="0"/>
              <w:spacing w:before="0" w:after="283"/>
              <w:jc w:val="left"/>
              <w:rPr/>
            </w:pPr>
            <w:r>
              <w:rPr/>
              <w:t>Intangible assets,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4,280,071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4,929,442</w:t>
            </w:r>
          </w:p>
        </w:tc>
        <w:tc>
          <w:tcPr>
            <w:tcW w:w="110" w:type="dxa"/>
            <w:tcBorders/>
            <w:shd w:fill="FFFFFF" w:val="clear"/>
            <w:vAlign w:val="center"/>
          </w:tcPr>
          <w:p>
            <w:pPr>
              <w:pStyle w:val="TableContents"/>
              <w:bidi w:val="0"/>
              <w:spacing w:before="0" w:after="283"/>
              <w:jc w:val="left"/>
              <w:rPr/>
            </w:pPr>
            <w:r>
              <w:rPr/>
              <w:t> </w:t>
            </w:r>
            <w:bookmarkStart w:id="71" w:name="xdx_403_eus-gaap--OtherAssetsNoncurrent_"/>
            <w:bookmarkEnd w:id="71"/>
          </w:p>
        </w:tc>
      </w:tr>
      <w:tr>
        <w:trPr/>
        <w:tc>
          <w:tcPr>
            <w:tcW w:w="7400" w:type="dxa"/>
            <w:tcBorders/>
            <w:shd w:fill="EEEEEE" w:val="clear"/>
            <w:vAlign w:val="center"/>
          </w:tcPr>
          <w:p>
            <w:pPr>
              <w:pStyle w:val="TableContents"/>
              <w:bidi w:val="0"/>
              <w:spacing w:before="0" w:after="283"/>
              <w:jc w:val="left"/>
              <w:rPr/>
            </w:pPr>
            <w:r>
              <w:rPr/>
              <w:t>Other non-current assets</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EEEEEE" w:val="clear"/>
            <w:tcMar>
              <w:bottom w:w="28" w:type="dxa"/>
            </w:tcMar>
            <w:vAlign w:val="center"/>
          </w:tcPr>
          <w:p>
            <w:pPr>
              <w:pStyle w:val="TableContents"/>
              <w:bidi w:val="0"/>
              <w:spacing w:before="0" w:after="283"/>
              <w:jc w:val="right"/>
              <w:rPr/>
            </w:pPr>
            <w:r>
              <w:rPr/>
              <w:t>427,254</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EEEEEE" w:val="clear"/>
            <w:tcMar>
              <w:bottom w:w="28" w:type="dxa"/>
            </w:tcMar>
            <w:vAlign w:val="center"/>
          </w:tcPr>
          <w:p>
            <w:pPr>
              <w:pStyle w:val="TableContents"/>
              <w:bidi w:val="0"/>
              <w:spacing w:before="0" w:after="283"/>
              <w:jc w:val="right"/>
              <w:rPr/>
            </w:pPr>
            <w:r>
              <w:rPr/>
              <w:t>406,732</w:t>
            </w:r>
          </w:p>
        </w:tc>
        <w:tc>
          <w:tcPr>
            <w:tcW w:w="110" w:type="dxa"/>
            <w:tcBorders/>
            <w:shd w:fill="EEEEEE" w:val="clear"/>
            <w:vAlign w:val="center"/>
          </w:tcPr>
          <w:p>
            <w:pPr>
              <w:pStyle w:val="TableContents"/>
              <w:bidi w:val="0"/>
              <w:spacing w:before="0" w:after="283"/>
              <w:jc w:val="left"/>
              <w:rPr/>
            </w:pPr>
            <w:r>
              <w:rPr/>
              <w:t> </w:t>
            </w:r>
            <w:bookmarkStart w:id="72" w:name="xdx_40E_eus-gaap--AssetsNoncurrent_i01TI"/>
            <w:bookmarkEnd w:id="72"/>
          </w:p>
        </w:tc>
      </w:tr>
      <w:tr>
        <w:trPr/>
        <w:tc>
          <w:tcPr>
            <w:tcW w:w="7400" w:type="dxa"/>
            <w:tcBorders/>
            <w:shd w:fill="FFFFFF" w:val="clear"/>
            <w:vAlign w:val="center"/>
          </w:tcPr>
          <w:p>
            <w:pPr>
              <w:pStyle w:val="TableContents"/>
              <w:bidi w:val="0"/>
              <w:spacing w:before="0" w:after="283"/>
              <w:jc w:val="left"/>
              <w:rPr/>
            </w:pPr>
            <w:r>
              <w:rPr/>
              <w:t>Total non-current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18,835,017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23,397,242</w:t>
            </w:r>
          </w:p>
        </w:tc>
        <w:tc>
          <w:tcPr>
            <w:tcW w:w="110" w:type="dxa"/>
            <w:tcBorders/>
            <w:shd w:fill="FFFFFF" w:val="clear"/>
            <w:vAlign w:val="center"/>
          </w:tcPr>
          <w:p>
            <w:pPr>
              <w:pStyle w:val="TableContents"/>
              <w:bidi w:val="0"/>
              <w:spacing w:before="0" w:after="283"/>
              <w:jc w:val="left"/>
              <w:rPr/>
            </w:pPr>
            <w:r>
              <w:rPr/>
              <w:t> </w:t>
            </w:r>
          </w:p>
        </w:tc>
      </w:tr>
      <w:tr>
        <w:trPr/>
        <w:tc>
          <w:tcPr>
            <w:tcW w:w="7400"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 </w:t>
            </w:r>
          </w:p>
        </w:tc>
        <w:tc>
          <w:tcPr>
            <w:tcW w:w="110" w:type="dxa"/>
            <w:tcBorders/>
            <w:shd w:fill="EEEEEE" w:val="clear"/>
            <w:vAlign w:val="center"/>
          </w:tcPr>
          <w:p>
            <w:pPr>
              <w:pStyle w:val="TableContents"/>
              <w:bidi w:val="0"/>
              <w:spacing w:before="0" w:after="283"/>
              <w:jc w:val="left"/>
              <w:rPr/>
            </w:pPr>
            <w:r>
              <w:rPr/>
              <w:t> </w:t>
            </w:r>
            <w:bookmarkStart w:id="73" w:name="xdx_40F_eus-gaap--Assets_i01TI_mtCzLDl_z"/>
            <w:bookmarkEnd w:id="73"/>
          </w:p>
        </w:tc>
      </w:tr>
      <w:tr>
        <w:trPr/>
        <w:tc>
          <w:tcPr>
            <w:tcW w:w="7400" w:type="dxa"/>
            <w:tcBorders/>
            <w:shd w:fill="FFFFFF" w:val="clear"/>
            <w:vAlign w:val="center"/>
          </w:tcPr>
          <w:p>
            <w:pPr>
              <w:pStyle w:val="TableContents"/>
              <w:bidi w:val="0"/>
              <w:spacing w:before="0" w:after="283"/>
              <w:jc w:val="left"/>
              <w:rPr/>
            </w:pPr>
            <w:r>
              <w:rPr/>
              <w:t>Total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60,094,287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78,581,467</w:t>
            </w:r>
          </w:p>
        </w:tc>
        <w:tc>
          <w:tcPr>
            <w:tcW w:w="110" w:type="dxa"/>
            <w:tcBorders/>
            <w:shd w:fill="FFFFFF" w:val="clear"/>
            <w:vAlign w:val="center"/>
          </w:tcPr>
          <w:p>
            <w:pPr>
              <w:pStyle w:val="TableContents"/>
              <w:bidi w:val="0"/>
              <w:spacing w:before="0" w:after="283"/>
              <w:jc w:val="left"/>
              <w:rPr/>
            </w:pPr>
            <w:r>
              <w:rPr/>
              <w:t> </w:t>
            </w:r>
          </w:p>
        </w:tc>
      </w:tr>
      <w:tr>
        <w:trPr/>
        <w:tc>
          <w:tcPr>
            <w:tcW w:w="7400"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 </w:t>
            </w:r>
          </w:p>
        </w:tc>
        <w:tc>
          <w:tcPr>
            <w:tcW w:w="110" w:type="dxa"/>
            <w:tcBorders/>
            <w:shd w:fill="EEEEEE" w:val="clear"/>
            <w:vAlign w:val="center"/>
          </w:tcPr>
          <w:p>
            <w:pPr>
              <w:pStyle w:val="TableContents"/>
              <w:bidi w:val="0"/>
              <w:spacing w:before="0" w:after="283"/>
              <w:jc w:val="left"/>
              <w:rPr/>
            </w:pPr>
            <w:r>
              <w:rPr/>
              <w:t> </w:t>
            </w:r>
            <w:bookmarkStart w:id="74" w:name="xdx_40A_eus-gaap--LiabilitiesAndStockhol"/>
            <w:bookmarkEnd w:id="74"/>
          </w:p>
        </w:tc>
      </w:tr>
      <w:tr>
        <w:trPr/>
        <w:tc>
          <w:tcPr>
            <w:tcW w:w="7400" w:type="dxa"/>
            <w:tcBorders/>
            <w:shd w:fill="FFFFFF" w:val="clear"/>
            <w:vAlign w:val="center"/>
          </w:tcPr>
          <w:p>
            <w:pPr>
              <w:pStyle w:val="TableContents"/>
              <w:bidi w:val="0"/>
              <w:spacing w:before="0" w:after="283"/>
              <w:jc w:val="left"/>
              <w:rPr>
                <w:u w:val="single"/>
              </w:rPr>
            </w:pPr>
            <w:r>
              <w:rPr>
                <w:u w:val="single"/>
              </w:rPr>
              <w:t>LIABILITIES AND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75" w:name="xdx_40E_eus-gaap--LiabilitiesCurrentAbst"/>
            <w:bookmarkEnd w:id="75"/>
          </w:p>
        </w:tc>
      </w:tr>
      <w:tr>
        <w:trPr/>
        <w:tc>
          <w:tcPr>
            <w:tcW w:w="7400" w:type="dxa"/>
            <w:tcBorders/>
            <w:shd w:fill="EEEEEE" w:val="clear"/>
            <w:vAlign w:val="center"/>
          </w:tcPr>
          <w:p>
            <w:pPr>
              <w:pStyle w:val="TableContents"/>
              <w:bidi w:val="0"/>
              <w:spacing w:before="0" w:after="283"/>
              <w:jc w:val="left"/>
              <w:rPr/>
            </w:pPr>
            <w:r>
              <w:rPr/>
              <w:t>Current liabilities</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 </w:t>
            </w:r>
          </w:p>
        </w:tc>
        <w:tc>
          <w:tcPr>
            <w:tcW w:w="110" w:type="dxa"/>
            <w:tcBorders/>
            <w:shd w:fill="EEEEEE" w:val="clear"/>
            <w:vAlign w:val="center"/>
          </w:tcPr>
          <w:p>
            <w:pPr>
              <w:pStyle w:val="TableContents"/>
              <w:bidi w:val="0"/>
              <w:spacing w:before="0" w:after="283"/>
              <w:jc w:val="left"/>
              <w:rPr/>
            </w:pPr>
            <w:r>
              <w:rPr/>
              <w:t> </w:t>
            </w:r>
            <w:bookmarkStart w:id="76" w:name="xdx_402_eus-gaap--AccountsPayableCurrent"/>
            <w:bookmarkEnd w:id="76"/>
          </w:p>
        </w:tc>
      </w:tr>
      <w:tr>
        <w:trPr/>
        <w:tc>
          <w:tcPr>
            <w:tcW w:w="7400"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13,244,957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9,533,408</w:t>
            </w:r>
          </w:p>
        </w:tc>
        <w:tc>
          <w:tcPr>
            <w:tcW w:w="110" w:type="dxa"/>
            <w:tcBorders/>
            <w:shd w:fill="FFFFFF" w:val="clear"/>
            <w:vAlign w:val="center"/>
          </w:tcPr>
          <w:p>
            <w:pPr>
              <w:pStyle w:val="TableContents"/>
              <w:bidi w:val="0"/>
              <w:spacing w:before="0" w:after="283"/>
              <w:jc w:val="left"/>
              <w:rPr/>
            </w:pPr>
            <w:r>
              <w:rPr/>
              <w:t> </w:t>
            </w:r>
            <w:bookmarkStart w:id="77" w:name="xdx_401_eus-gaap--OtherAccountsPayableAn"/>
            <w:bookmarkEnd w:id="77"/>
          </w:p>
        </w:tc>
      </w:tr>
      <w:tr>
        <w:trPr/>
        <w:tc>
          <w:tcPr>
            <w:tcW w:w="7400" w:type="dxa"/>
            <w:tcBorders/>
            <w:shd w:fill="EEEEEE" w:val="clear"/>
            <w:vAlign w:val="center"/>
          </w:tcPr>
          <w:p>
            <w:pPr>
              <w:pStyle w:val="TableContents"/>
              <w:bidi w:val="0"/>
              <w:spacing w:before="0" w:after="283"/>
              <w:jc w:val="left"/>
              <w:rPr/>
            </w:pPr>
            <w:r>
              <w:rPr/>
              <w:t>Credit cards payable</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366,781</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807,687</w:t>
            </w:r>
          </w:p>
        </w:tc>
        <w:tc>
          <w:tcPr>
            <w:tcW w:w="110" w:type="dxa"/>
            <w:tcBorders/>
            <w:shd w:fill="EEEEEE" w:val="clear"/>
            <w:vAlign w:val="center"/>
          </w:tcPr>
          <w:p>
            <w:pPr>
              <w:pStyle w:val="TableContents"/>
              <w:bidi w:val="0"/>
              <w:spacing w:before="0" w:after="283"/>
              <w:jc w:val="left"/>
              <w:rPr/>
            </w:pPr>
            <w:r>
              <w:rPr/>
              <w:t> </w:t>
            </w:r>
            <w:bookmarkStart w:id="78" w:name="xdx_404_eus-gaap--ContractWithCustomerLi"/>
            <w:bookmarkEnd w:id="78"/>
          </w:p>
        </w:tc>
      </w:tr>
      <w:tr>
        <w:trPr/>
        <w:tc>
          <w:tcPr>
            <w:tcW w:w="7400" w:type="dxa"/>
            <w:tcBorders/>
            <w:shd w:fill="FFFFFF" w:val="clear"/>
            <w:vAlign w:val="center"/>
          </w:tcPr>
          <w:p>
            <w:pPr>
              <w:pStyle w:val="TableContents"/>
              <w:bidi w:val="0"/>
              <w:spacing w:before="0" w:after="283"/>
              <w:jc w:val="left"/>
              <w:rPr/>
            </w:pPr>
            <w:r>
              <w:rPr/>
              <w:t>Customer deposit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350,595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273,457</w:t>
            </w:r>
          </w:p>
        </w:tc>
        <w:tc>
          <w:tcPr>
            <w:tcW w:w="110" w:type="dxa"/>
            <w:tcBorders/>
            <w:shd w:fill="FFFFFF" w:val="clear"/>
            <w:vAlign w:val="center"/>
          </w:tcPr>
          <w:p>
            <w:pPr>
              <w:pStyle w:val="TableContents"/>
              <w:bidi w:val="0"/>
              <w:spacing w:before="0" w:after="283"/>
              <w:jc w:val="left"/>
              <w:rPr/>
            </w:pPr>
            <w:r>
              <w:rPr/>
              <w:t> </w:t>
            </w:r>
            <w:bookmarkStart w:id="79" w:name="xdx_406_eus-gaap--AccountsPayableAndOthe"/>
            <w:bookmarkEnd w:id="79"/>
          </w:p>
        </w:tc>
      </w:tr>
      <w:tr>
        <w:trPr/>
        <w:tc>
          <w:tcPr>
            <w:tcW w:w="7400" w:type="dxa"/>
            <w:tcBorders/>
            <w:shd w:fill="EEEEEE" w:val="clear"/>
            <w:vAlign w:val="center"/>
          </w:tcPr>
          <w:p>
            <w:pPr>
              <w:pStyle w:val="TableContents"/>
              <w:bidi w:val="0"/>
              <w:spacing w:before="0" w:after="283"/>
              <w:jc w:val="left"/>
              <w:rPr/>
            </w:pPr>
            <w:r>
              <w:rPr/>
              <w:t>Other payables and accrued liabilities</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4,831,067</w:t>
            </w:r>
          </w:p>
        </w:tc>
        <w:tc>
          <w:tcPr>
            <w:tcW w:w="95" w:type="dxa"/>
            <w:tcBorders/>
            <w:shd w:fill="EEEEEE" w:val="clear"/>
            <w:vAlign w:val="center"/>
          </w:tcPr>
          <w:p>
            <w:pPr>
              <w:pStyle w:val="TableContents"/>
              <w:bidi w:val="0"/>
              <w:spacing w:before="0" w:after="283"/>
              <w:jc w:val="left"/>
              <w:rPr>
                <w:sz w:val="4"/>
                <w:szCs w:val="4"/>
              </w:rPr>
            </w:pPr>
            <w:r>
              <w:rPr>
                <w:sz w:val="4"/>
                <w:szCs w:val="4"/>
              </w:rPr>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5,915,220</w:t>
            </w:r>
          </w:p>
        </w:tc>
        <w:tc>
          <w:tcPr>
            <w:tcW w:w="110" w:type="dxa"/>
            <w:tcBorders/>
            <w:shd w:fill="EEEEEE" w:val="clear"/>
            <w:vAlign w:val="center"/>
          </w:tcPr>
          <w:p>
            <w:pPr>
              <w:pStyle w:val="TableContents"/>
              <w:bidi w:val="0"/>
              <w:spacing w:before="0" w:after="283"/>
              <w:jc w:val="left"/>
              <w:rPr/>
            </w:pPr>
            <w:r>
              <w:rPr/>
              <w:t> </w:t>
            </w:r>
            <w:bookmarkStart w:id="80" w:name="xdx_40D_ecustom--AdvanceFromShareholders"/>
            <w:bookmarkEnd w:id="80"/>
          </w:p>
        </w:tc>
      </w:tr>
      <w:tr>
        <w:trPr/>
        <w:tc>
          <w:tcPr>
            <w:tcW w:w="7400" w:type="dxa"/>
            <w:tcBorders/>
            <w:shd w:fill="FFFFFF" w:val="clear"/>
            <w:vAlign w:val="center"/>
          </w:tcPr>
          <w:p>
            <w:pPr>
              <w:pStyle w:val="TableContents"/>
              <w:bidi w:val="0"/>
              <w:spacing w:before="0" w:after="283"/>
              <w:jc w:val="left"/>
              <w:rPr/>
            </w:pPr>
            <w:r>
              <w:rPr/>
              <w:t>Advance from shareholders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85,200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92,246</w:t>
            </w:r>
          </w:p>
        </w:tc>
        <w:tc>
          <w:tcPr>
            <w:tcW w:w="110" w:type="dxa"/>
            <w:tcBorders/>
            <w:shd w:fill="FFFFFF" w:val="clear"/>
            <w:vAlign w:val="center"/>
          </w:tcPr>
          <w:p>
            <w:pPr>
              <w:pStyle w:val="TableContents"/>
              <w:bidi w:val="0"/>
              <w:spacing w:before="0" w:after="283"/>
              <w:jc w:val="left"/>
              <w:rPr/>
            </w:pPr>
            <w:r>
              <w:rPr/>
              <w:t> </w:t>
            </w:r>
            <w:bookmarkStart w:id="81" w:name="xdx_408_ecustom--InvestmentPayableCurren"/>
            <w:bookmarkEnd w:id="81"/>
          </w:p>
        </w:tc>
      </w:tr>
      <w:tr>
        <w:trPr/>
        <w:tc>
          <w:tcPr>
            <w:tcW w:w="7400" w:type="dxa"/>
            <w:tcBorders/>
            <w:shd w:fill="EEEEEE" w:val="clear"/>
            <w:vAlign w:val="center"/>
          </w:tcPr>
          <w:p>
            <w:pPr>
              <w:pStyle w:val="TableContents"/>
              <w:bidi w:val="0"/>
              <w:spacing w:before="0" w:after="283"/>
              <w:jc w:val="left"/>
              <w:rPr/>
            </w:pPr>
            <w:r>
              <w:rPr/>
              <w:t>Investment payable</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1,500,000</w:t>
            </w:r>
          </w:p>
        </w:tc>
        <w:tc>
          <w:tcPr>
            <w:tcW w:w="110" w:type="dxa"/>
            <w:tcBorders/>
            <w:shd w:fill="EEEEEE" w:val="clear"/>
            <w:vAlign w:val="center"/>
          </w:tcPr>
          <w:p>
            <w:pPr>
              <w:pStyle w:val="TableContents"/>
              <w:bidi w:val="0"/>
              <w:spacing w:before="0" w:after="283"/>
              <w:jc w:val="left"/>
              <w:rPr/>
            </w:pPr>
            <w:r>
              <w:rPr/>
              <w:t> </w:t>
            </w:r>
            <w:bookmarkStart w:id="82" w:name="xdx_408_eus-gaap--OperatingLeaseLiabilit"/>
            <w:bookmarkEnd w:id="82"/>
          </w:p>
        </w:tc>
      </w:tr>
      <w:tr>
        <w:trPr/>
        <w:tc>
          <w:tcPr>
            <w:tcW w:w="7400" w:type="dxa"/>
            <w:tcBorders/>
            <w:shd w:fill="FFFFFF" w:val="clear"/>
            <w:vAlign w:val="center"/>
          </w:tcPr>
          <w:p>
            <w:pPr>
              <w:pStyle w:val="TableContents"/>
              <w:bidi w:val="0"/>
              <w:spacing w:before="0" w:after="283"/>
              <w:jc w:val="left"/>
              <w:rPr/>
            </w:pPr>
            <w:r>
              <w:rPr/>
              <w:t>Lease liability - current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2,159,173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2,582,933</w:t>
            </w:r>
          </w:p>
        </w:tc>
        <w:tc>
          <w:tcPr>
            <w:tcW w:w="110" w:type="dxa"/>
            <w:tcBorders/>
            <w:shd w:fill="FFFFFF" w:val="clear"/>
            <w:vAlign w:val="center"/>
          </w:tcPr>
          <w:p>
            <w:pPr>
              <w:pStyle w:val="TableContents"/>
              <w:bidi w:val="0"/>
              <w:spacing w:before="0" w:after="283"/>
              <w:jc w:val="left"/>
              <w:rPr/>
            </w:pPr>
            <w:r>
              <w:rPr/>
              <w:t> </w:t>
            </w:r>
            <w:bookmarkStart w:id="83" w:name="xdx_405_eus-gaap--OtherLongTermDebtCurre"/>
            <w:bookmarkEnd w:id="83"/>
          </w:p>
        </w:tc>
      </w:tr>
      <w:tr>
        <w:trPr/>
        <w:tc>
          <w:tcPr>
            <w:tcW w:w="7400" w:type="dxa"/>
            <w:tcBorders/>
            <w:shd w:fill="EEEEEE" w:val="clear"/>
            <w:vAlign w:val="center"/>
          </w:tcPr>
          <w:p>
            <w:pPr>
              <w:pStyle w:val="TableContents"/>
              <w:bidi w:val="0"/>
              <w:spacing w:before="0" w:after="283"/>
              <w:jc w:val="left"/>
              <w:rPr/>
            </w:pPr>
            <w:r>
              <w:rPr/>
              <w:t>Long-term promissory note payable - current portion</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2,017,852</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1,879,065</w:t>
            </w:r>
          </w:p>
        </w:tc>
        <w:tc>
          <w:tcPr>
            <w:tcW w:w="110" w:type="dxa"/>
            <w:tcBorders/>
            <w:shd w:fill="EEEEEE" w:val="clear"/>
            <w:vAlign w:val="center"/>
          </w:tcPr>
          <w:p>
            <w:pPr>
              <w:pStyle w:val="TableContents"/>
              <w:bidi w:val="0"/>
              <w:spacing w:before="0" w:after="283"/>
              <w:jc w:val="left"/>
              <w:rPr/>
            </w:pPr>
            <w:r>
              <w:rPr/>
              <w:t> </w:t>
            </w:r>
            <w:bookmarkStart w:id="84" w:name="xdx_403_eus-gaap--TaxesPayableCurrent_i0"/>
            <w:bookmarkEnd w:id="84"/>
          </w:p>
        </w:tc>
      </w:tr>
      <w:tr>
        <w:trPr/>
        <w:tc>
          <w:tcPr>
            <w:tcW w:w="7400" w:type="dxa"/>
            <w:tcBorders/>
            <w:shd w:fill="FFFFFF" w:val="clear"/>
            <w:vAlign w:val="center"/>
          </w:tcPr>
          <w:p>
            <w:pPr>
              <w:pStyle w:val="TableContents"/>
              <w:bidi w:val="0"/>
              <w:spacing w:before="0" w:after="283"/>
              <w:jc w:val="left"/>
              <w:rPr/>
            </w:pPr>
            <w:r>
              <w:rPr/>
              <w:t>Income taxes payable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276,683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299,563</w:t>
            </w:r>
          </w:p>
        </w:tc>
        <w:tc>
          <w:tcPr>
            <w:tcW w:w="110" w:type="dxa"/>
            <w:tcBorders/>
            <w:shd w:fill="FFFFFF" w:val="clear"/>
            <w:vAlign w:val="center"/>
          </w:tcPr>
          <w:p>
            <w:pPr>
              <w:pStyle w:val="TableContents"/>
              <w:bidi w:val="0"/>
              <w:spacing w:before="0" w:after="283"/>
              <w:jc w:val="left"/>
              <w:rPr/>
            </w:pPr>
            <w:r>
              <w:rPr/>
              <w:t> </w:t>
            </w:r>
            <w:bookmarkStart w:id="85" w:name="xdx_400_eus-gaap--LiabilitiesCurrent_i01"/>
            <w:bookmarkEnd w:id="85"/>
          </w:p>
        </w:tc>
      </w:tr>
      <w:tr>
        <w:trPr/>
        <w:tc>
          <w:tcPr>
            <w:tcW w:w="7400" w:type="dxa"/>
            <w:tcBorders/>
            <w:shd w:fill="EEEEEE" w:val="clear"/>
            <w:vAlign w:val="center"/>
          </w:tcPr>
          <w:p>
            <w:pPr>
              <w:pStyle w:val="TableContents"/>
              <w:bidi w:val="0"/>
              <w:spacing w:before="0" w:after="283"/>
              <w:jc w:val="left"/>
              <w:rPr/>
            </w:pPr>
            <w:r>
              <w:rPr/>
              <w:t>Total current liabilities</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EEEEEE" w:val="clear"/>
            <w:tcMar>
              <w:bottom w:w="28" w:type="dxa"/>
            </w:tcMar>
            <w:vAlign w:val="center"/>
          </w:tcPr>
          <w:p>
            <w:pPr>
              <w:pStyle w:val="TableContents"/>
              <w:bidi w:val="0"/>
              <w:spacing w:before="0" w:after="283"/>
              <w:jc w:val="right"/>
              <w:rPr/>
            </w:pPr>
            <w:r>
              <w:rPr/>
              <w:t>23,332,308</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EEEEEE" w:val="clear"/>
            <w:tcMar>
              <w:bottom w:w="28" w:type="dxa"/>
            </w:tcMar>
            <w:vAlign w:val="center"/>
          </w:tcPr>
          <w:p>
            <w:pPr>
              <w:pStyle w:val="TableContents"/>
              <w:bidi w:val="0"/>
              <w:spacing w:before="0" w:after="283"/>
              <w:jc w:val="right"/>
              <w:rPr/>
            </w:pPr>
            <w:r>
              <w:rPr/>
              <w:t>22,883,579</w:t>
            </w:r>
          </w:p>
        </w:tc>
        <w:tc>
          <w:tcPr>
            <w:tcW w:w="110" w:type="dxa"/>
            <w:tcBorders/>
            <w:shd w:fill="EEEEEE"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86" w:name="xdx_401_eus-gaap--LiabilitiesNoncurrentA"/>
            <w:bookmarkEnd w:id="86"/>
          </w:p>
        </w:tc>
      </w:tr>
      <w:tr>
        <w:trPr/>
        <w:tc>
          <w:tcPr>
            <w:tcW w:w="7400" w:type="dxa"/>
            <w:tcBorders/>
            <w:shd w:fill="EEEEEE" w:val="clear"/>
            <w:vAlign w:val="center"/>
          </w:tcPr>
          <w:p>
            <w:pPr>
              <w:pStyle w:val="TableContents"/>
              <w:bidi w:val="0"/>
              <w:spacing w:before="0" w:after="283"/>
              <w:jc w:val="left"/>
              <w:rPr/>
            </w:pPr>
            <w:r>
              <w:rPr/>
              <w:t>Non-current liabilities</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 </w:t>
            </w:r>
          </w:p>
        </w:tc>
        <w:tc>
          <w:tcPr>
            <w:tcW w:w="110" w:type="dxa"/>
            <w:tcBorders/>
            <w:shd w:fill="EEEEEE" w:val="clear"/>
            <w:vAlign w:val="center"/>
          </w:tcPr>
          <w:p>
            <w:pPr>
              <w:pStyle w:val="TableContents"/>
              <w:bidi w:val="0"/>
              <w:spacing w:before="0" w:after="283"/>
              <w:jc w:val="left"/>
              <w:rPr/>
            </w:pPr>
            <w:r>
              <w:rPr/>
              <w:t> </w:t>
            </w:r>
            <w:bookmarkStart w:id="87" w:name="xdx_400_eus-gaap--LongTermLineOfCredit_i"/>
            <w:bookmarkEnd w:id="87"/>
          </w:p>
        </w:tc>
      </w:tr>
      <w:tr>
        <w:trPr/>
        <w:tc>
          <w:tcPr>
            <w:tcW w:w="7400" w:type="dxa"/>
            <w:tcBorders/>
            <w:shd w:fill="FFFFFF" w:val="clear"/>
            <w:vAlign w:val="center"/>
          </w:tcPr>
          <w:p>
            <w:pPr>
              <w:pStyle w:val="TableContents"/>
              <w:bidi w:val="0"/>
              <w:spacing w:before="0" w:after="283"/>
              <w:jc w:val="left"/>
              <w:rPr/>
            </w:pPr>
            <w:r>
              <w:rPr/>
              <w:t>Long-term revolving loan payable,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9,791,191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12,314,627</w:t>
            </w:r>
          </w:p>
        </w:tc>
        <w:tc>
          <w:tcPr>
            <w:tcW w:w="110" w:type="dxa"/>
            <w:tcBorders/>
            <w:shd w:fill="FFFFFF" w:val="clear"/>
            <w:vAlign w:val="center"/>
          </w:tcPr>
          <w:p>
            <w:pPr>
              <w:pStyle w:val="TableContents"/>
              <w:bidi w:val="0"/>
              <w:spacing w:before="0" w:after="283"/>
              <w:jc w:val="left"/>
              <w:rPr/>
            </w:pPr>
            <w:r>
              <w:rPr/>
              <w:t> </w:t>
            </w:r>
            <w:bookmarkStart w:id="88" w:name="xdx_402_eus-gaap--SecuredLongTermDebt_i0"/>
            <w:bookmarkEnd w:id="88"/>
          </w:p>
        </w:tc>
      </w:tr>
      <w:tr>
        <w:trPr/>
        <w:tc>
          <w:tcPr>
            <w:tcW w:w="7400" w:type="dxa"/>
            <w:tcBorders/>
            <w:shd w:fill="EEEEEE" w:val="clear"/>
            <w:vAlign w:val="center"/>
          </w:tcPr>
          <w:p>
            <w:pPr>
              <w:pStyle w:val="TableContents"/>
              <w:bidi w:val="0"/>
              <w:spacing w:before="0" w:after="283"/>
              <w:jc w:val="left"/>
              <w:rPr/>
            </w:pPr>
            <w:r>
              <w:rPr/>
              <w:t>Long-term promissory note payable, net</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1,781,705</w:t>
            </w:r>
          </w:p>
        </w:tc>
        <w:tc>
          <w:tcPr>
            <w:tcW w:w="110" w:type="dxa"/>
            <w:tcBorders/>
            <w:shd w:fill="EEEEEE" w:val="clear"/>
            <w:vAlign w:val="center"/>
          </w:tcPr>
          <w:p>
            <w:pPr>
              <w:pStyle w:val="TableContents"/>
              <w:bidi w:val="0"/>
              <w:spacing w:before="0" w:after="283"/>
              <w:jc w:val="left"/>
              <w:rPr/>
            </w:pPr>
            <w:r>
              <w:rPr/>
              <w:t> </w:t>
            </w:r>
            <w:bookmarkStart w:id="89" w:name="xdx_40D_eus-gaap--DeferredTaxAndOtherLia"/>
            <w:bookmarkEnd w:id="89"/>
          </w:p>
        </w:tc>
      </w:tr>
      <w:tr>
        <w:trPr/>
        <w:tc>
          <w:tcPr>
            <w:tcW w:w="7400" w:type="dxa"/>
            <w:tcBorders/>
            <w:shd w:fill="FFFFFF" w:val="clear"/>
            <w:vAlign w:val="center"/>
          </w:tcPr>
          <w:p>
            <w:pPr>
              <w:pStyle w:val="TableContents"/>
              <w:bidi w:val="0"/>
              <w:spacing w:before="0" w:after="283"/>
              <w:jc w:val="left"/>
              <w:rPr/>
            </w:pPr>
            <w:r>
              <w:rPr/>
              <w:t>Deferred tax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939,115</w:t>
            </w:r>
          </w:p>
        </w:tc>
        <w:tc>
          <w:tcPr>
            <w:tcW w:w="110" w:type="dxa"/>
            <w:tcBorders/>
            <w:shd w:fill="FFFFFF" w:val="clear"/>
            <w:vAlign w:val="center"/>
          </w:tcPr>
          <w:p>
            <w:pPr>
              <w:pStyle w:val="TableContents"/>
              <w:bidi w:val="0"/>
              <w:spacing w:before="0" w:after="283"/>
              <w:jc w:val="left"/>
              <w:rPr/>
            </w:pPr>
            <w:r>
              <w:rPr/>
              <w:t> </w:t>
            </w:r>
            <w:bookmarkStart w:id="90" w:name="xdx_405_eus-gaap--OperatingLeaseLiabilit"/>
            <w:bookmarkEnd w:id="90"/>
          </w:p>
        </w:tc>
      </w:tr>
      <w:tr>
        <w:trPr/>
        <w:tc>
          <w:tcPr>
            <w:tcW w:w="7400" w:type="dxa"/>
            <w:tcBorders/>
            <w:shd w:fill="EEEEEE" w:val="clear"/>
            <w:vAlign w:val="center"/>
          </w:tcPr>
          <w:p>
            <w:pPr>
              <w:pStyle w:val="TableContents"/>
              <w:bidi w:val="0"/>
              <w:spacing w:before="0" w:after="283"/>
              <w:jc w:val="left"/>
              <w:rPr/>
            </w:pPr>
            <w:r>
              <w:rPr/>
              <w:t>Lease liability - non-current</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6,106,047</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8,265,611</w:t>
            </w:r>
          </w:p>
        </w:tc>
        <w:tc>
          <w:tcPr>
            <w:tcW w:w="110" w:type="dxa"/>
            <w:tcBorders/>
            <w:shd w:fill="EEEEEE"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91" w:name="xdx_403_eus-gaap--LiabilitiesNoncurrent_"/>
            <w:bookmarkEnd w:id="91"/>
          </w:p>
        </w:tc>
      </w:tr>
      <w:tr>
        <w:trPr/>
        <w:tc>
          <w:tcPr>
            <w:tcW w:w="7400" w:type="dxa"/>
            <w:tcBorders/>
            <w:shd w:fill="EEEEEE" w:val="clear"/>
            <w:vAlign w:val="center"/>
          </w:tcPr>
          <w:p>
            <w:pPr>
              <w:pStyle w:val="TableContents"/>
              <w:bidi w:val="0"/>
              <w:spacing w:before="0" w:after="283"/>
              <w:jc w:val="left"/>
              <w:rPr/>
            </w:pPr>
            <w:r>
              <w:rPr/>
              <w:t>Total non-current liabilities</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EEEEEE" w:val="clear"/>
            <w:tcMar>
              <w:bottom w:w="28" w:type="dxa"/>
            </w:tcMar>
            <w:vAlign w:val="center"/>
          </w:tcPr>
          <w:p>
            <w:pPr>
              <w:pStyle w:val="TableContents"/>
              <w:bidi w:val="0"/>
              <w:spacing w:before="0" w:after="283"/>
              <w:jc w:val="right"/>
              <w:rPr/>
            </w:pPr>
            <w:r>
              <w:rPr/>
              <w:t>15,897,238</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EEEEEE" w:val="clear"/>
            <w:tcMar>
              <w:bottom w:w="28" w:type="dxa"/>
            </w:tcMar>
            <w:vAlign w:val="center"/>
          </w:tcPr>
          <w:p>
            <w:pPr>
              <w:pStyle w:val="TableContents"/>
              <w:bidi w:val="0"/>
              <w:spacing w:before="0" w:after="283"/>
              <w:jc w:val="right"/>
              <w:rPr/>
            </w:pPr>
            <w:r>
              <w:rPr/>
              <w:t>23,301,058</w:t>
            </w:r>
          </w:p>
        </w:tc>
        <w:tc>
          <w:tcPr>
            <w:tcW w:w="110" w:type="dxa"/>
            <w:tcBorders/>
            <w:shd w:fill="EEEEEE"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92" w:name="xdx_408_eus-gaap--Liabilities_i01TI_mtCz"/>
            <w:bookmarkEnd w:id="92"/>
          </w:p>
        </w:tc>
      </w:tr>
      <w:tr>
        <w:trPr/>
        <w:tc>
          <w:tcPr>
            <w:tcW w:w="7400" w:type="dxa"/>
            <w:tcBorders/>
            <w:shd w:fill="EEEEEE" w:val="clear"/>
            <w:vAlign w:val="center"/>
          </w:tcPr>
          <w:p>
            <w:pPr>
              <w:pStyle w:val="TableContents"/>
              <w:bidi w:val="0"/>
              <w:spacing w:before="0" w:after="283"/>
              <w:jc w:val="left"/>
              <w:rPr/>
            </w:pPr>
            <w:r>
              <w:rPr/>
              <w:t>Total liabilities</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EEEEEE" w:val="clear"/>
            <w:tcMar>
              <w:bottom w:w="28" w:type="dxa"/>
            </w:tcMar>
            <w:vAlign w:val="center"/>
          </w:tcPr>
          <w:p>
            <w:pPr>
              <w:pStyle w:val="TableContents"/>
              <w:bidi w:val="0"/>
              <w:spacing w:before="0" w:after="283"/>
              <w:jc w:val="right"/>
              <w:rPr/>
            </w:pPr>
            <w:r>
              <w:rPr/>
              <w:t>39,229,546</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EEEEEE" w:val="clear"/>
            <w:tcMar>
              <w:bottom w:w="28" w:type="dxa"/>
            </w:tcMar>
            <w:vAlign w:val="center"/>
          </w:tcPr>
          <w:p>
            <w:pPr>
              <w:pStyle w:val="TableContents"/>
              <w:bidi w:val="0"/>
              <w:spacing w:before="0" w:after="283"/>
              <w:jc w:val="right"/>
              <w:rPr/>
            </w:pPr>
            <w:r>
              <w:rPr/>
              <w:t>46,184,637</w:t>
            </w:r>
          </w:p>
        </w:tc>
        <w:tc>
          <w:tcPr>
            <w:tcW w:w="110" w:type="dxa"/>
            <w:tcBorders/>
            <w:shd w:fill="EEEEEE"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93" w:name="xdx_40D_eus-gaap--CommitmentsAndContinge"/>
            <w:bookmarkEnd w:id="93"/>
          </w:p>
        </w:tc>
      </w:tr>
      <w:tr>
        <w:trPr/>
        <w:tc>
          <w:tcPr>
            <w:tcW w:w="7400" w:type="dxa"/>
            <w:tcBorders/>
            <w:shd w:fill="EEEEEE" w:val="clear"/>
            <w:vAlign w:val="center"/>
          </w:tcPr>
          <w:p>
            <w:pPr>
              <w:pStyle w:val="TableContents"/>
              <w:bidi w:val="0"/>
              <w:spacing w:before="0" w:after="283"/>
              <w:jc w:val="left"/>
              <w:rPr/>
            </w:pPr>
            <w:r>
              <w:rPr/>
              <w:t>Commitments and contingency</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w:t>
            </w:r>
          </w:p>
        </w:tc>
        <w:tc>
          <w:tcPr>
            <w:tcW w:w="110" w:type="dxa"/>
            <w:tcBorders/>
            <w:shd w:fill="EEEEEE"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94" w:name="xdx_40A_eus-gaap--StockholdersEquityAbst"/>
            <w:bookmarkEnd w:id="94"/>
          </w:p>
        </w:tc>
      </w:tr>
      <w:tr>
        <w:trPr/>
        <w:tc>
          <w:tcPr>
            <w:tcW w:w="7400" w:type="dxa"/>
            <w:tcBorders/>
            <w:shd w:fill="EEEEEE" w:val="clear"/>
            <w:vAlign w:val="center"/>
          </w:tcPr>
          <w:p>
            <w:pPr>
              <w:pStyle w:val="TableContents"/>
              <w:bidi w:val="0"/>
              <w:spacing w:before="0" w:after="283"/>
              <w:jc w:val="left"/>
              <w:rPr/>
            </w:pPr>
            <w:r>
              <w:rPr/>
              <w:t>Stockholders' Equity</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 </w:t>
            </w:r>
          </w:p>
        </w:tc>
        <w:tc>
          <w:tcPr>
            <w:tcW w:w="110" w:type="dxa"/>
            <w:tcBorders/>
            <w:shd w:fill="EEEEEE" w:val="clear"/>
            <w:vAlign w:val="center"/>
          </w:tcPr>
          <w:p>
            <w:pPr>
              <w:pStyle w:val="TableContents"/>
              <w:bidi w:val="0"/>
              <w:spacing w:before="0" w:after="283"/>
              <w:ind w:left="0" w:right="0" w:hanging="200"/>
              <w:jc w:val="left"/>
              <w:rPr/>
            </w:pPr>
            <w:r>
              <w:rPr/>
              <w:t> </w:t>
            </w:r>
            <w:bookmarkStart w:id="95" w:name="xdx_40E_eus-gaap--PreferredStockValue_i0"/>
            <w:bookmarkEnd w:id="95"/>
          </w:p>
        </w:tc>
      </w:tr>
      <w:tr>
        <w:trPr/>
        <w:tc>
          <w:tcPr>
            <w:tcW w:w="7400" w:type="dxa"/>
            <w:tcBorders/>
            <w:shd w:fill="FFFFFF" w:val="clear"/>
            <w:vAlign w:val="center"/>
          </w:tcPr>
          <w:p>
            <w:pPr>
              <w:pStyle w:val="TableContents"/>
              <w:bidi w:val="0"/>
              <w:spacing w:before="0" w:after="283"/>
              <w:jc w:val="left"/>
              <w:rPr/>
            </w:pPr>
            <w:r>
              <w:rPr/>
              <w:t>Preferred stock, $</w:t>
            </w:r>
            <w:bookmarkStart w:id="96" w:name="xdx_90C_eus-gaap--PreferredStockParOrSta"/>
            <w:bookmarkStart w:id="97" w:name="xdx_90F_eus-gaap--PreferredStockParOrSta"/>
            <w:bookmarkEnd w:id="96"/>
            <w:bookmarkEnd w:id="97"/>
            <w:r>
              <w:rPr/>
              <w:t xml:space="preserve">0.001 par value; </w:t>
            </w:r>
            <w:bookmarkStart w:id="98" w:name="xdx_906_eus-gaap--PreferredStockSharesAu"/>
            <w:bookmarkStart w:id="99" w:name="xdx_907_eus-gaap--PreferredStockSharesAu"/>
            <w:bookmarkEnd w:id="98"/>
            <w:bookmarkEnd w:id="99"/>
            <w:r>
              <w:rPr/>
              <w:t xml:space="preserve">20,000,000 shares authorized; </w:t>
            </w:r>
            <w:bookmarkStart w:id="100" w:name="xdx_90E_eus-gaap--PreferredStockSharesOu"/>
            <w:bookmarkStart w:id="101" w:name="xdx_90D_eus-gaap--PreferredStockSharesIs"/>
            <w:bookmarkStart w:id="102" w:name="xdx_901_eus-gaap--PreferredStockSharesOu"/>
            <w:bookmarkStart w:id="103" w:name="xdx_90C_eus-gaap--PreferredStockSharesIs"/>
            <w:bookmarkEnd w:id="100"/>
            <w:bookmarkEnd w:id="101"/>
            <w:bookmarkEnd w:id="102"/>
            <w:bookmarkEnd w:id="103"/>
            <w:r>
              <w:rPr/>
              <w:t>0 shares issued and outstanding at June 30, 2023 and 2022</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200"/>
              <w:jc w:val="left"/>
              <w:rPr/>
            </w:pPr>
            <w:r>
              <w:rPr/>
              <w:t> </w:t>
            </w:r>
            <w:bookmarkStart w:id="104" w:name="xdx_408_eus-gaap--CommonStockValue_i01I_"/>
            <w:bookmarkEnd w:id="104"/>
          </w:p>
        </w:tc>
      </w:tr>
      <w:tr>
        <w:trPr/>
        <w:tc>
          <w:tcPr>
            <w:tcW w:w="7400" w:type="dxa"/>
            <w:tcBorders/>
            <w:shd w:fill="EEEEEE" w:val="clear"/>
            <w:vAlign w:val="center"/>
          </w:tcPr>
          <w:p>
            <w:pPr>
              <w:pStyle w:val="TableContents"/>
              <w:bidi w:val="0"/>
              <w:spacing w:before="0" w:after="283"/>
              <w:jc w:val="left"/>
              <w:rPr/>
            </w:pPr>
            <w:r>
              <w:rPr/>
              <w:t>Common stock, $</w:t>
            </w:r>
            <w:bookmarkStart w:id="105" w:name="xdx_903_eus-gaap--CommonStockParOrStated"/>
            <w:bookmarkStart w:id="106" w:name="xdx_904_eus-gaap--CommonStockParOrStated"/>
            <w:bookmarkEnd w:id="105"/>
            <w:bookmarkEnd w:id="106"/>
            <w:r>
              <w:rPr/>
              <w:t xml:space="preserve">0.001 par value; </w:t>
            </w:r>
            <w:bookmarkStart w:id="107" w:name="xdx_900_eus-gaap--CommonStockSharesAutho"/>
            <w:bookmarkStart w:id="108" w:name="xdx_901_eus-gaap--CommonStockSharesAutho"/>
            <w:bookmarkEnd w:id="107"/>
            <w:bookmarkEnd w:id="108"/>
            <w:r>
              <w:rPr/>
              <w:t xml:space="preserve">180,000,000 shares authorized; </w:t>
            </w:r>
            <w:bookmarkStart w:id="109" w:name="xdx_904_eus-gaap--CommonStockSharesOutst"/>
            <w:bookmarkStart w:id="110" w:name="xdx_907_eus-gaap--CommonStockSharesIssue"/>
            <w:bookmarkEnd w:id="109"/>
            <w:bookmarkEnd w:id="110"/>
            <w:r>
              <w:rPr/>
              <w:t xml:space="preserve">29,710,939 and </w:t>
            </w:r>
            <w:bookmarkStart w:id="111" w:name="xdx_902_eus-gaap--CommonStockSharesOutst"/>
            <w:bookmarkStart w:id="112" w:name="xdx_90D_eus-gaap--CommonStockSharesIssue"/>
            <w:bookmarkEnd w:id="111"/>
            <w:bookmarkEnd w:id="112"/>
            <w:r>
              <w:rPr/>
              <w:t>29,572,382 shares issued and outstanding at June 30, 2023 and 2022</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29,712</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29,573</w:t>
            </w:r>
          </w:p>
        </w:tc>
        <w:tc>
          <w:tcPr>
            <w:tcW w:w="110" w:type="dxa"/>
            <w:tcBorders/>
            <w:shd w:fill="EEEEEE" w:val="clear"/>
            <w:vAlign w:val="center"/>
          </w:tcPr>
          <w:p>
            <w:pPr>
              <w:pStyle w:val="TableContents"/>
              <w:bidi w:val="0"/>
              <w:spacing w:before="0" w:after="283"/>
              <w:jc w:val="left"/>
              <w:rPr/>
            </w:pPr>
            <w:r>
              <w:rPr/>
              <w:t> </w:t>
            </w:r>
            <w:bookmarkStart w:id="113" w:name="xdx_403_eus-gaap--AdditionalPaidInCapita"/>
            <w:bookmarkEnd w:id="113"/>
          </w:p>
        </w:tc>
      </w:tr>
      <w:tr>
        <w:trPr/>
        <w:tc>
          <w:tcPr>
            <w:tcW w:w="7400" w:type="dxa"/>
            <w:tcBorders/>
            <w:shd w:fill="FFFFFF" w:val="clear"/>
            <w:vAlign w:val="center"/>
          </w:tcPr>
          <w:p>
            <w:pPr>
              <w:pStyle w:val="TableContents"/>
              <w:bidi w:val="0"/>
              <w:spacing w:before="0" w:after="283"/>
              <w:jc w:val="left"/>
              <w:rPr/>
            </w:pPr>
            <w:r>
              <w:rPr/>
              <w:t>Additional paid in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29,624,520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29,111,863</w:t>
            </w:r>
          </w:p>
        </w:tc>
        <w:tc>
          <w:tcPr>
            <w:tcW w:w="110" w:type="dxa"/>
            <w:tcBorders/>
            <w:shd w:fill="FFFFFF" w:val="clear"/>
            <w:vAlign w:val="center"/>
          </w:tcPr>
          <w:p>
            <w:pPr>
              <w:pStyle w:val="TableContents"/>
              <w:bidi w:val="0"/>
              <w:spacing w:before="0" w:after="283"/>
              <w:jc w:val="left"/>
              <w:rPr/>
            </w:pPr>
            <w:r>
              <w:rPr/>
              <w:t> </w:t>
            </w:r>
            <w:bookmarkStart w:id="114" w:name="xdx_40B_eus-gaap--RetainedEarningsAccumu"/>
            <w:bookmarkEnd w:id="114"/>
          </w:p>
        </w:tc>
      </w:tr>
      <w:tr>
        <w:trPr/>
        <w:tc>
          <w:tcPr>
            <w:tcW w:w="7400" w:type="dxa"/>
            <w:tcBorders/>
            <w:shd w:fill="EEEEEE" w:val="clear"/>
            <w:vAlign w:val="center"/>
          </w:tcPr>
          <w:p>
            <w:pPr>
              <w:pStyle w:val="TableContents"/>
              <w:bidi w:val="0"/>
              <w:spacing w:before="0" w:after="283"/>
              <w:jc w:val="left"/>
              <w:rPr/>
            </w:pPr>
            <w:r>
              <w:rPr/>
              <w:t>(Accumulated deficits) Retained earnings</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(8,702,442</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3,262,948</w:t>
            </w:r>
          </w:p>
        </w:tc>
        <w:tc>
          <w:tcPr>
            <w:tcW w:w="110" w:type="dxa"/>
            <w:tcBorders/>
            <w:shd w:fill="EEEEEE" w:val="clear"/>
            <w:vAlign w:val="center"/>
          </w:tcPr>
          <w:p>
            <w:pPr>
              <w:pStyle w:val="TableContents"/>
              <w:bidi w:val="0"/>
              <w:spacing w:before="0" w:after="283"/>
              <w:jc w:val="left"/>
              <w:rPr/>
            </w:pPr>
            <w:r>
              <w:rPr/>
              <w:t> </w:t>
            </w:r>
            <w:bookmarkStart w:id="115" w:name="xdx_40A_eus-gaap--MinorityInterest_i01I_"/>
            <w:bookmarkEnd w:id="115"/>
          </w:p>
        </w:tc>
      </w:tr>
      <w:tr>
        <w:trPr/>
        <w:tc>
          <w:tcPr>
            <w:tcW w:w="7400" w:type="dxa"/>
            <w:tcBorders/>
            <w:shd w:fill="FFFFFF" w:val="clear"/>
            <w:vAlign w:val="center"/>
          </w:tcPr>
          <w:p>
            <w:pPr>
              <w:pStyle w:val="TableContents"/>
              <w:bidi w:val="0"/>
              <w:spacing w:before="0" w:after="283"/>
              <w:jc w:val="left"/>
              <w:rPr/>
            </w:pPr>
            <w:r>
              <w:rPr/>
              <w:t>Non-controlling interest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(24,915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(13,232</w:t>
            </w:r>
          </w:p>
        </w:tc>
        <w:tc>
          <w:tcPr>
            <w:tcW w:w="110" w:type="dxa"/>
            <w:tcBorders/>
            <w:shd w:fill="FFFFFF" w:val="clear"/>
            <w:vAlign w:val="center"/>
          </w:tcPr>
          <w:p>
            <w:pPr>
              <w:pStyle w:val="TableContents"/>
              <w:bidi w:val="0"/>
              <w:spacing w:before="0" w:after="283"/>
              <w:jc w:val="left"/>
              <w:rPr/>
            </w:pPr>
            <w:r>
              <w:rPr/>
              <w:t>)</w:t>
            </w:r>
            <w:bookmarkStart w:id="116" w:name="xdx_40C_eus-gaap--AccumulatedOtherCompre"/>
            <w:bookmarkEnd w:id="116"/>
          </w:p>
        </w:tc>
      </w:tr>
      <w:tr>
        <w:trPr/>
        <w:tc>
          <w:tcPr>
            <w:tcW w:w="7400" w:type="dxa"/>
            <w:tcBorders/>
            <w:shd w:fill="EEEEEE" w:val="clear"/>
            <w:vAlign w:val="center"/>
          </w:tcPr>
          <w:p>
            <w:pPr>
              <w:pStyle w:val="TableContents"/>
              <w:bidi w:val="0"/>
              <w:spacing w:before="0" w:after="283"/>
              <w:jc w:val="left"/>
              <w:rPr/>
            </w:pPr>
            <w:r>
              <w:rPr/>
              <w:t>Accumulated other comprehensive income (loss)</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EEEEEE" w:val="clear"/>
            <w:tcMar>
              <w:bottom w:w="28" w:type="dxa"/>
            </w:tcMar>
            <w:vAlign w:val="center"/>
          </w:tcPr>
          <w:p>
            <w:pPr>
              <w:pStyle w:val="TableContents"/>
              <w:bidi w:val="0"/>
              <w:spacing w:before="0" w:after="283"/>
              <w:jc w:val="right"/>
              <w:rPr/>
            </w:pPr>
            <w:r>
              <w:rPr/>
              <w:t>(62,134</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EEEEEE" w:val="clear"/>
            <w:tcMar>
              <w:bottom w:w="28" w:type="dxa"/>
            </w:tcMar>
            <w:vAlign w:val="center"/>
          </w:tcPr>
          <w:p>
            <w:pPr>
              <w:pStyle w:val="TableContents"/>
              <w:bidi w:val="0"/>
              <w:spacing w:before="0" w:after="283"/>
              <w:jc w:val="right"/>
              <w:rPr/>
            </w:pPr>
            <w:r>
              <w:rPr/>
              <w:t>5,678</w:t>
            </w:r>
          </w:p>
        </w:tc>
        <w:tc>
          <w:tcPr>
            <w:tcW w:w="110" w:type="dxa"/>
            <w:tcBorders/>
            <w:shd w:fill="EEEEEE" w:val="clear"/>
            <w:vAlign w:val="center"/>
          </w:tcPr>
          <w:p>
            <w:pPr>
              <w:pStyle w:val="TableContents"/>
              <w:bidi w:val="0"/>
              <w:spacing w:before="0" w:after="283"/>
              <w:jc w:val="left"/>
              <w:rPr/>
            </w:pPr>
            <w:r>
              <w:rPr/>
              <w:t> </w:t>
            </w:r>
            <w:bookmarkStart w:id="117" w:name="xdx_40D_eus-gaap--StockholdersEquityIncl"/>
            <w:bookmarkEnd w:id="117"/>
          </w:p>
        </w:tc>
      </w:tr>
      <w:tr>
        <w:trPr/>
        <w:tc>
          <w:tcPr>
            <w:tcW w:w="7400" w:type="dxa"/>
            <w:tcBorders/>
            <w:shd w:fill="FFFFFF" w:val="clear"/>
            <w:vAlign w:val="center"/>
          </w:tcPr>
          <w:p>
            <w:pPr>
              <w:pStyle w:val="TableContents"/>
              <w:bidi w:val="0"/>
              <w:spacing w:before="0" w:after="283"/>
              <w:jc w:val="left"/>
              <w:rPr/>
            </w:pPr>
            <w:r>
              <w:rPr/>
              <w:t>Total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20,864,741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32,396,830</w:t>
            </w:r>
          </w:p>
        </w:tc>
        <w:tc>
          <w:tcPr>
            <w:tcW w:w="110" w:type="dxa"/>
            <w:tcBorders/>
            <w:shd w:fill="FFFFFF" w:val="clear"/>
            <w:vAlign w:val="center"/>
          </w:tcPr>
          <w:p>
            <w:pPr>
              <w:pStyle w:val="TableContents"/>
              <w:bidi w:val="0"/>
              <w:spacing w:before="0" w:after="283"/>
              <w:jc w:val="left"/>
              <w:rPr/>
            </w:pPr>
            <w:r>
              <w:rPr/>
              <w:t> </w:t>
            </w:r>
          </w:p>
        </w:tc>
      </w:tr>
      <w:tr>
        <w:trPr/>
        <w:tc>
          <w:tcPr>
            <w:tcW w:w="7400"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 </w:t>
            </w:r>
          </w:p>
        </w:tc>
        <w:tc>
          <w:tcPr>
            <w:tcW w:w="110" w:type="dxa"/>
            <w:tcBorders/>
            <w:shd w:fill="EEEEEE" w:val="clear"/>
            <w:vAlign w:val="center"/>
          </w:tcPr>
          <w:p>
            <w:pPr>
              <w:pStyle w:val="TableContents"/>
              <w:bidi w:val="0"/>
              <w:spacing w:before="0" w:after="283"/>
              <w:jc w:val="left"/>
              <w:rPr/>
            </w:pPr>
            <w:r>
              <w:rPr/>
              <w:t> </w:t>
            </w:r>
            <w:bookmarkStart w:id="118" w:name="xdx_407_eus-gaap--LiabilitiesAndStockhol"/>
            <w:bookmarkEnd w:id="118"/>
          </w:p>
        </w:tc>
      </w:tr>
      <w:tr>
        <w:trPr/>
        <w:tc>
          <w:tcPr>
            <w:tcW w:w="7400" w:type="dxa"/>
            <w:tcBorders/>
            <w:shd w:fill="FFFFFF" w:val="clear"/>
            <w:vAlign w:val="center"/>
          </w:tcPr>
          <w:p>
            <w:pPr>
              <w:pStyle w:val="TableContents"/>
              <w:bidi w:val="0"/>
              <w:spacing w:before="0" w:after="283"/>
              <w:jc w:val="left"/>
              <w:rPr/>
            </w:pPr>
            <w:r>
              <w:rPr/>
              <w:t>Total liabilities and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60,094,287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78,581,467</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F-2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iPower Inc. and Subsidiaries</w:t>
      </w:r>
    </w:p>
    <w:p>
      <w:pPr>
        <w:pStyle w:val="TextBody"/>
        <w:bidi w:val="0"/>
        <w:spacing w:before="0" w:after="0"/>
        <w:jc w:val="center"/>
        <w:rPr>
          <w:rFonts w:ascii="Times New Roman;Times;Serif" w:hAnsi="Times New Roman;Times;Serif"/>
          <w:b w:val="false"/>
          <w:i w:val="false"/>
          <w:caps w:val="false"/>
          <w:smallCaps w:val="false"/>
          <w:sz w:val="20"/>
        </w:rPr>
      </w:pPr>
      <w:bookmarkStart w:id="119" w:name="k_003"/>
      <w:bookmarkEnd w:id="119"/>
      <w:r>
        <w:rPr>
          <w:rFonts w:ascii="Times New Roman;Times;Serif" w:hAnsi="Times New Roman;Times;Serif"/>
          <w:b w:val="false"/>
          <w:i w:val="false"/>
          <w:caps w:val="false"/>
          <w:smallCaps w:val="false"/>
          <w:sz w:val="20"/>
        </w:rPr>
        <w:t>Consolidated Statements of Operations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June 30, 2023 and 2022</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20" w:name="xdx_302_113_zAfCuW4mQeI4"/>
      <w:bookmarkStart w:id="121" w:name="xdx_302_113_zAfCuW4mQeI4"/>
      <w:bookmarkEnd w:id="121"/>
    </w:p>
    <w:tbl>
      <w:tblPr>
        <w:tblW w:w="10205" w:type="dxa"/>
        <w:jc w:val="left"/>
        <w:tblInd w:w="0" w:type="dxa"/>
        <w:tblLayout w:type="fixed"/>
        <w:tblCellMar>
          <w:top w:w="0" w:type="dxa"/>
          <w:left w:w="0" w:type="dxa"/>
          <w:bottom w:w="0" w:type="dxa"/>
          <w:right w:w="0" w:type="dxa"/>
        </w:tblCellMar>
      </w:tblPr>
      <w:tblGrid>
        <w:gridCol w:w="7210"/>
        <w:gridCol w:w="60"/>
        <w:gridCol w:w="145"/>
        <w:gridCol w:w="1225"/>
        <w:gridCol w:w="98"/>
        <w:gridCol w:w="61"/>
        <w:gridCol w:w="145"/>
        <w:gridCol w:w="1147"/>
        <w:gridCol w:w="114"/>
      </w:tblGrid>
      <w:tr>
        <w:trPr/>
        <w:tc>
          <w:tcPr>
            <w:tcW w:w="72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122" w:name="xdx_49B_20220701_20230630"/>
            <w:bookmarkEnd w:id="122"/>
          </w:p>
        </w:tc>
        <w:tc>
          <w:tcPr>
            <w:tcW w:w="1370" w:type="dxa"/>
            <w:gridSpan w:val="2"/>
            <w:tcBorders/>
            <w:vAlign w:val="center"/>
          </w:tcPr>
          <w:p>
            <w:pPr>
              <w:pStyle w:val="TableContents"/>
              <w:bidi w:val="0"/>
              <w:spacing w:before="0" w:after="283"/>
              <w:jc w:val="center"/>
              <w:rPr/>
            </w:pPr>
            <w:r>
              <w:rPr/>
              <w:t> </w:t>
            </w:r>
          </w:p>
        </w:tc>
        <w:tc>
          <w:tcPr>
            <w:tcW w:w="9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bookmarkStart w:id="123" w:name="xdx_499_20210701_20220630"/>
            <w:bookmarkEnd w:id="123"/>
          </w:p>
        </w:tc>
        <w:tc>
          <w:tcPr>
            <w:tcW w:w="1292" w:type="dxa"/>
            <w:gridSpan w:val="2"/>
            <w:tcBorders/>
            <w:vAlign w:val="center"/>
          </w:tcPr>
          <w:p>
            <w:pPr>
              <w:pStyle w:val="TableContents"/>
              <w:bidi w:val="0"/>
              <w:spacing w:before="0" w:after="283"/>
              <w:jc w:val="center"/>
              <w:rPr/>
            </w:pPr>
            <w:r>
              <w:rPr/>
              <w:t> </w:t>
            </w:r>
          </w:p>
        </w:tc>
        <w:tc>
          <w:tcPr>
            <w:tcW w:w="114" w:type="dxa"/>
            <w:tcBorders/>
            <w:vAlign w:val="center"/>
          </w:tcPr>
          <w:p>
            <w:pPr>
              <w:pStyle w:val="TableContents"/>
              <w:bidi w:val="0"/>
              <w:spacing w:before="0" w:after="283"/>
              <w:jc w:val="left"/>
              <w:rPr/>
            </w:pPr>
            <w:r>
              <w:rPr/>
              <w:t> </w:t>
            </w:r>
          </w:p>
        </w:tc>
      </w:tr>
      <w:tr>
        <w:trPr/>
        <w:tc>
          <w:tcPr>
            <w:tcW w:w="72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821" w:type="dxa"/>
            <w:gridSpan w:val="6"/>
            <w:tcBorders>
              <w:bottom w:val="single" w:sz="8" w:space="0" w:color="000000"/>
            </w:tcBorders>
            <w:tcMar>
              <w:bottom w:w="28" w:type="dxa"/>
            </w:tcMar>
            <w:vAlign w:val="center"/>
          </w:tcPr>
          <w:p>
            <w:pPr>
              <w:pStyle w:val="TableContents"/>
              <w:bidi w:val="0"/>
              <w:spacing w:before="0" w:after="283"/>
              <w:jc w:val="center"/>
              <w:rPr/>
            </w:pPr>
            <w:r>
              <w:rPr/>
              <w:t>For the Years Ended June 30,</w:t>
            </w:r>
          </w:p>
        </w:tc>
        <w:tc>
          <w:tcPr>
            <w:tcW w:w="114" w:type="dxa"/>
            <w:tcBorders/>
            <w:vAlign w:val="center"/>
          </w:tcPr>
          <w:p>
            <w:pPr>
              <w:pStyle w:val="TableContents"/>
              <w:bidi w:val="0"/>
              <w:spacing w:before="0" w:after="283"/>
              <w:jc w:val="left"/>
              <w:rPr/>
            </w:pPr>
            <w:r>
              <w:rPr/>
              <w:t> </w:t>
            </w:r>
          </w:p>
        </w:tc>
      </w:tr>
      <w:tr>
        <w:trPr/>
        <w:tc>
          <w:tcPr>
            <w:tcW w:w="721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pPr>
            <w:r>
              <w:rPr/>
              <w:t>2023</w:t>
            </w:r>
          </w:p>
        </w:tc>
        <w:tc>
          <w:tcPr>
            <w:tcW w:w="9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92" w:type="dxa"/>
            <w:gridSpan w:val="2"/>
            <w:tcBorders>
              <w:bottom w:val="single" w:sz="8" w:space="0" w:color="000000"/>
            </w:tcBorders>
            <w:tcMar>
              <w:bottom w:w="28" w:type="dxa"/>
            </w:tcMar>
            <w:vAlign w:val="center"/>
          </w:tcPr>
          <w:p>
            <w:pPr>
              <w:pStyle w:val="TableContents"/>
              <w:bidi w:val="0"/>
              <w:spacing w:before="0" w:after="283"/>
              <w:jc w:val="center"/>
              <w:rPr/>
            </w:pPr>
            <w:r>
              <w:rPr/>
              <w:t>2022</w:t>
            </w:r>
          </w:p>
        </w:tc>
        <w:tc>
          <w:tcPr>
            <w:tcW w:w="114" w:type="dxa"/>
            <w:tcBorders/>
            <w:vAlign w:val="center"/>
          </w:tcPr>
          <w:p>
            <w:pPr>
              <w:pStyle w:val="TableContents"/>
              <w:bidi w:val="0"/>
              <w:spacing w:before="0" w:after="283"/>
              <w:jc w:val="left"/>
              <w:rPr/>
            </w:pPr>
            <w:r>
              <w:rPr/>
              <w:t> </w:t>
            </w:r>
          </w:p>
        </w:tc>
      </w:tr>
      <w:tr>
        <w:trPr/>
        <w:tc>
          <w:tcPr>
            <w:tcW w:w="721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pPr>
            <w:r>
              <w:rPr/>
              <w:t> </w:t>
            </w:r>
          </w:p>
        </w:tc>
        <w:tc>
          <w:tcPr>
            <w:tcW w:w="9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92" w:type="dxa"/>
            <w:gridSpan w:val="2"/>
            <w:tcBorders/>
            <w:vAlign w:val="center"/>
          </w:tcPr>
          <w:p>
            <w:pPr>
              <w:pStyle w:val="TableContents"/>
              <w:bidi w:val="0"/>
              <w:spacing w:before="0" w:after="283"/>
              <w:jc w:val="center"/>
              <w:rPr/>
            </w:pPr>
            <w:r>
              <w:rPr/>
              <w:t> </w:t>
            </w:r>
          </w:p>
        </w:tc>
        <w:tc>
          <w:tcPr>
            <w:tcW w:w="114" w:type="dxa"/>
            <w:tcBorders/>
            <w:vAlign w:val="center"/>
          </w:tcPr>
          <w:p>
            <w:pPr>
              <w:pStyle w:val="TableContents"/>
              <w:bidi w:val="0"/>
              <w:spacing w:before="0" w:after="283"/>
              <w:jc w:val="left"/>
              <w:rPr/>
            </w:pPr>
            <w:r>
              <w:rPr/>
              <w:t> </w:t>
            </w:r>
            <w:bookmarkStart w:id="124" w:name="xdx_405_eus-gaap--RevenueFromContractWit"/>
            <w:bookmarkEnd w:id="124"/>
          </w:p>
        </w:tc>
      </w:tr>
      <w:tr>
        <w:trPr/>
        <w:tc>
          <w:tcPr>
            <w:tcW w:w="7210" w:type="dxa"/>
            <w:tcBorders/>
            <w:shd w:fill="EEEEEE" w:val="clear"/>
            <w:vAlign w:val="center"/>
          </w:tcPr>
          <w:p>
            <w:pPr>
              <w:pStyle w:val="TableContents"/>
              <w:bidi w:val="0"/>
              <w:spacing w:before="0" w:after="283"/>
              <w:jc w:val="left"/>
              <w:rPr/>
            </w:pPr>
            <w:r>
              <w:rPr/>
              <w:t>REVENUES</w:t>
            </w:r>
          </w:p>
        </w:tc>
        <w:tc>
          <w:tcPr>
            <w:tcW w:w="60" w:type="dxa"/>
            <w:tcBorders/>
            <w:shd w:fill="EEEEEE" w:val="clear"/>
            <w:vAlign w:val="center"/>
          </w:tcPr>
          <w:p>
            <w:pPr>
              <w:pStyle w:val="TableContents"/>
              <w:bidi w:val="0"/>
              <w:spacing w:before="0" w:after="283"/>
              <w:jc w:val="left"/>
              <w:rPr/>
            </w:pPr>
            <w:r>
              <w:rPr/>
              <w:t> </w:t>
            </w:r>
          </w:p>
        </w:tc>
        <w:tc>
          <w:tcPr>
            <w:tcW w:w="145" w:type="dxa"/>
            <w:tcBorders/>
            <w:shd w:fill="EEEEEE" w:val="clear"/>
            <w:vAlign w:val="center"/>
          </w:tcPr>
          <w:p>
            <w:pPr>
              <w:pStyle w:val="TableContents"/>
              <w:bidi w:val="0"/>
              <w:spacing w:before="0" w:after="283"/>
              <w:jc w:val="left"/>
              <w:rPr/>
            </w:pPr>
            <w:r>
              <w:rPr/>
              <w:t>$</w:t>
            </w:r>
          </w:p>
        </w:tc>
        <w:tc>
          <w:tcPr>
            <w:tcW w:w="1225" w:type="dxa"/>
            <w:tcBorders/>
            <w:shd w:fill="EEEEEE" w:val="clear"/>
            <w:vAlign w:val="center"/>
          </w:tcPr>
          <w:p>
            <w:pPr>
              <w:pStyle w:val="TableContents"/>
              <w:bidi w:val="0"/>
              <w:spacing w:before="0" w:after="283"/>
              <w:jc w:val="right"/>
              <w:rPr/>
            </w:pPr>
            <w:r>
              <w:rPr/>
              <w:t>88,902,048</w:t>
            </w:r>
          </w:p>
        </w:tc>
        <w:tc>
          <w:tcPr>
            <w:tcW w:w="98" w:type="dxa"/>
            <w:tcBorders/>
            <w:shd w:fill="EEEEEE" w:val="clear"/>
            <w:vAlign w:val="center"/>
          </w:tcPr>
          <w:p>
            <w:pPr>
              <w:pStyle w:val="TableContents"/>
              <w:bidi w:val="0"/>
              <w:spacing w:before="0" w:after="283"/>
              <w:jc w:val="left"/>
              <w:rPr/>
            </w:pPr>
            <w:r>
              <w:rPr/>
              <w:t> </w:t>
            </w:r>
          </w:p>
        </w:tc>
        <w:tc>
          <w:tcPr>
            <w:tcW w:w="61" w:type="dxa"/>
            <w:tcBorders/>
            <w:shd w:fill="EEEEEE" w:val="clear"/>
            <w:vAlign w:val="center"/>
          </w:tcPr>
          <w:p>
            <w:pPr>
              <w:pStyle w:val="TableContents"/>
              <w:bidi w:val="0"/>
              <w:spacing w:before="0" w:after="283"/>
              <w:jc w:val="left"/>
              <w:rPr/>
            </w:pPr>
            <w:r>
              <w:rPr/>
              <w:t> </w:t>
            </w:r>
          </w:p>
        </w:tc>
        <w:tc>
          <w:tcPr>
            <w:tcW w:w="145" w:type="dxa"/>
            <w:tcBorders/>
            <w:shd w:fill="EEEEEE" w:val="clear"/>
            <w:vAlign w:val="center"/>
          </w:tcPr>
          <w:p>
            <w:pPr>
              <w:pStyle w:val="TableContents"/>
              <w:bidi w:val="0"/>
              <w:spacing w:before="0" w:after="283"/>
              <w:jc w:val="left"/>
              <w:rPr/>
            </w:pPr>
            <w:r>
              <w:rPr/>
              <w:t>$</w:t>
            </w:r>
          </w:p>
        </w:tc>
        <w:tc>
          <w:tcPr>
            <w:tcW w:w="1147" w:type="dxa"/>
            <w:tcBorders/>
            <w:shd w:fill="EEEEEE" w:val="clear"/>
            <w:vAlign w:val="center"/>
          </w:tcPr>
          <w:p>
            <w:pPr>
              <w:pStyle w:val="TableContents"/>
              <w:bidi w:val="0"/>
              <w:spacing w:before="0" w:after="283"/>
              <w:jc w:val="right"/>
              <w:rPr/>
            </w:pPr>
            <w:r>
              <w:rPr/>
              <w:t>79,418,473</w:t>
            </w:r>
          </w:p>
        </w:tc>
        <w:tc>
          <w:tcPr>
            <w:tcW w:w="114" w:type="dxa"/>
            <w:tcBorders/>
            <w:shd w:fill="EEEEEE" w:val="clear"/>
            <w:vAlign w:val="center"/>
          </w:tcPr>
          <w:p>
            <w:pPr>
              <w:pStyle w:val="TableContents"/>
              <w:bidi w:val="0"/>
              <w:spacing w:before="0" w:after="283"/>
              <w:jc w:val="left"/>
              <w:rPr/>
            </w:pPr>
            <w:r>
              <w:rPr/>
              <w:t> </w:t>
            </w:r>
          </w:p>
        </w:tc>
      </w:tr>
      <w:tr>
        <w:trPr/>
        <w:tc>
          <w:tcPr>
            <w:tcW w:w="721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7"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125" w:name="xdx_408_eus-gaap--Revenues_iT_mtCznUe_ma"/>
            <w:bookmarkEnd w:id="125"/>
          </w:p>
        </w:tc>
      </w:tr>
      <w:tr>
        <w:trPr/>
        <w:tc>
          <w:tcPr>
            <w:tcW w:w="7210" w:type="dxa"/>
            <w:tcBorders/>
            <w:shd w:fill="EEEEEE" w:val="clear"/>
            <w:vAlign w:val="center"/>
          </w:tcPr>
          <w:p>
            <w:pPr>
              <w:pStyle w:val="TableContents"/>
              <w:bidi w:val="0"/>
              <w:spacing w:before="0" w:after="283"/>
              <w:jc w:val="left"/>
              <w:rPr/>
            </w:pPr>
            <w:r>
              <w:rPr/>
              <w:t>TOTAL REVENUES</w:t>
            </w:r>
          </w:p>
        </w:tc>
        <w:tc>
          <w:tcPr>
            <w:tcW w:w="60" w:type="dxa"/>
            <w:tcBorders/>
            <w:shd w:fill="EEEEEE" w:val="clear"/>
            <w:vAlign w:val="center"/>
          </w:tcPr>
          <w:p>
            <w:pPr>
              <w:pStyle w:val="TableContents"/>
              <w:bidi w:val="0"/>
              <w:spacing w:before="0" w:after="283"/>
              <w:jc w:val="left"/>
              <w:rPr/>
            </w:pPr>
            <w:r>
              <w:rPr/>
              <w:t> </w:t>
            </w:r>
          </w:p>
        </w:tc>
        <w:tc>
          <w:tcPr>
            <w:tcW w:w="145" w:type="dxa"/>
            <w:tcBorders/>
            <w:shd w:fill="EEEEEE" w:val="clear"/>
            <w:vAlign w:val="center"/>
          </w:tcPr>
          <w:p>
            <w:pPr>
              <w:pStyle w:val="TableContents"/>
              <w:bidi w:val="0"/>
              <w:spacing w:before="0" w:after="283"/>
              <w:jc w:val="left"/>
              <w:rPr/>
            </w:pPr>
            <w:r>
              <w:rPr/>
              <w:t> </w:t>
            </w:r>
          </w:p>
        </w:tc>
        <w:tc>
          <w:tcPr>
            <w:tcW w:w="1225" w:type="dxa"/>
            <w:tcBorders/>
            <w:shd w:fill="EEEEEE" w:val="clear"/>
            <w:vAlign w:val="center"/>
          </w:tcPr>
          <w:p>
            <w:pPr>
              <w:pStyle w:val="TableContents"/>
              <w:bidi w:val="0"/>
              <w:spacing w:before="0" w:after="283"/>
              <w:jc w:val="right"/>
              <w:rPr/>
            </w:pPr>
            <w:r>
              <w:rPr/>
              <w:t>88,902,048</w:t>
            </w:r>
          </w:p>
        </w:tc>
        <w:tc>
          <w:tcPr>
            <w:tcW w:w="98" w:type="dxa"/>
            <w:tcBorders/>
            <w:shd w:fill="EEEEEE" w:val="clear"/>
            <w:vAlign w:val="center"/>
          </w:tcPr>
          <w:p>
            <w:pPr>
              <w:pStyle w:val="TableContents"/>
              <w:bidi w:val="0"/>
              <w:spacing w:before="0" w:after="283"/>
              <w:jc w:val="left"/>
              <w:rPr/>
            </w:pPr>
            <w:r>
              <w:rPr/>
              <w:t> </w:t>
            </w:r>
          </w:p>
        </w:tc>
        <w:tc>
          <w:tcPr>
            <w:tcW w:w="61" w:type="dxa"/>
            <w:tcBorders/>
            <w:shd w:fill="EEEEEE" w:val="clear"/>
            <w:vAlign w:val="center"/>
          </w:tcPr>
          <w:p>
            <w:pPr>
              <w:pStyle w:val="TableContents"/>
              <w:bidi w:val="0"/>
              <w:spacing w:before="0" w:after="283"/>
              <w:jc w:val="left"/>
              <w:rPr/>
            </w:pPr>
            <w:r>
              <w:rPr/>
              <w:t> </w:t>
            </w:r>
          </w:p>
        </w:tc>
        <w:tc>
          <w:tcPr>
            <w:tcW w:w="145" w:type="dxa"/>
            <w:tcBorders/>
            <w:shd w:fill="EEEEEE" w:val="clear"/>
            <w:vAlign w:val="center"/>
          </w:tcPr>
          <w:p>
            <w:pPr>
              <w:pStyle w:val="TableContents"/>
              <w:bidi w:val="0"/>
              <w:spacing w:before="0" w:after="283"/>
              <w:jc w:val="left"/>
              <w:rPr/>
            </w:pPr>
            <w:r>
              <w:rPr/>
              <w:t> </w:t>
            </w:r>
          </w:p>
        </w:tc>
        <w:tc>
          <w:tcPr>
            <w:tcW w:w="1147" w:type="dxa"/>
            <w:tcBorders/>
            <w:shd w:fill="EEEEEE" w:val="clear"/>
            <w:vAlign w:val="center"/>
          </w:tcPr>
          <w:p>
            <w:pPr>
              <w:pStyle w:val="TableContents"/>
              <w:bidi w:val="0"/>
              <w:spacing w:before="0" w:after="283"/>
              <w:jc w:val="right"/>
              <w:rPr/>
            </w:pPr>
            <w:r>
              <w:rPr/>
              <w:t>79,418,473</w:t>
            </w:r>
          </w:p>
        </w:tc>
        <w:tc>
          <w:tcPr>
            <w:tcW w:w="114" w:type="dxa"/>
            <w:tcBorders/>
            <w:shd w:fill="EEEEEE" w:val="clear"/>
            <w:vAlign w:val="center"/>
          </w:tcPr>
          <w:p>
            <w:pPr>
              <w:pStyle w:val="TableContents"/>
              <w:bidi w:val="0"/>
              <w:spacing w:before="0" w:after="283"/>
              <w:jc w:val="left"/>
              <w:rPr/>
            </w:pPr>
            <w:r>
              <w:rPr/>
              <w:t> </w:t>
            </w:r>
          </w:p>
        </w:tc>
      </w:tr>
      <w:tr>
        <w:trPr/>
        <w:tc>
          <w:tcPr>
            <w:tcW w:w="721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126" w:name="xdx_408_eus-gaap--CostOfRevenue_msCzRoy_"/>
            <w:bookmarkEnd w:id="126"/>
          </w:p>
        </w:tc>
      </w:tr>
      <w:tr>
        <w:trPr/>
        <w:tc>
          <w:tcPr>
            <w:tcW w:w="7210" w:type="dxa"/>
            <w:tcBorders/>
            <w:shd w:fill="EEEEEE" w:val="clear"/>
            <w:vAlign w:val="center"/>
          </w:tcPr>
          <w:p>
            <w:pPr>
              <w:pStyle w:val="TableContents"/>
              <w:bidi w:val="0"/>
              <w:spacing w:before="0" w:after="283"/>
              <w:jc w:val="left"/>
              <w:rPr/>
            </w:pPr>
            <w:r>
              <w:rPr/>
              <w:t>COST OF REVENUES</w:t>
            </w:r>
          </w:p>
        </w:tc>
        <w:tc>
          <w:tcPr>
            <w:tcW w:w="60" w:type="dxa"/>
            <w:tcBorders/>
            <w:shd w:fill="EEEEEE" w:val="clear"/>
            <w:vAlign w:val="center"/>
          </w:tcPr>
          <w:p>
            <w:pPr>
              <w:pStyle w:val="TableContents"/>
              <w:bidi w:val="0"/>
              <w:spacing w:before="0" w:after="283"/>
              <w:jc w:val="left"/>
              <w:rPr/>
            </w:pPr>
            <w:r>
              <w:rPr/>
              <w:t> </w:t>
            </w:r>
          </w:p>
        </w:tc>
        <w:tc>
          <w:tcPr>
            <w:tcW w:w="145" w:type="dxa"/>
            <w:tcBorders/>
            <w:shd w:fill="EEEEEE" w:val="clear"/>
            <w:vAlign w:val="center"/>
          </w:tcPr>
          <w:p>
            <w:pPr>
              <w:pStyle w:val="TableContents"/>
              <w:bidi w:val="0"/>
              <w:spacing w:before="0" w:after="283"/>
              <w:jc w:val="left"/>
              <w:rPr/>
            </w:pPr>
            <w:r>
              <w:rPr/>
              <w:t> </w:t>
            </w:r>
          </w:p>
        </w:tc>
        <w:tc>
          <w:tcPr>
            <w:tcW w:w="1225" w:type="dxa"/>
            <w:tcBorders/>
            <w:shd w:fill="EEEEEE" w:val="clear"/>
            <w:vAlign w:val="center"/>
          </w:tcPr>
          <w:p>
            <w:pPr>
              <w:pStyle w:val="TableContents"/>
              <w:bidi w:val="0"/>
              <w:spacing w:before="0" w:after="283"/>
              <w:jc w:val="right"/>
              <w:rPr/>
            </w:pPr>
            <w:r>
              <w:rPr/>
              <w:t>54,104,587</w:t>
            </w:r>
          </w:p>
        </w:tc>
        <w:tc>
          <w:tcPr>
            <w:tcW w:w="98" w:type="dxa"/>
            <w:tcBorders/>
            <w:shd w:fill="EEEEEE" w:val="clear"/>
            <w:vAlign w:val="center"/>
          </w:tcPr>
          <w:p>
            <w:pPr>
              <w:pStyle w:val="TableContents"/>
              <w:bidi w:val="0"/>
              <w:spacing w:before="0" w:after="283"/>
              <w:jc w:val="left"/>
              <w:rPr/>
            </w:pPr>
            <w:r>
              <w:rPr/>
              <w:t> </w:t>
            </w:r>
          </w:p>
        </w:tc>
        <w:tc>
          <w:tcPr>
            <w:tcW w:w="61" w:type="dxa"/>
            <w:tcBorders/>
            <w:shd w:fill="EEEEEE" w:val="clear"/>
            <w:vAlign w:val="center"/>
          </w:tcPr>
          <w:p>
            <w:pPr>
              <w:pStyle w:val="TableContents"/>
              <w:bidi w:val="0"/>
              <w:spacing w:before="0" w:after="283"/>
              <w:jc w:val="left"/>
              <w:rPr/>
            </w:pPr>
            <w:r>
              <w:rPr/>
              <w:t> </w:t>
            </w:r>
          </w:p>
        </w:tc>
        <w:tc>
          <w:tcPr>
            <w:tcW w:w="145" w:type="dxa"/>
            <w:tcBorders/>
            <w:shd w:fill="EEEEEE" w:val="clear"/>
            <w:vAlign w:val="center"/>
          </w:tcPr>
          <w:p>
            <w:pPr>
              <w:pStyle w:val="TableContents"/>
              <w:bidi w:val="0"/>
              <w:spacing w:before="0" w:after="283"/>
              <w:jc w:val="left"/>
              <w:rPr/>
            </w:pPr>
            <w:r>
              <w:rPr/>
              <w:t> </w:t>
            </w:r>
          </w:p>
        </w:tc>
        <w:tc>
          <w:tcPr>
            <w:tcW w:w="1147" w:type="dxa"/>
            <w:tcBorders/>
            <w:shd w:fill="EEEEEE" w:val="clear"/>
            <w:vAlign w:val="center"/>
          </w:tcPr>
          <w:p>
            <w:pPr>
              <w:pStyle w:val="TableContents"/>
              <w:bidi w:val="0"/>
              <w:spacing w:before="0" w:after="283"/>
              <w:jc w:val="right"/>
              <w:rPr/>
            </w:pPr>
            <w:r>
              <w:rPr/>
              <w:t>46,218,580</w:t>
            </w:r>
          </w:p>
        </w:tc>
        <w:tc>
          <w:tcPr>
            <w:tcW w:w="114" w:type="dxa"/>
            <w:tcBorders/>
            <w:shd w:fill="EEEEEE" w:val="clear"/>
            <w:vAlign w:val="center"/>
          </w:tcPr>
          <w:p>
            <w:pPr>
              <w:pStyle w:val="TableContents"/>
              <w:bidi w:val="0"/>
              <w:spacing w:before="0" w:after="283"/>
              <w:jc w:val="left"/>
              <w:rPr/>
            </w:pPr>
            <w:r>
              <w:rPr/>
              <w:t> </w:t>
            </w:r>
          </w:p>
        </w:tc>
      </w:tr>
      <w:tr>
        <w:trPr/>
        <w:tc>
          <w:tcPr>
            <w:tcW w:w="721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7"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127" w:name="xdx_400_eus-gaap--GrossProfit_iT_mtCzRoy"/>
            <w:bookmarkEnd w:id="127"/>
          </w:p>
        </w:tc>
      </w:tr>
      <w:tr>
        <w:trPr/>
        <w:tc>
          <w:tcPr>
            <w:tcW w:w="7210" w:type="dxa"/>
            <w:tcBorders/>
            <w:shd w:fill="EEEEEE" w:val="clear"/>
            <w:vAlign w:val="center"/>
          </w:tcPr>
          <w:p>
            <w:pPr>
              <w:pStyle w:val="TableContents"/>
              <w:bidi w:val="0"/>
              <w:spacing w:before="0" w:after="283"/>
              <w:jc w:val="left"/>
              <w:rPr/>
            </w:pPr>
            <w:r>
              <w:rPr/>
              <w:t>GROSS PROFIT</w:t>
            </w:r>
          </w:p>
        </w:tc>
        <w:tc>
          <w:tcPr>
            <w:tcW w:w="60" w:type="dxa"/>
            <w:tcBorders/>
            <w:shd w:fill="EEEEEE" w:val="clear"/>
            <w:vAlign w:val="center"/>
          </w:tcPr>
          <w:p>
            <w:pPr>
              <w:pStyle w:val="TableContents"/>
              <w:bidi w:val="0"/>
              <w:spacing w:before="0" w:after="283"/>
              <w:jc w:val="left"/>
              <w:rPr/>
            </w:pPr>
            <w:r>
              <w:rPr/>
              <w:t> </w:t>
            </w:r>
          </w:p>
        </w:tc>
        <w:tc>
          <w:tcPr>
            <w:tcW w:w="145"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225" w:type="dxa"/>
            <w:tcBorders>
              <w:bottom w:val="single" w:sz="8" w:space="0" w:color="000000"/>
            </w:tcBorders>
            <w:shd w:fill="EEEEEE" w:val="clear"/>
            <w:tcMar>
              <w:bottom w:w="28" w:type="dxa"/>
            </w:tcMar>
            <w:vAlign w:val="center"/>
          </w:tcPr>
          <w:p>
            <w:pPr>
              <w:pStyle w:val="TableContents"/>
              <w:bidi w:val="0"/>
              <w:spacing w:before="0" w:after="283"/>
              <w:jc w:val="right"/>
              <w:rPr/>
            </w:pPr>
            <w:r>
              <w:rPr/>
              <w:t>34,797,461</w:t>
            </w:r>
          </w:p>
        </w:tc>
        <w:tc>
          <w:tcPr>
            <w:tcW w:w="98" w:type="dxa"/>
            <w:tcBorders/>
            <w:shd w:fill="EEEEEE" w:val="clear"/>
            <w:vAlign w:val="center"/>
          </w:tcPr>
          <w:p>
            <w:pPr>
              <w:pStyle w:val="TableContents"/>
              <w:bidi w:val="0"/>
              <w:spacing w:before="0" w:after="283"/>
              <w:jc w:val="left"/>
              <w:rPr/>
            </w:pPr>
            <w:r>
              <w:rPr/>
              <w:t> </w:t>
            </w:r>
          </w:p>
        </w:tc>
        <w:tc>
          <w:tcPr>
            <w:tcW w:w="61" w:type="dxa"/>
            <w:tcBorders/>
            <w:shd w:fill="EEEEEE" w:val="clear"/>
            <w:vAlign w:val="center"/>
          </w:tcPr>
          <w:p>
            <w:pPr>
              <w:pStyle w:val="TableContents"/>
              <w:bidi w:val="0"/>
              <w:spacing w:before="0" w:after="283"/>
              <w:jc w:val="left"/>
              <w:rPr/>
            </w:pPr>
            <w:r>
              <w:rPr/>
              <w:t> </w:t>
            </w:r>
          </w:p>
        </w:tc>
        <w:tc>
          <w:tcPr>
            <w:tcW w:w="145"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47" w:type="dxa"/>
            <w:tcBorders>
              <w:bottom w:val="single" w:sz="8" w:space="0" w:color="000000"/>
            </w:tcBorders>
            <w:shd w:fill="EEEEEE" w:val="clear"/>
            <w:tcMar>
              <w:bottom w:w="28" w:type="dxa"/>
            </w:tcMar>
            <w:vAlign w:val="center"/>
          </w:tcPr>
          <w:p>
            <w:pPr>
              <w:pStyle w:val="TableContents"/>
              <w:bidi w:val="0"/>
              <w:spacing w:before="0" w:after="283"/>
              <w:jc w:val="right"/>
              <w:rPr/>
            </w:pPr>
            <w:r>
              <w:rPr/>
              <w:t>33,199,893</w:t>
            </w:r>
          </w:p>
        </w:tc>
        <w:tc>
          <w:tcPr>
            <w:tcW w:w="114" w:type="dxa"/>
            <w:tcBorders/>
            <w:shd w:fill="EEEEEE" w:val="clear"/>
            <w:vAlign w:val="center"/>
          </w:tcPr>
          <w:p>
            <w:pPr>
              <w:pStyle w:val="TableContents"/>
              <w:bidi w:val="0"/>
              <w:spacing w:before="0" w:after="283"/>
              <w:jc w:val="left"/>
              <w:rPr/>
            </w:pPr>
            <w:r>
              <w:rPr/>
              <w:t> </w:t>
            </w:r>
          </w:p>
        </w:tc>
      </w:tr>
      <w:tr>
        <w:trPr/>
        <w:tc>
          <w:tcPr>
            <w:tcW w:w="721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128" w:name="xdx_40E_eus-gaap--OperatingExpensesAbstr"/>
            <w:bookmarkEnd w:id="128"/>
          </w:p>
        </w:tc>
      </w:tr>
      <w:tr>
        <w:trPr/>
        <w:tc>
          <w:tcPr>
            <w:tcW w:w="7210" w:type="dxa"/>
            <w:tcBorders/>
            <w:shd w:fill="EEEEEE" w:val="clear"/>
            <w:vAlign w:val="center"/>
          </w:tcPr>
          <w:p>
            <w:pPr>
              <w:pStyle w:val="TableContents"/>
              <w:bidi w:val="0"/>
              <w:spacing w:before="0" w:after="283"/>
              <w:jc w:val="left"/>
              <w:rPr/>
            </w:pPr>
            <w:r>
              <w:rPr/>
              <w:t>OPERATING EXPENSES:</w:t>
            </w:r>
          </w:p>
        </w:tc>
        <w:tc>
          <w:tcPr>
            <w:tcW w:w="60" w:type="dxa"/>
            <w:tcBorders/>
            <w:shd w:fill="EEEEEE" w:val="clear"/>
            <w:vAlign w:val="center"/>
          </w:tcPr>
          <w:p>
            <w:pPr>
              <w:pStyle w:val="TableContents"/>
              <w:bidi w:val="0"/>
              <w:spacing w:before="0" w:after="283"/>
              <w:jc w:val="left"/>
              <w:rPr/>
            </w:pPr>
            <w:r>
              <w:rPr/>
              <w:t> </w:t>
            </w:r>
          </w:p>
        </w:tc>
        <w:tc>
          <w:tcPr>
            <w:tcW w:w="145" w:type="dxa"/>
            <w:tcBorders/>
            <w:shd w:fill="EEEEEE" w:val="clear"/>
            <w:vAlign w:val="center"/>
          </w:tcPr>
          <w:p>
            <w:pPr>
              <w:pStyle w:val="TableContents"/>
              <w:bidi w:val="0"/>
              <w:spacing w:before="0" w:after="283"/>
              <w:jc w:val="left"/>
              <w:rPr/>
            </w:pPr>
            <w:r>
              <w:rPr/>
              <w:t> </w:t>
            </w:r>
          </w:p>
        </w:tc>
        <w:tc>
          <w:tcPr>
            <w:tcW w:w="1225" w:type="dxa"/>
            <w:tcBorders/>
            <w:shd w:fill="EEEEEE" w:val="clear"/>
            <w:vAlign w:val="center"/>
          </w:tcPr>
          <w:p>
            <w:pPr>
              <w:pStyle w:val="TableContents"/>
              <w:bidi w:val="0"/>
              <w:spacing w:before="0" w:after="283"/>
              <w:jc w:val="right"/>
              <w:rPr/>
            </w:pPr>
            <w:r>
              <w:rPr/>
              <w:t> </w:t>
            </w:r>
          </w:p>
        </w:tc>
        <w:tc>
          <w:tcPr>
            <w:tcW w:w="98" w:type="dxa"/>
            <w:tcBorders/>
            <w:shd w:fill="EEEEEE" w:val="clear"/>
            <w:vAlign w:val="center"/>
          </w:tcPr>
          <w:p>
            <w:pPr>
              <w:pStyle w:val="TableContents"/>
              <w:bidi w:val="0"/>
              <w:spacing w:before="0" w:after="283"/>
              <w:jc w:val="left"/>
              <w:rPr/>
            </w:pPr>
            <w:r>
              <w:rPr/>
              <w:t> </w:t>
            </w:r>
          </w:p>
        </w:tc>
        <w:tc>
          <w:tcPr>
            <w:tcW w:w="61" w:type="dxa"/>
            <w:tcBorders/>
            <w:shd w:fill="EEEEEE" w:val="clear"/>
            <w:vAlign w:val="center"/>
          </w:tcPr>
          <w:p>
            <w:pPr>
              <w:pStyle w:val="TableContents"/>
              <w:bidi w:val="0"/>
              <w:spacing w:before="0" w:after="283"/>
              <w:jc w:val="left"/>
              <w:rPr/>
            </w:pPr>
            <w:r>
              <w:rPr/>
              <w:t> </w:t>
            </w:r>
          </w:p>
        </w:tc>
        <w:tc>
          <w:tcPr>
            <w:tcW w:w="145" w:type="dxa"/>
            <w:tcBorders/>
            <w:shd w:fill="EEEEEE" w:val="clear"/>
            <w:vAlign w:val="center"/>
          </w:tcPr>
          <w:p>
            <w:pPr>
              <w:pStyle w:val="TableContents"/>
              <w:bidi w:val="0"/>
              <w:spacing w:before="0" w:after="283"/>
              <w:jc w:val="left"/>
              <w:rPr/>
            </w:pPr>
            <w:r>
              <w:rPr/>
              <w:t> </w:t>
            </w:r>
          </w:p>
        </w:tc>
        <w:tc>
          <w:tcPr>
            <w:tcW w:w="1147" w:type="dxa"/>
            <w:tcBorders/>
            <w:shd w:fill="EEEEEE" w:val="clear"/>
            <w:vAlign w:val="center"/>
          </w:tcPr>
          <w:p>
            <w:pPr>
              <w:pStyle w:val="TableContents"/>
              <w:bidi w:val="0"/>
              <w:spacing w:before="0" w:after="283"/>
              <w:jc w:val="right"/>
              <w:rPr/>
            </w:pPr>
            <w:r>
              <w:rPr/>
              <w:t> </w:t>
            </w:r>
          </w:p>
        </w:tc>
        <w:tc>
          <w:tcPr>
            <w:tcW w:w="114" w:type="dxa"/>
            <w:tcBorders/>
            <w:shd w:fill="EEEEEE" w:val="clear"/>
            <w:vAlign w:val="center"/>
          </w:tcPr>
          <w:p>
            <w:pPr>
              <w:pStyle w:val="TableContents"/>
              <w:bidi w:val="0"/>
              <w:spacing w:before="0" w:after="283"/>
              <w:jc w:val="left"/>
              <w:rPr/>
            </w:pPr>
            <w:r>
              <w:rPr/>
              <w:t> </w:t>
            </w:r>
            <w:bookmarkStart w:id="129" w:name="xdx_403_ecustom--SellingAndFulfillment_i"/>
            <w:bookmarkEnd w:id="129"/>
          </w:p>
        </w:tc>
      </w:tr>
      <w:tr>
        <w:trPr/>
        <w:tc>
          <w:tcPr>
            <w:tcW w:w="7210" w:type="dxa"/>
            <w:tcBorders/>
            <w:shd w:fill="FFFFFF" w:val="clear"/>
            <w:vAlign w:val="center"/>
          </w:tcPr>
          <w:p>
            <w:pPr>
              <w:pStyle w:val="TableContents"/>
              <w:bidi w:val="0"/>
              <w:spacing w:before="0" w:after="283"/>
              <w:jc w:val="left"/>
              <w:rPr/>
            </w:pPr>
            <w:r>
              <w:rPr/>
              <w:t>Selling and fulfillment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32,427,972</w:t>
            </w:r>
          </w:p>
        </w:tc>
        <w:tc>
          <w:tcPr>
            <w:tcW w:w="9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19,180,390</w:t>
            </w:r>
          </w:p>
        </w:tc>
        <w:tc>
          <w:tcPr>
            <w:tcW w:w="114" w:type="dxa"/>
            <w:tcBorders/>
            <w:shd w:fill="FFFFFF" w:val="clear"/>
            <w:vAlign w:val="center"/>
          </w:tcPr>
          <w:p>
            <w:pPr>
              <w:pStyle w:val="TableContents"/>
              <w:bidi w:val="0"/>
              <w:spacing w:before="0" w:after="283"/>
              <w:jc w:val="left"/>
              <w:rPr/>
            </w:pPr>
            <w:r>
              <w:rPr/>
              <w:t> </w:t>
            </w:r>
            <w:bookmarkStart w:id="130" w:name="xdx_402_eus-gaap--SellingGeneralAndAdmin"/>
            <w:bookmarkEnd w:id="130"/>
          </w:p>
        </w:tc>
      </w:tr>
      <w:tr>
        <w:trPr/>
        <w:tc>
          <w:tcPr>
            <w:tcW w:w="7210" w:type="dxa"/>
            <w:tcBorders/>
            <w:shd w:fill="EEEEEE" w:val="clear"/>
            <w:vAlign w:val="center"/>
          </w:tcPr>
          <w:p>
            <w:pPr>
              <w:pStyle w:val="TableContents"/>
              <w:bidi w:val="0"/>
              <w:spacing w:before="0" w:after="283"/>
              <w:jc w:val="left"/>
              <w:rPr/>
            </w:pPr>
            <w:r>
              <w:rPr/>
              <w:t>General and administrative</w:t>
            </w:r>
          </w:p>
        </w:tc>
        <w:tc>
          <w:tcPr>
            <w:tcW w:w="60" w:type="dxa"/>
            <w:tcBorders/>
            <w:shd w:fill="EEEEEE" w:val="clear"/>
            <w:vAlign w:val="center"/>
          </w:tcPr>
          <w:p>
            <w:pPr>
              <w:pStyle w:val="TableContents"/>
              <w:bidi w:val="0"/>
              <w:spacing w:before="0" w:after="283"/>
              <w:jc w:val="left"/>
              <w:rPr/>
            </w:pPr>
            <w:r>
              <w:rPr/>
              <w:t> </w:t>
            </w:r>
          </w:p>
        </w:tc>
        <w:tc>
          <w:tcPr>
            <w:tcW w:w="145" w:type="dxa"/>
            <w:tcBorders/>
            <w:shd w:fill="EEEEEE" w:val="clear"/>
            <w:vAlign w:val="center"/>
          </w:tcPr>
          <w:p>
            <w:pPr>
              <w:pStyle w:val="TableContents"/>
              <w:bidi w:val="0"/>
              <w:spacing w:before="0" w:after="283"/>
              <w:jc w:val="left"/>
              <w:rPr/>
            </w:pPr>
            <w:r>
              <w:rPr/>
              <w:t> </w:t>
            </w:r>
          </w:p>
        </w:tc>
        <w:tc>
          <w:tcPr>
            <w:tcW w:w="1225" w:type="dxa"/>
            <w:tcBorders/>
            <w:shd w:fill="EEEEEE" w:val="clear"/>
            <w:vAlign w:val="center"/>
          </w:tcPr>
          <w:p>
            <w:pPr>
              <w:pStyle w:val="TableContents"/>
              <w:bidi w:val="0"/>
              <w:spacing w:before="0" w:after="283"/>
              <w:jc w:val="right"/>
              <w:rPr/>
            </w:pPr>
            <w:r>
              <w:rPr/>
              <w:t>12,792,998</w:t>
            </w:r>
          </w:p>
        </w:tc>
        <w:tc>
          <w:tcPr>
            <w:tcW w:w="98" w:type="dxa"/>
            <w:tcBorders/>
            <w:shd w:fill="EEEEEE" w:val="clear"/>
            <w:vAlign w:val="center"/>
          </w:tcPr>
          <w:p>
            <w:pPr>
              <w:pStyle w:val="TableContents"/>
              <w:bidi w:val="0"/>
              <w:spacing w:before="0" w:after="283"/>
              <w:jc w:val="left"/>
              <w:rPr/>
            </w:pPr>
            <w:r>
              <w:rPr/>
              <w:t> </w:t>
            </w:r>
          </w:p>
        </w:tc>
        <w:tc>
          <w:tcPr>
            <w:tcW w:w="61" w:type="dxa"/>
            <w:tcBorders/>
            <w:shd w:fill="EEEEEE" w:val="clear"/>
            <w:vAlign w:val="center"/>
          </w:tcPr>
          <w:p>
            <w:pPr>
              <w:pStyle w:val="TableContents"/>
              <w:bidi w:val="0"/>
              <w:spacing w:before="0" w:after="283"/>
              <w:jc w:val="left"/>
              <w:rPr/>
            </w:pPr>
            <w:r>
              <w:rPr/>
              <w:t> </w:t>
            </w:r>
          </w:p>
        </w:tc>
        <w:tc>
          <w:tcPr>
            <w:tcW w:w="145" w:type="dxa"/>
            <w:tcBorders/>
            <w:shd w:fill="EEEEEE" w:val="clear"/>
            <w:vAlign w:val="center"/>
          </w:tcPr>
          <w:p>
            <w:pPr>
              <w:pStyle w:val="TableContents"/>
              <w:bidi w:val="0"/>
              <w:spacing w:before="0" w:after="283"/>
              <w:jc w:val="left"/>
              <w:rPr/>
            </w:pPr>
            <w:r>
              <w:rPr/>
              <w:t> </w:t>
            </w:r>
          </w:p>
        </w:tc>
        <w:tc>
          <w:tcPr>
            <w:tcW w:w="1147" w:type="dxa"/>
            <w:tcBorders/>
            <w:shd w:fill="EEEEEE" w:val="clear"/>
            <w:vAlign w:val="center"/>
          </w:tcPr>
          <w:p>
            <w:pPr>
              <w:pStyle w:val="TableContents"/>
              <w:bidi w:val="0"/>
              <w:spacing w:before="0" w:after="283"/>
              <w:jc w:val="right"/>
              <w:rPr/>
            </w:pPr>
            <w:r>
              <w:rPr/>
              <w:t>11,707,466</w:t>
            </w:r>
          </w:p>
        </w:tc>
        <w:tc>
          <w:tcPr>
            <w:tcW w:w="114" w:type="dxa"/>
            <w:tcBorders/>
            <w:shd w:fill="EEEEEE" w:val="clear"/>
            <w:vAlign w:val="center"/>
          </w:tcPr>
          <w:p>
            <w:pPr>
              <w:pStyle w:val="TableContents"/>
              <w:bidi w:val="0"/>
              <w:spacing w:before="0" w:after="283"/>
              <w:jc w:val="left"/>
              <w:rPr/>
            </w:pPr>
            <w:r>
              <w:rPr/>
              <w:t> </w:t>
            </w:r>
            <w:bookmarkStart w:id="131" w:name="xdx_40A_eus-gaap--GoodwillImpairmentLoss"/>
            <w:bookmarkEnd w:id="131"/>
          </w:p>
        </w:tc>
      </w:tr>
      <w:tr>
        <w:trPr/>
        <w:tc>
          <w:tcPr>
            <w:tcW w:w="7210" w:type="dxa"/>
            <w:tcBorders/>
            <w:shd w:fill="FFFFFF" w:val="clear"/>
            <w:vAlign w:val="center"/>
          </w:tcPr>
          <w:p>
            <w:pPr>
              <w:pStyle w:val="TableContents"/>
              <w:bidi w:val="0"/>
              <w:spacing w:before="0" w:after="283"/>
              <w:jc w:val="left"/>
              <w:rPr/>
            </w:pPr>
            <w:r>
              <w:rPr/>
              <w:t>Impairment loss - goodwill</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5" w:type="dxa"/>
            <w:tcBorders>
              <w:bottom w:val="single" w:sz="8" w:space="0" w:color="000000"/>
            </w:tcBorders>
            <w:shd w:fill="FFFFFF" w:val="clear"/>
            <w:tcMar>
              <w:bottom w:w="28" w:type="dxa"/>
            </w:tcMar>
            <w:vAlign w:val="center"/>
          </w:tcPr>
          <w:p>
            <w:pPr>
              <w:pStyle w:val="TableContents"/>
              <w:bidi w:val="0"/>
              <w:spacing w:before="0" w:after="283"/>
              <w:jc w:val="right"/>
              <w:rPr/>
            </w:pPr>
            <w:r>
              <w:rPr/>
              <w:t>3,060,034</w:t>
            </w:r>
          </w:p>
        </w:tc>
        <w:tc>
          <w:tcPr>
            <w:tcW w:w="9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bookmarkStart w:id="132" w:name="xdx_401_eus-gaap--OperatingExpenses_i01T"/>
            <w:bookmarkEnd w:id="132"/>
          </w:p>
        </w:tc>
      </w:tr>
      <w:tr>
        <w:trPr/>
        <w:tc>
          <w:tcPr>
            <w:tcW w:w="7210" w:type="dxa"/>
            <w:tcBorders/>
            <w:shd w:fill="EEEEEE" w:val="clear"/>
            <w:vAlign w:val="center"/>
          </w:tcPr>
          <w:p>
            <w:pPr>
              <w:pStyle w:val="TableContents"/>
              <w:bidi w:val="0"/>
              <w:spacing w:before="0" w:after="283"/>
              <w:jc w:val="left"/>
              <w:rPr/>
            </w:pPr>
            <w:r>
              <w:rPr/>
              <w:t>Total operating expenses</w:t>
            </w:r>
          </w:p>
        </w:tc>
        <w:tc>
          <w:tcPr>
            <w:tcW w:w="60" w:type="dxa"/>
            <w:tcBorders/>
            <w:shd w:fill="EEEEEE" w:val="clear"/>
            <w:vAlign w:val="center"/>
          </w:tcPr>
          <w:p>
            <w:pPr>
              <w:pStyle w:val="TableContents"/>
              <w:bidi w:val="0"/>
              <w:spacing w:before="0" w:after="283"/>
              <w:jc w:val="left"/>
              <w:rPr/>
            </w:pPr>
            <w:r>
              <w:rPr/>
              <w:t> </w:t>
            </w:r>
          </w:p>
        </w:tc>
        <w:tc>
          <w:tcPr>
            <w:tcW w:w="145"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225" w:type="dxa"/>
            <w:tcBorders>
              <w:bottom w:val="single" w:sz="8" w:space="0" w:color="000000"/>
            </w:tcBorders>
            <w:shd w:fill="EEEEEE" w:val="clear"/>
            <w:tcMar>
              <w:bottom w:w="28" w:type="dxa"/>
            </w:tcMar>
            <w:vAlign w:val="center"/>
          </w:tcPr>
          <w:p>
            <w:pPr>
              <w:pStyle w:val="TableContents"/>
              <w:bidi w:val="0"/>
              <w:spacing w:before="0" w:after="283"/>
              <w:jc w:val="right"/>
              <w:rPr/>
            </w:pPr>
            <w:r>
              <w:rPr/>
              <w:t>48,281,004</w:t>
            </w:r>
          </w:p>
        </w:tc>
        <w:tc>
          <w:tcPr>
            <w:tcW w:w="98" w:type="dxa"/>
            <w:tcBorders/>
            <w:shd w:fill="EEEEEE" w:val="clear"/>
            <w:vAlign w:val="center"/>
          </w:tcPr>
          <w:p>
            <w:pPr>
              <w:pStyle w:val="TableContents"/>
              <w:bidi w:val="0"/>
              <w:spacing w:before="0" w:after="283"/>
              <w:jc w:val="left"/>
              <w:rPr/>
            </w:pPr>
            <w:r>
              <w:rPr/>
              <w:t> </w:t>
            </w:r>
          </w:p>
        </w:tc>
        <w:tc>
          <w:tcPr>
            <w:tcW w:w="61" w:type="dxa"/>
            <w:tcBorders/>
            <w:shd w:fill="EEEEEE" w:val="clear"/>
            <w:vAlign w:val="center"/>
          </w:tcPr>
          <w:p>
            <w:pPr>
              <w:pStyle w:val="TableContents"/>
              <w:bidi w:val="0"/>
              <w:spacing w:before="0" w:after="283"/>
              <w:jc w:val="left"/>
              <w:rPr/>
            </w:pPr>
            <w:r>
              <w:rPr/>
              <w:t> </w:t>
            </w:r>
          </w:p>
        </w:tc>
        <w:tc>
          <w:tcPr>
            <w:tcW w:w="145"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47" w:type="dxa"/>
            <w:tcBorders>
              <w:bottom w:val="single" w:sz="8" w:space="0" w:color="000000"/>
            </w:tcBorders>
            <w:shd w:fill="EEEEEE" w:val="clear"/>
            <w:tcMar>
              <w:bottom w:w="28" w:type="dxa"/>
            </w:tcMar>
            <w:vAlign w:val="center"/>
          </w:tcPr>
          <w:p>
            <w:pPr>
              <w:pStyle w:val="TableContents"/>
              <w:bidi w:val="0"/>
              <w:spacing w:before="0" w:after="283"/>
              <w:jc w:val="right"/>
              <w:rPr/>
            </w:pPr>
            <w:r>
              <w:rPr/>
              <w:t>30,887,856</w:t>
            </w:r>
          </w:p>
        </w:tc>
        <w:tc>
          <w:tcPr>
            <w:tcW w:w="114" w:type="dxa"/>
            <w:tcBorders/>
            <w:shd w:fill="EEEEEE" w:val="clear"/>
            <w:vAlign w:val="center"/>
          </w:tcPr>
          <w:p>
            <w:pPr>
              <w:pStyle w:val="TableContents"/>
              <w:bidi w:val="0"/>
              <w:spacing w:before="0" w:after="283"/>
              <w:jc w:val="left"/>
              <w:rPr/>
            </w:pPr>
            <w:r>
              <w:rPr/>
              <w:t> </w:t>
            </w:r>
          </w:p>
        </w:tc>
      </w:tr>
      <w:tr>
        <w:trPr/>
        <w:tc>
          <w:tcPr>
            <w:tcW w:w="721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133" w:name="xdx_40A_eus-gaap--OperatingIncomeLoss_i0"/>
            <w:bookmarkEnd w:id="133"/>
          </w:p>
        </w:tc>
      </w:tr>
      <w:tr>
        <w:trPr/>
        <w:tc>
          <w:tcPr>
            <w:tcW w:w="7210" w:type="dxa"/>
            <w:tcBorders/>
            <w:shd w:fill="EEEEEE" w:val="clear"/>
            <w:vAlign w:val="center"/>
          </w:tcPr>
          <w:p>
            <w:pPr>
              <w:pStyle w:val="TableContents"/>
              <w:bidi w:val="0"/>
              <w:spacing w:before="0" w:after="283"/>
              <w:jc w:val="left"/>
              <w:rPr/>
            </w:pPr>
            <w:r>
              <w:rPr/>
              <w:t>(LOSS) INCOME FROM OPERATIONS</w:t>
            </w:r>
          </w:p>
        </w:tc>
        <w:tc>
          <w:tcPr>
            <w:tcW w:w="60" w:type="dxa"/>
            <w:tcBorders/>
            <w:shd w:fill="EEEEEE" w:val="clear"/>
            <w:vAlign w:val="center"/>
          </w:tcPr>
          <w:p>
            <w:pPr>
              <w:pStyle w:val="TableContents"/>
              <w:bidi w:val="0"/>
              <w:spacing w:before="0" w:after="283"/>
              <w:jc w:val="left"/>
              <w:rPr/>
            </w:pPr>
            <w:r>
              <w:rPr/>
              <w:t> </w:t>
            </w:r>
          </w:p>
        </w:tc>
        <w:tc>
          <w:tcPr>
            <w:tcW w:w="145"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225" w:type="dxa"/>
            <w:tcBorders>
              <w:bottom w:val="single" w:sz="8" w:space="0" w:color="000000"/>
            </w:tcBorders>
            <w:shd w:fill="EEEEEE" w:val="clear"/>
            <w:tcMar>
              <w:bottom w:w="28" w:type="dxa"/>
            </w:tcMar>
            <w:vAlign w:val="center"/>
          </w:tcPr>
          <w:p>
            <w:pPr>
              <w:pStyle w:val="TableContents"/>
              <w:bidi w:val="0"/>
              <w:spacing w:before="0" w:after="283"/>
              <w:jc w:val="right"/>
              <w:rPr/>
            </w:pPr>
            <w:r>
              <w:rPr/>
              <w:t>(13,483,543</w:t>
            </w:r>
          </w:p>
        </w:tc>
        <w:tc>
          <w:tcPr>
            <w:tcW w:w="98" w:type="dxa"/>
            <w:tcBorders/>
            <w:shd w:fill="EEEEEE" w:val="clear"/>
            <w:vAlign w:val="center"/>
          </w:tcPr>
          <w:p>
            <w:pPr>
              <w:pStyle w:val="TableContents"/>
              <w:bidi w:val="0"/>
              <w:spacing w:before="0" w:after="283"/>
              <w:jc w:val="left"/>
              <w:rPr/>
            </w:pPr>
            <w:r>
              <w:rPr/>
              <w:t>)</w:t>
            </w:r>
          </w:p>
        </w:tc>
        <w:tc>
          <w:tcPr>
            <w:tcW w:w="61" w:type="dxa"/>
            <w:tcBorders/>
            <w:shd w:fill="EEEEEE" w:val="clear"/>
            <w:vAlign w:val="center"/>
          </w:tcPr>
          <w:p>
            <w:pPr>
              <w:pStyle w:val="TableContents"/>
              <w:bidi w:val="0"/>
              <w:spacing w:before="0" w:after="283"/>
              <w:jc w:val="left"/>
              <w:rPr/>
            </w:pPr>
            <w:r>
              <w:rPr/>
              <w:t> </w:t>
            </w:r>
          </w:p>
        </w:tc>
        <w:tc>
          <w:tcPr>
            <w:tcW w:w="145"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47" w:type="dxa"/>
            <w:tcBorders>
              <w:bottom w:val="single" w:sz="8" w:space="0" w:color="000000"/>
            </w:tcBorders>
            <w:shd w:fill="EEEEEE" w:val="clear"/>
            <w:tcMar>
              <w:bottom w:w="28" w:type="dxa"/>
            </w:tcMar>
            <w:vAlign w:val="center"/>
          </w:tcPr>
          <w:p>
            <w:pPr>
              <w:pStyle w:val="TableContents"/>
              <w:bidi w:val="0"/>
              <w:spacing w:before="0" w:after="283"/>
              <w:jc w:val="right"/>
              <w:rPr/>
            </w:pPr>
            <w:r>
              <w:rPr/>
              <w:t>2,312,037</w:t>
            </w:r>
          </w:p>
        </w:tc>
        <w:tc>
          <w:tcPr>
            <w:tcW w:w="114" w:type="dxa"/>
            <w:tcBorders/>
            <w:shd w:fill="EEEEEE" w:val="clear"/>
            <w:vAlign w:val="center"/>
          </w:tcPr>
          <w:p>
            <w:pPr>
              <w:pStyle w:val="TableContents"/>
              <w:bidi w:val="0"/>
              <w:spacing w:before="0" w:after="283"/>
              <w:jc w:val="left"/>
              <w:rPr/>
            </w:pPr>
            <w:r>
              <w:rPr/>
              <w:t> </w:t>
            </w:r>
          </w:p>
        </w:tc>
      </w:tr>
      <w:tr>
        <w:trPr/>
        <w:tc>
          <w:tcPr>
            <w:tcW w:w="721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134" w:name="xdx_40E_eus-gaap--NonoperatingIncomeExpe"/>
            <w:bookmarkEnd w:id="134"/>
          </w:p>
        </w:tc>
      </w:tr>
      <w:tr>
        <w:trPr/>
        <w:tc>
          <w:tcPr>
            <w:tcW w:w="7210" w:type="dxa"/>
            <w:tcBorders/>
            <w:shd w:fill="EEEEEE" w:val="clear"/>
            <w:vAlign w:val="center"/>
          </w:tcPr>
          <w:p>
            <w:pPr>
              <w:pStyle w:val="TableContents"/>
              <w:bidi w:val="0"/>
              <w:spacing w:before="0" w:after="283"/>
              <w:jc w:val="left"/>
              <w:rPr/>
            </w:pPr>
            <w:r>
              <w:rPr/>
              <w:t>OTHER INCOME (EXPENSE)</w:t>
            </w:r>
          </w:p>
        </w:tc>
        <w:tc>
          <w:tcPr>
            <w:tcW w:w="60" w:type="dxa"/>
            <w:tcBorders/>
            <w:shd w:fill="EEEEEE" w:val="clear"/>
            <w:vAlign w:val="center"/>
          </w:tcPr>
          <w:p>
            <w:pPr>
              <w:pStyle w:val="TableContents"/>
              <w:bidi w:val="0"/>
              <w:spacing w:before="0" w:after="283"/>
              <w:jc w:val="left"/>
              <w:rPr/>
            </w:pPr>
            <w:r>
              <w:rPr/>
              <w:t> </w:t>
            </w:r>
          </w:p>
        </w:tc>
        <w:tc>
          <w:tcPr>
            <w:tcW w:w="145" w:type="dxa"/>
            <w:tcBorders/>
            <w:shd w:fill="EEEEEE" w:val="clear"/>
            <w:vAlign w:val="center"/>
          </w:tcPr>
          <w:p>
            <w:pPr>
              <w:pStyle w:val="TableContents"/>
              <w:bidi w:val="0"/>
              <w:spacing w:before="0" w:after="283"/>
              <w:jc w:val="left"/>
              <w:rPr/>
            </w:pPr>
            <w:r>
              <w:rPr/>
              <w:t> </w:t>
            </w:r>
          </w:p>
        </w:tc>
        <w:tc>
          <w:tcPr>
            <w:tcW w:w="1225" w:type="dxa"/>
            <w:tcBorders/>
            <w:shd w:fill="EEEEEE" w:val="clear"/>
            <w:vAlign w:val="center"/>
          </w:tcPr>
          <w:p>
            <w:pPr>
              <w:pStyle w:val="TableContents"/>
              <w:bidi w:val="0"/>
              <w:spacing w:before="0" w:after="283"/>
              <w:jc w:val="right"/>
              <w:rPr/>
            </w:pPr>
            <w:r>
              <w:rPr/>
              <w:t> </w:t>
            </w:r>
          </w:p>
        </w:tc>
        <w:tc>
          <w:tcPr>
            <w:tcW w:w="98" w:type="dxa"/>
            <w:tcBorders/>
            <w:shd w:fill="EEEEEE" w:val="clear"/>
            <w:vAlign w:val="center"/>
          </w:tcPr>
          <w:p>
            <w:pPr>
              <w:pStyle w:val="TableContents"/>
              <w:bidi w:val="0"/>
              <w:spacing w:before="0" w:after="283"/>
              <w:jc w:val="left"/>
              <w:rPr/>
            </w:pPr>
            <w:r>
              <w:rPr/>
              <w:t> </w:t>
            </w:r>
          </w:p>
        </w:tc>
        <w:tc>
          <w:tcPr>
            <w:tcW w:w="61" w:type="dxa"/>
            <w:tcBorders/>
            <w:shd w:fill="EEEEEE" w:val="clear"/>
            <w:vAlign w:val="center"/>
          </w:tcPr>
          <w:p>
            <w:pPr>
              <w:pStyle w:val="TableContents"/>
              <w:bidi w:val="0"/>
              <w:spacing w:before="0" w:after="283"/>
              <w:jc w:val="left"/>
              <w:rPr/>
            </w:pPr>
            <w:r>
              <w:rPr/>
              <w:t> </w:t>
            </w:r>
          </w:p>
        </w:tc>
        <w:tc>
          <w:tcPr>
            <w:tcW w:w="145" w:type="dxa"/>
            <w:tcBorders/>
            <w:shd w:fill="EEEEEE" w:val="clear"/>
            <w:vAlign w:val="center"/>
          </w:tcPr>
          <w:p>
            <w:pPr>
              <w:pStyle w:val="TableContents"/>
              <w:bidi w:val="0"/>
              <w:spacing w:before="0" w:after="283"/>
              <w:jc w:val="left"/>
              <w:rPr/>
            </w:pPr>
            <w:r>
              <w:rPr/>
              <w:t> </w:t>
            </w:r>
          </w:p>
        </w:tc>
        <w:tc>
          <w:tcPr>
            <w:tcW w:w="1147" w:type="dxa"/>
            <w:tcBorders/>
            <w:shd w:fill="EEEEEE" w:val="clear"/>
            <w:vAlign w:val="center"/>
          </w:tcPr>
          <w:p>
            <w:pPr>
              <w:pStyle w:val="TableContents"/>
              <w:bidi w:val="0"/>
              <w:spacing w:before="0" w:after="283"/>
              <w:jc w:val="right"/>
              <w:rPr/>
            </w:pPr>
            <w:r>
              <w:rPr/>
              <w:t> </w:t>
            </w:r>
          </w:p>
        </w:tc>
        <w:tc>
          <w:tcPr>
            <w:tcW w:w="114" w:type="dxa"/>
            <w:tcBorders/>
            <w:shd w:fill="EEEEEE" w:val="clear"/>
            <w:vAlign w:val="center"/>
          </w:tcPr>
          <w:p>
            <w:pPr>
              <w:pStyle w:val="TableContents"/>
              <w:bidi w:val="0"/>
              <w:spacing w:before="0" w:after="283"/>
              <w:jc w:val="left"/>
              <w:rPr/>
            </w:pPr>
            <w:r>
              <w:rPr/>
              <w:t> </w:t>
            </w:r>
            <w:bookmarkStart w:id="135" w:name="xdx_40E_eus-gaap--InterestIncomeExpenseN"/>
            <w:bookmarkEnd w:id="135"/>
          </w:p>
        </w:tc>
      </w:tr>
      <w:tr>
        <w:trPr/>
        <w:tc>
          <w:tcPr>
            <w:tcW w:w="7210" w:type="dxa"/>
            <w:tcBorders/>
            <w:shd w:fill="FFFFFF" w:val="clear"/>
            <w:vAlign w:val="center"/>
          </w:tcPr>
          <w:p>
            <w:pPr>
              <w:pStyle w:val="TableContents"/>
              <w:bidi w:val="0"/>
              <w:spacing w:before="0" w:after="283"/>
              <w:jc w:val="left"/>
              <w:rPr/>
            </w:pPr>
            <w:r>
              <w:rPr/>
              <w:t>Interest expenses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(1,066,280</w:t>
            </w:r>
          </w:p>
        </w:tc>
        <w:tc>
          <w:tcPr>
            <w:tcW w:w="98"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(458,159</w:t>
            </w:r>
          </w:p>
        </w:tc>
        <w:tc>
          <w:tcPr>
            <w:tcW w:w="114" w:type="dxa"/>
            <w:tcBorders/>
            <w:shd w:fill="FFFFFF" w:val="clear"/>
            <w:vAlign w:val="center"/>
          </w:tcPr>
          <w:p>
            <w:pPr>
              <w:pStyle w:val="TableContents"/>
              <w:bidi w:val="0"/>
              <w:spacing w:before="0" w:after="283"/>
              <w:jc w:val="left"/>
              <w:rPr/>
            </w:pPr>
            <w:r>
              <w:rPr/>
              <w:t>)</w:t>
            </w:r>
            <w:bookmarkStart w:id="136" w:name="xdx_40B_ecustom--OtherFinancingExpenses_"/>
            <w:bookmarkEnd w:id="136"/>
          </w:p>
        </w:tc>
      </w:tr>
      <w:tr>
        <w:trPr/>
        <w:tc>
          <w:tcPr>
            <w:tcW w:w="7210" w:type="dxa"/>
            <w:tcBorders/>
            <w:shd w:fill="EEEEEE" w:val="clear"/>
            <w:vAlign w:val="center"/>
          </w:tcPr>
          <w:p>
            <w:pPr>
              <w:pStyle w:val="TableContents"/>
              <w:bidi w:val="0"/>
              <w:spacing w:before="0" w:after="283"/>
              <w:jc w:val="left"/>
              <w:rPr/>
            </w:pPr>
            <w:r>
              <w:rPr/>
              <w:t>Other financing expenses</w:t>
            </w:r>
          </w:p>
        </w:tc>
        <w:tc>
          <w:tcPr>
            <w:tcW w:w="60" w:type="dxa"/>
            <w:tcBorders/>
            <w:shd w:fill="EEEEEE" w:val="clear"/>
            <w:vAlign w:val="center"/>
          </w:tcPr>
          <w:p>
            <w:pPr>
              <w:pStyle w:val="TableContents"/>
              <w:bidi w:val="0"/>
              <w:spacing w:before="0" w:after="283"/>
              <w:jc w:val="left"/>
              <w:rPr/>
            </w:pPr>
            <w:r>
              <w:rPr/>
              <w:t> </w:t>
            </w:r>
          </w:p>
        </w:tc>
        <w:tc>
          <w:tcPr>
            <w:tcW w:w="145" w:type="dxa"/>
            <w:tcBorders/>
            <w:shd w:fill="EEEEEE" w:val="clear"/>
            <w:vAlign w:val="center"/>
          </w:tcPr>
          <w:p>
            <w:pPr>
              <w:pStyle w:val="TableContents"/>
              <w:bidi w:val="0"/>
              <w:spacing w:before="0" w:after="283"/>
              <w:jc w:val="left"/>
              <w:rPr/>
            </w:pPr>
            <w:r>
              <w:rPr/>
              <w:t> </w:t>
            </w:r>
          </w:p>
        </w:tc>
        <w:tc>
          <w:tcPr>
            <w:tcW w:w="1225" w:type="dxa"/>
            <w:tcBorders/>
            <w:shd w:fill="EEEEEE" w:val="clear"/>
            <w:vAlign w:val="center"/>
          </w:tcPr>
          <w:p>
            <w:pPr>
              <w:pStyle w:val="TableContents"/>
              <w:bidi w:val="0"/>
              <w:spacing w:before="0" w:after="283"/>
              <w:jc w:val="right"/>
              <w:rPr/>
            </w:pPr>
            <w:r>
              <w:rPr/>
              <w:t>–</w:t>
            </w:r>
          </w:p>
        </w:tc>
        <w:tc>
          <w:tcPr>
            <w:tcW w:w="98" w:type="dxa"/>
            <w:tcBorders/>
            <w:shd w:fill="EEEEEE" w:val="clear"/>
            <w:vAlign w:val="center"/>
          </w:tcPr>
          <w:p>
            <w:pPr>
              <w:pStyle w:val="TableContents"/>
              <w:bidi w:val="0"/>
              <w:spacing w:before="0" w:after="283"/>
              <w:jc w:val="left"/>
              <w:rPr/>
            </w:pPr>
            <w:r>
              <w:rPr/>
              <w:t> </w:t>
            </w:r>
          </w:p>
        </w:tc>
        <w:tc>
          <w:tcPr>
            <w:tcW w:w="61" w:type="dxa"/>
            <w:tcBorders/>
            <w:shd w:fill="EEEEEE" w:val="clear"/>
            <w:vAlign w:val="center"/>
          </w:tcPr>
          <w:p>
            <w:pPr>
              <w:pStyle w:val="TableContents"/>
              <w:bidi w:val="0"/>
              <w:spacing w:before="0" w:after="283"/>
              <w:jc w:val="left"/>
              <w:rPr/>
            </w:pPr>
            <w:r>
              <w:rPr/>
              <w:t> </w:t>
            </w:r>
          </w:p>
        </w:tc>
        <w:tc>
          <w:tcPr>
            <w:tcW w:w="145" w:type="dxa"/>
            <w:tcBorders/>
            <w:shd w:fill="EEEEEE" w:val="clear"/>
            <w:vAlign w:val="center"/>
          </w:tcPr>
          <w:p>
            <w:pPr>
              <w:pStyle w:val="TableContents"/>
              <w:bidi w:val="0"/>
              <w:spacing w:before="0" w:after="283"/>
              <w:jc w:val="left"/>
              <w:rPr/>
            </w:pPr>
            <w:r>
              <w:rPr/>
              <w:t> </w:t>
            </w:r>
          </w:p>
        </w:tc>
        <w:tc>
          <w:tcPr>
            <w:tcW w:w="1147" w:type="dxa"/>
            <w:tcBorders/>
            <w:shd w:fill="EEEEEE" w:val="clear"/>
            <w:vAlign w:val="center"/>
          </w:tcPr>
          <w:p>
            <w:pPr>
              <w:pStyle w:val="TableContents"/>
              <w:bidi w:val="0"/>
              <w:spacing w:before="0" w:after="283"/>
              <w:jc w:val="right"/>
              <w:rPr/>
            </w:pPr>
            <w:r>
              <w:rPr/>
              <w:t>(80,010</w:t>
            </w:r>
          </w:p>
        </w:tc>
        <w:tc>
          <w:tcPr>
            <w:tcW w:w="114" w:type="dxa"/>
            <w:tcBorders/>
            <w:shd w:fill="EEEEEE" w:val="clear"/>
            <w:vAlign w:val="center"/>
          </w:tcPr>
          <w:p>
            <w:pPr>
              <w:pStyle w:val="TableContents"/>
              <w:bidi w:val="0"/>
              <w:spacing w:before="0" w:after="283"/>
              <w:jc w:val="left"/>
              <w:rPr/>
            </w:pPr>
            <w:r>
              <w:rPr/>
              <w:t>)</w:t>
            </w:r>
            <w:bookmarkStart w:id="137" w:name="xdx_40C_eus-gaap--GainLossOnInvestments_"/>
            <w:bookmarkEnd w:id="137"/>
          </w:p>
        </w:tc>
      </w:tr>
      <w:tr>
        <w:trPr/>
        <w:tc>
          <w:tcPr>
            <w:tcW w:w="7210" w:type="dxa"/>
            <w:tcBorders/>
            <w:shd w:fill="FFFFFF" w:val="clear"/>
            <w:vAlign w:val="center"/>
          </w:tcPr>
          <w:p>
            <w:pPr>
              <w:pStyle w:val="TableContents"/>
              <w:bidi w:val="0"/>
              <w:spacing w:before="0" w:after="283"/>
              <w:jc w:val="left"/>
              <w:rPr/>
            </w:pPr>
            <w:r>
              <w:rPr/>
              <w:t>Loss on equity method investment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(10,001</w:t>
            </w:r>
          </w:p>
        </w:tc>
        <w:tc>
          <w:tcPr>
            <w:tcW w:w="98"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(6,616</w:t>
            </w:r>
          </w:p>
        </w:tc>
        <w:tc>
          <w:tcPr>
            <w:tcW w:w="114" w:type="dxa"/>
            <w:tcBorders/>
            <w:shd w:fill="FFFFFF" w:val="clear"/>
            <w:vAlign w:val="center"/>
          </w:tcPr>
          <w:p>
            <w:pPr>
              <w:pStyle w:val="TableContents"/>
              <w:bidi w:val="0"/>
              <w:spacing w:before="0" w:after="283"/>
              <w:jc w:val="left"/>
              <w:rPr/>
            </w:pPr>
            <w:r>
              <w:rPr/>
              <w:t>)</w:t>
            </w:r>
            <w:bookmarkStart w:id="138" w:name="xdx_405_eus-gaap--OtherNonoperatingIncom"/>
            <w:bookmarkEnd w:id="138"/>
          </w:p>
        </w:tc>
      </w:tr>
      <w:tr>
        <w:trPr/>
        <w:tc>
          <w:tcPr>
            <w:tcW w:w="7210" w:type="dxa"/>
            <w:tcBorders/>
            <w:shd w:fill="EEEEEE" w:val="clear"/>
            <w:vAlign w:val="center"/>
          </w:tcPr>
          <w:p>
            <w:pPr>
              <w:pStyle w:val="TableContents"/>
              <w:bidi w:val="0"/>
              <w:spacing w:before="0" w:after="283"/>
              <w:jc w:val="left"/>
              <w:rPr/>
            </w:pPr>
            <w:r>
              <w:rPr/>
              <w:t>Other non-operating income</w:t>
            </w:r>
          </w:p>
        </w:tc>
        <w:tc>
          <w:tcPr>
            <w:tcW w:w="60" w:type="dxa"/>
            <w:tcBorders/>
            <w:shd w:fill="EEEEEE" w:val="clear"/>
            <w:vAlign w:val="center"/>
          </w:tcPr>
          <w:p>
            <w:pPr>
              <w:pStyle w:val="TableContents"/>
              <w:bidi w:val="0"/>
              <w:spacing w:before="0" w:after="283"/>
              <w:jc w:val="left"/>
              <w:rPr/>
            </w:pPr>
            <w:r>
              <w:rPr/>
              <w:t> </w:t>
            </w:r>
          </w:p>
        </w:tc>
        <w:tc>
          <w:tcPr>
            <w:tcW w:w="145"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225" w:type="dxa"/>
            <w:tcBorders>
              <w:bottom w:val="single" w:sz="8" w:space="0" w:color="000000"/>
            </w:tcBorders>
            <w:shd w:fill="EEEEEE" w:val="clear"/>
            <w:tcMar>
              <w:bottom w:w="28" w:type="dxa"/>
            </w:tcMar>
            <w:vAlign w:val="center"/>
          </w:tcPr>
          <w:p>
            <w:pPr>
              <w:pStyle w:val="TableContents"/>
              <w:bidi w:val="0"/>
              <w:spacing w:before="0" w:after="283"/>
              <w:jc w:val="right"/>
              <w:rPr/>
            </w:pPr>
            <w:r>
              <w:rPr/>
              <w:t>(107,749</w:t>
            </w:r>
          </w:p>
        </w:tc>
        <w:tc>
          <w:tcPr>
            <w:tcW w:w="98" w:type="dxa"/>
            <w:tcBorders/>
            <w:shd w:fill="EEEEEE" w:val="clear"/>
            <w:vAlign w:val="center"/>
          </w:tcPr>
          <w:p>
            <w:pPr>
              <w:pStyle w:val="TableContents"/>
              <w:bidi w:val="0"/>
              <w:spacing w:before="0" w:after="283"/>
              <w:jc w:val="left"/>
              <w:rPr/>
            </w:pPr>
            <w:r>
              <w:rPr/>
              <w:t>)</w:t>
            </w:r>
          </w:p>
        </w:tc>
        <w:tc>
          <w:tcPr>
            <w:tcW w:w="61" w:type="dxa"/>
            <w:tcBorders/>
            <w:shd w:fill="EEEEEE" w:val="clear"/>
            <w:vAlign w:val="center"/>
          </w:tcPr>
          <w:p>
            <w:pPr>
              <w:pStyle w:val="TableContents"/>
              <w:bidi w:val="0"/>
              <w:spacing w:before="0" w:after="283"/>
              <w:jc w:val="left"/>
              <w:rPr/>
            </w:pPr>
            <w:r>
              <w:rPr/>
              <w:t> </w:t>
            </w:r>
          </w:p>
        </w:tc>
        <w:tc>
          <w:tcPr>
            <w:tcW w:w="145"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47" w:type="dxa"/>
            <w:tcBorders>
              <w:bottom w:val="single" w:sz="8" w:space="0" w:color="000000"/>
            </w:tcBorders>
            <w:shd w:fill="EEEEEE" w:val="clear"/>
            <w:tcMar>
              <w:bottom w:w="28" w:type="dxa"/>
            </w:tcMar>
            <w:vAlign w:val="center"/>
          </w:tcPr>
          <w:p>
            <w:pPr>
              <w:pStyle w:val="TableContents"/>
              <w:bidi w:val="0"/>
              <w:spacing w:before="0" w:after="283"/>
              <w:jc w:val="right"/>
              <w:rPr/>
            </w:pPr>
            <w:r>
              <w:rPr/>
              <w:t>296,366</w:t>
            </w:r>
          </w:p>
        </w:tc>
        <w:tc>
          <w:tcPr>
            <w:tcW w:w="114" w:type="dxa"/>
            <w:tcBorders/>
            <w:shd w:fill="EEEEEE" w:val="clear"/>
            <w:vAlign w:val="center"/>
          </w:tcPr>
          <w:p>
            <w:pPr>
              <w:pStyle w:val="TableContents"/>
              <w:bidi w:val="0"/>
              <w:spacing w:before="0" w:after="283"/>
              <w:jc w:val="left"/>
              <w:rPr/>
            </w:pPr>
            <w:r>
              <w:rPr/>
              <w:t> </w:t>
            </w:r>
            <w:bookmarkStart w:id="139" w:name="xdx_40A_eus-gaap--NonoperatingIncomeExpe"/>
            <w:bookmarkEnd w:id="139"/>
          </w:p>
        </w:tc>
      </w:tr>
      <w:tr>
        <w:trPr/>
        <w:tc>
          <w:tcPr>
            <w:tcW w:w="7210" w:type="dxa"/>
            <w:tcBorders/>
            <w:shd w:fill="FFFFFF" w:val="clear"/>
            <w:vAlign w:val="center"/>
          </w:tcPr>
          <w:p>
            <w:pPr>
              <w:pStyle w:val="TableContents"/>
              <w:bidi w:val="0"/>
              <w:spacing w:before="0" w:after="283"/>
              <w:jc w:val="left"/>
              <w:rPr/>
            </w:pPr>
            <w:r>
              <w:rPr/>
              <w:t>Total other expenses, net</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5" w:type="dxa"/>
            <w:tcBorders>
              <w:bottom w:val="single" w:sz="8" w:space="0" w:color="000000"/>
            </w:tcBorders>
            <w:shd w:fill="FFFFFF" w:val="clear"/>
            <w:tcMar>
              <w:bottom w:w="28" w:type="dxa"/>
            </w:tcMar>
            <w:vAlign w:val="center"/>
          </w:tcPr>
          <w:p>
            <w:pPr>
              <w:pStyle w:val="TableContents"/>
              <w:bidi w:val="0"/>
              <w:spacing w:before="0" w:after="283"/>
              <w:jc w:val="right"/>
              <w:rPr/>
            </w:pPr>
            <w:r>
              <w:rPr/>
              <w:t>(1,184,030</w:t>
            </w:r>
          </w:p>
        </w:tc>
        <w:tc>
          <w:tcPr>
            <w:tcW w:w="98"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7" w:type="dxa"/>
            <w:tcBorders>
              <w:bottom w:val="single" w:sz="8" w:space="0" w:color="000000"/>
            </w:tcBorders>
            <w:shd w:fill="FFFFFF" w:val="clear"/>
            <w:tcMar>
              <w:bottom w:w="28" w:type="dxa"/>
            </w:tcMar>
            <w:vAlign w:val="center"/>
          </w:tcPr>
          <w:p>
            <w:pPr>
              <w:pStyle w:val="TableContents"/>
              <w:bidi w:val="0"/>
              <w:spacing w:before="0" w:after="283"/>
              <w:jc w:val="right"/>
              <w:rPr/>
            </w:pPr>
            <w:r>
              <w:rPr/>
              <w:t>(248,419</w:t>
            </w:r>
          </w:p>
        </w:tc>
        <w:tc>
          <w:tcPr>
            <w:tcW w:w="114" w:type="dxa"/>
            <w:tcBorders/>
            <w:shd w:fill="FFFFFF" w:val="clear"/>
            <w:vAlign w:val="center"/>
          </w:tcPr>
          <w:p>
            <w:pPr>
              <w:pStyle w:val="TableContents"/>
              <w:bidi w:val="0"/>
              <w:spacing w:before="0" w:after="283"/>
              <w:jc w:val="left"/>
              <w:rPr/>
            </w:pPr>
            <w:r>
              <w:rPr/>
              <w:t>)</w:t>
            </w:r>
          </w:p>
        </w:tc>
      </w:tr>
      <w:tr>
        <w:trPr/>
        <w:tc>
          <w:tcPr>
            <w:tcW w:w="7210"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145" w:type="dxa"/>
            <w:tcBorders/>
            <w:shd w:fill="EEEEEE" w:val="clear"/>
            <w:vAlign w:val="center"/>
          </w:tcPr>
          <w:p>
            <w:pPr>
              <w:pStyle w:val="TableContents"/>
              <w:bidi w:val="0"/>
              <w:spacing w:before="0" w:after="283"/>
              <w:jc w:val="left"/>
              <w:rPr/>
            </w:pPr>
            <w:r>
              <w:rPr/>
              <w:t> </w:t>
            </w:r>
          </w:p>
        </w:tc>
        <w:tc>
          <w:tcPr>
            <w:tcW w:w="1225" w:type="dxa"/>
            <w:tcBorders/>
            <w:shd w:fill="EEEEEE" w:val="clear"/>
            <w:vAlign w:val="center"/>
          </w:tcPr>
          <w:p>
            <w:pPr>
              <w:pStyle w:val="TableContents"/>
              <w:bidi w:val="0"/>
              <w:spacing w:before="0" w:after="283"/>
              <w:jc w:val="right"/>
              <w:rPr/>
            </w:pPr>
            <w:r>
              <w:rPr/>
              <w:t> </w:t>
            </w:r>
          </w:p>
        </w:tc>
        <w:tc>
          <w:tcPr>
            <w:tcW w:w="98" w:type="dxa"/>
            <w:tcBorders/>
            <w:shd w:fill="EEEEEE" w:val="clear"/>
            <w:vAlign w:val="center"/>
          </w:tcPr>
          <w:p>
            <w:pPr>
              <w:pStyle w:val="TableContents"/>
              <w:bidi w:val="0"/>
              <w:spacing w:before="0" w:after="283"/>
              <w:jc w:val="left"/>
              <w:rPr/>
            </w:pPr>
            <w:r>
              <w:rPr/>
              <w:t> </w:t>
            </w:r>
          </w:p>
        </w:tc>
        <w:tc>
          <w:tcPr>
            <w:tcW w:w="61" w:type="dxa"/>
            <w:tcBorders/>
            <w:shd w:fill="EEEEEE" w:val="clear"/>
            <w:vAlign w:val="center"/>
          </w:tcPr>
          <w:p>
            <w:pPr>
              <w:pStyle w:val="TableContents"/>
              <w:bidi w:val="0"/>
              <w:spacing w:before="0" w:after="283"/>
              <w:jc w:val="left"/>
              <w:rPr/>
            </w:pPr>
            <w:r>
              <w:rPr/>
              <w:t> </w:t>
            </w:r>
          </w:p>
        </w:tc>
        <w:tc>
          <w:tcPr>
            <w:tcW w:w="145" w:type="dxa"/>
            <w:tcBorders/>
            <w:shd w:fill="EEEEEE" w:val="clear"/>
            <w:vAlign w:val="center"/>
          </w:tcPr>
          <w:p>
            <w:pPr>
              <w:pStyle w:val="TableContents"/>
              <w:bidi w:val="0"/>
              <w:spacing w:before="0" w:after="283"/>
              <w:jc w:val="left"/>
              <w:rPr/>
            </w:pPr>
            <w:r>
              <w:rPr/>
              <w:t> </w:t>
            </w:r>
          </w:p>
        </w:tc>
        <w:tc>
          <w:tcPr>
            <w:tcW w:w="1147" w:type="dxa"/>
            <w:tcBorders/>
            <w:shd w:fill="EEEEEE" w:val="clear"/>
            <w:vAlign w:val="center"/>
          </w:tcPr>
          <w:p>
            <w:pPr>
              <w:pStyle w:val="TableContents"/>
              <w:bidi w:val="0"/>
              <w:spacing w:before="0" w:after="283"/>
              <w:jc w:val="right"/>
              <w:rPr/>
            </w:pPr>
            <w:r>
              <w:rPr/>
              <w:t> </w:t>
            </w:r>
          </w:p>
        </w:tc>
        <w:tc>
          <w:tcPr>
            <w:tcW w:w="114" w:type="dxa"/>
            <w:tcBorders/>
            <w:shd w:fill="EEEEEE" w:val="clear"/>
            <w:vAlign w:val="center"/>
          </w:tcPr>
          <w:p>
            <w:pPr>
              <w:pStyle w:val="TableContents"/>
              <w:bidi w:val="0"/>
              <w:spacing w:before="0" w:after="283"/>
              <w:jc w:val="left"/>
              <w:rPr/>
            </w:pPr>
            <w:r>
              <w:rPr/>
              <w:t> </w:t>
            </w:r>
            <w:bookmarkStart w:id="140" w:name="xdx_406_eus-gaap--IncomeLossFromContinui"/>
            <w:bookmarkEnd w:id="140"/>
          </w:p>
        </w:tc>
      </w:tr>
      <w:tr>
        <w:trPr/>
        <w:tc>
          <w:tcPr>
            <w:tcW w:w="7210" w:type="dxa"/>
            <w:tcBorders/>
            <w:shd w:fill="FFFFFF" w:val="clear"/>
            <w:vAlign w:val="center"/>
          </w:tcPr>
          <w:p>
            <w:pPr>
              <w:pStyle w:val="TableContents"/>
              <w:bidi w:val="0"/>
              <w:spacing w:before="0" w:after="283"/>
              <w:jc w:val="left"/>
              <w:rPr/>
            </w:pPr>
            <w:r>
              <w:rPr/>
              <w:t>(LOSS) INCOME BEFORE INCOME TAXES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(14,667,573</w:t>
            </w:r>
          </w:p>
        </w:tc>
        <w:tc>
          <w:tcPr>
            <w:tcW w:w="98"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2,063,618</w:t>
            </w:r>
          </w:p>
        </w:tc>
        <w:tc>
          <w:tcPr>
            <w:tcW w:w="114" w:type="dxa"/>
            <w:tcBorders/>
            <w:shd w:fill="FFFFFF" w:val="clear"/>
            <w:vAlign w:val="center"/>
          </w:tcPr>
          <w:p>
            <w:pPr>
              <w:pStyle w:val="TableContents"/>
              <w:bidi w:val="0"/>
              <w:spacing w:before="0" w:after="283"/>
              <w:jc w:val="left"/>
              <w:rPr/>
            </w:pPr>
            <w:r>
              <w:rPr/>
              <w:t> </w:t>
            </w:r>
          </w:p>
        </w:tc>
      </w:tr>
      <w:tr>
        <w:trPr/>
        <w:tc>
          <w:tcPr>
            <w:tcW w:w="7210"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145" w:type="dxa"/>
            <w:tcBorders/>
            <w:shd w:fill="EEEEEE" w:val="clear"/>
            <w:vAlign w:val="center"/>
          </w:tcPr>
          <w:p>
            <w:pPr>
              <w:pStyle w:val="TableContents"/>
              <w:bidi w:val="0"/>
              <w:spacing w:before="0" w:after="283"/>
              <w:jc w:val="left"/>
              <w:rPr/>
            </w:pPr>
            <w:r>
              <w:rPr/>
              <w:t> </w:t>
            </w:r>
          </w:p>
        </w:tc>
        <w:tc>
          <w:tcPr>
            <w:tcW w:w="1225" w:type="dxa"/>
            <w:tcBorders/>
            <w:shd w:fill="EEEEEE" w:val="clear"/>
            <w:vAlign w:val="center"/>
          </w:tcPr>
          <w:p>
            <w:pPr>
              <w:pStyle w:val="TableContents"/>
              <w:bidi w:val="0"/>
              <w:spacing w:before="0" w:after="283"/>
              <w:jc w:val="right"/>
              <w:rPr/>
            </w:pPr>
            <w:r>
              <w:rPr/>
              <w:t> </w:t>
            </w:r>
          </w:p>
        </w:tc>
        <w:tc>
          <w:tcPr>
            <w:tcW w:w="98" w:type="dxa"/>
            <w:tcBorders/>
            <w:shd w:fill="EEEEEE" w:val="clear"/>
            <w:vAlign w:val="center"/>
          </w:tcPr>
          <w:p>
            <w:pPr>
              <w:pStyle w:val="TableContents"/>
              <w:bidi w:val="0"/>
              <w:spacing w:before="0" w:after="283"/>
              <w:jc w:val="left"/>
              <w:rPr/>
            </w:pPr>
            <w:r>
              <w:rPr/>
              <w:t> </w:t>
            </w:r>
          </w:p>
        </w:tc>
        <w:tc>
          <w:tcPr>
            <w:tcW w:w="61" w:type="dxa"/>
            <w:tcBorders/>
            <w:shd w:fill="EEEEEE" w:val="clear"/>
            <w:vAlign w:val="center"/>
          </w:tcPr>
          <w:p>
            <w:pPr>
              <w:pStyle w:val="TableContents"/>
              <w:bidi w:val="0"/>
              <w:spacing w:before="0" w:after="283"/>
              <w:jc w:val="left"/>
              <w:rPr/>
            </w:pPr>
            <w:r>
              <w:rPr/>
              <w:t> </w:t>
            </w:r>
          </w:p>
        </w:tc>
        <w:tc>
          <w:tcPr>
            <w:tcW w:w="145" w:type="dxa"/>
            <w:tcBorders/>
            <w:shd w:fill="EEEEEE" w:val="clear"/>
            <w:vAlign w:val="center"/>
          </w:tcPr>
          <w:p>
            <w:pPr>
              <w:pStyle w:val="TableContents"/>
              <w:bidi w:val="0"/>
              <w:spacing w:before="0" w:after="283"/>
              <w:jc w:val="left"/>
              <w:rPr/>
            </w:pPr>
            <w:r>
              <w:rPr/>
              <w:t> </w:t>
            </w:r>
          </w:p>
        </w:tc>
        <w:tc>
          <w:tcPr>
            <w:tcW w:w="1147" w:type="dxa"/>
            <w:tcBorders/>
            <w:shd w:fill="EEEEEE" w:val="clear"/>
            <w:vAlign w:val="center"/>
          </w:tcPr>
          <w:p>
            <w:pPr>
              <w:pStyle w:val="TableContents"/>
              <w:bidi w:val="0"/>
              <w:spacing w:before="0" w:after="283"/>
              <w:jc w:val="right"/>
              <w:rPr/>
            </w:pPr>
            <w:r>
              <w:rPr/>
              <w:t> </w:t>
            </w:r>
          </w:p>
        </w:tc>
        <w:tc>
          <w:tcPr>
            <w:tcW w:w="114" w:type="dxa"/>
            <w:tcBorders/>
            <w:shd w:fill="EEEEEE" w:val="clear"/>
            <w:vAlign w:val="center"/>
          </w:tcPr>
          <w:p>
            <w:pPr>
              <w:pStyle w:val="TableContents"/>
              <w:bidi w:val="0"/>
              <w:spacing w:before="0" w:after="283"/>
              <w:jc w:val="left"/>
              <w:rPr/>
            </w:pPr>
            <w:r>
              <w:rPr/>
              <w:t> </w:t>
            </w:r>
            <w:bookmarkStart w:id="141" w:name="xdx_408_eus-gaap--IncomeTaxExpenseBenefi"/>
            <w:bookmarkEnd w:id="141"/>
          </w:p>
        </w:tc>
      </w:tr>
      <w:tr>
        <w:trPr/>
        <w:tc>
          <w:tcPr>
            <w:tcW w:w="7210" w:type="dxa"/>
            <w:tcBorders/>
            <w:shd w:fill="FFFFFF" w:val="clear"/>
            <w:vAlign w:val="center"/>
          </w:tcPr>
          <w:p>
            <w:pPr>
              <w:pStyle w:val="TableContents"/>
              <w:bidi w:val="0"/>
              <w:spacing w:before="0" w:after="283"/>
              <w:jc w:val="left"/>
              <w:rPr/>
            </w:pPr>
            <w:r>
              <w:rPr/>
              <w:t>PROVISION FOR INCOME TAX (BENEFIT) EXPENSE</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5" w:type="dxa"/>
            <w:tcBorders>
              <w:bottom w:val="single" w:sz="8" w:space="0" w:color="000000"/>
            </w:tcBorders>
            <w:shd w:fill="FFFFFF" w:val="clear"/>
            <w:tcMar>
              <w:bottom w:w="28" w:type="dxa"/>
            </w:tcMar>
            <w:vAlign w:val="center"/>
          </w:tcPr>
          <w:p>
            <w:pPr>
              <w:pStyle w:val="TableContents"/>
              <w:bidi w:val="0"/>
              <w:spacing w:before="0" w:after="283"/>
              <w:jc w:val="right"/>
              <w:rPr/>
            </w:pPr>
            <w:r>
              <w:rPr/>
              <w:t>(2,690,500</w:t>
            </w:r>
          </w:p>
        </w:tc>
        <w:tc>
          <w:tcPr>
            <w:tcW w:w="98"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7" w:type="dxa"/>
            <w:tcBorders>
              <w:bottom w:val="single" w:sz="8" w:space="0" w:color="000000"/>
            </w:tcBorders>
            <w:shd w:fill="FFFFFF" w:val="clear"/>
            <w:tcMar>
              <w:bottom w:w="28" w:type="dxa"/>
            </w:tcMar>
            <w:vAlign w:val="center"/>
          </w:tcPr>
          <w:p>
            <w:pPr>
              <w:pStyle w:val="TableContents"/>
              <w:bidi w:val="0"/>
              <w:spacing w:before="0" w:after="283"/>
              <w:jc w:val="right"/>
              <w:rPr/>
            </w:pPr>
            <w:r>
              <w:rPr/>
              <w:t>558,975</w:t>
            </w:r>
          </w:p>
        </w:tc>
        <w:tc>
          <w:tcPr>
            <w:tcW w:w="114" w:type="dxa"/>
            <w:tcBorders/>
            <w:shd w:fill="FFFFFF" w:val="clear"/>
            <w:vAlign w:val="center"/>
          </w:tcPr>
          <w:p>
            <w:pPr>
              <w:pStyle w:val="TableContents"/>
              <w:bidi w:val="0"/>
              <w:spacing w:before="0" w:after="283"/>
              <w:jc w:val="left"/>
              <w:rPr/>
            </w:pPr>
            <w:r>
              <w:rPr/>
              <w:t> </w:t>
            </w:r>
            <w:bookmarkStart w:id="142" w:name="xdx_400_eus-gaap--IncomeLossFromContinui"/>
            <w:bookmarkEnd w:id="142"/>
          </w:p>
        </w:tc>
      </w:tr>
      <w:tr>
        <w:trPr/>
        <w:tc>
          <w:tcPr>
            <w:tcW w:w="7210" w:type="dxa"/>
            <w:tcBorders/>
            <w:shd w:fill="EEEEEE" w:val="clear"/>
            <w:vAlign w:val="center"/>
          </w:tcPr>
          <w:p>
            <w:pPr>
              <w:pStyle w:val="TableContents"/>
              <w:bidi w:val="0"/>
              <w:spacing w:before="0" w:after="283"/>
              <w:jc w:val="left"/>
              <w:rPr/>
            </w:pPr>
            <w:r>
              <w:rPr/>
              <w:t>NET (LOSS) INCOME</w:t>
            </w:r>
          </w:p>
        </w:tc>
        <w:tc>
          <w:tcPr>
            <w:tcW w:w="60" w:type="dxa"/>
            <w:tcBorders/>
            <w:shd w:fill="EEEEEE" w:val="clear"/>
            <w:vAlign w:val="center"/>
          </w:tcPr>
          <w:p>
            <w:pPr>
              <w:pStyle w:val="TableContents"/>
              <w:bidi w:val="0"/>
              <w:spacing w:before="0" w:after="283"/>
              <w:jc w:val="left"/>
              <w:rPr/>
            </w:pPr>
            <w:r>
              <w:rPr/>
              <w:t> </w:t>
            </w:r>
          </w:p>
        </w:tc>
        <w:tc>
          <w:tcPr>
            <w:tcW w:w="145" w:type="dxa"/>
            <w:tcBorders/>
            <w:shd w:fill="EEEEEE" w:val="clear"/>
            <w:vAlign w:val="center"/>
          </w:tcPr>
          <w:p>
            <w:pPr>
              <w:pStyle w:val="TableContents"/>
              <w:bidi w:val="0"/>
              <w:spacing w:before="0" w:after="283"/>
              <w:jc w:val="left"/>
              <w:rPr/>
            </w:pPr>
            <w:r>
              <w:rPr/>
              <w:t> </w:t>
            </w:r>
          </w:p>
        </w:tc>
        <w:tc>
          <w:tcPr>
            <w:tcW w:w="1225" w:type="dxa"/>
            <w:tcBorders/>
            <w:shd w:fill="EEEEEE" w:val="clear"/>
            <w:vAlign w:val="center"/>
          </w:tcPr>
          <w:p>
            <w:pPr>
              <w:pStyle w:val="TableContents"/>
              <w:bidi w:val="0"/>
              <w:spacing w:before="0" w:after="283"/>
              <w:jc w:val="right"/>
              <w:rPr/>
            </w:pPr>
            <w:r>
              <w:rPr/>
              <w:t>(11,977,073</w:t>
            </w:r>
          </w:p>
        </w:tc>
        <w:tc>
          <w:tcPr>
            <w:tcW w:w="98" w:type="dxa"/>
            <w:tcBorders/>
            <w:shd w:fill="EEEEEE" w:val="clear"/>
            <w:vAlign w:val="center"/>
          </w:tcPr>
          <w:p>
            <w:pPr>
              <w:pStyle w:val="TableContents"/>
              <w:bidi w:val="0"/>
              <w:spacing w:before="0" w:after="283"/>
              <w:jc w:val="left"/>
              <w:rPr/>
            </w:pPr>
            <w:r>
              <w:rPr/>
              <w:t>)</w:t>
            </w:r>
          </w:p>
        </w:tc>
        <w:tc>
          <w:tcPr>
            <w:tcW w:w="61" w:type="dxa"/>
            <w:tcBorders/>
            <w:shd w:fill="EEEEEE" w:val="clear"/>
            <w:vAlign w:val="center"/>
          </w:tcPr>
          <w:p>
            <w:pPr>
              <w:pStyle w:val="TableContents"/>
              <w:bidi w:val="0"/>
              <w:spacing w:before="0" w:after="283"/>
              <w:jc w:val="left"/>
              <w:rPr/>
            </w:pPr>
            <w:r>
              <w:rPr/>
              <w:t> </w:t>
            </w:r>
          </w:p>
        </w:tc>
        <w:tc>
          <w:tcPr>
            <w:tcW w:w="145" w:type="dxa"/>
            <w:tcBorders/>
            <w:shd w:fill="EEEEEE" w:val="clear"/>
            <w:vAlign w:val="center"/>
          </w:tcPr>
          <w:p>
            <w:pPr>
              <w:pStyle w:val="TableContents"/>
              <w:bidi w:val="0"/>
              <w:spacing w:before="0" w:after="283"/>
              <w:jc w:val="left"/>
              <w:rPr/>
            </w:pPr>
            <w:r>
              <w:rPr/>
              <w:t> </w:t>
            </w:r>
          </w:p>
        </w:tc>
        <w:tc>
          <w:tcPr>
            <w:tcW w:w="1147" w:type="dxa"/>
            <w:tcBorders/>
            <w:shd w:fill="EEEEEE" w:val="clear"/>
            <w:vAlign w:val="center"/>
          </w:tcPr>
          <w:p>
            <w:pPr>
              <w:pStyle w:val="TableContents"/>
              <w:bidi w:val="0"/>
              <w:spacing w:before="0" w:after="283"/>
              <w:jc w:val="right"/>
              <w:rPr/>
            </w:pPr>
            <w:r>
              <w:rPr/>
              <w:t>1,504,643</w:t>
            </w:r>
          </w:p>
        </w:tc>
        <w:tc>
          <w:tcPr>
            <w:tcW w:w="114" w:type="dxa"/>
            <w:tcBorders/>
            <w:shd w:fill="EEEEEE" w:val="clear"/>
            <w:vAlign w:val="center"/>
          </w:tcPr>
          <w:p>
            <w:pPr>
              <w:pStyle w:val="TableContents"/>
              <w:bidi w:val="0"/>
              <w:spacing w:before="0" w:after="283"/>
              <w:jc w:val="left"/>
              <w:rPr/>
            </w:pPr>
            <w:r>
              <w:rPr/>
              <w:t> </w:t>
            </w:r>
          </w:p>
        </w:tc>
      </w:tr>
      <w:tr>
        <w:trPr/>
        <w:tc>
          <w:tcPr>
            <w:tcW w:w="721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143" w:name="xdx_404_eus-gaap--NetIncomeLossAttributa"/>
            <w:bookmarkEnd w:id="143"/>
          </w:p>
        </w:tc>
      </w:tr>
      <w:tr>
        <w:trPr/>
        <w:tc>
          <w:tcPr>
            <w:tcW w:w="7210" w:type="dxa"/>
            <w:tcBorders/>
            <w:shd w:fill="EEEEEE" w:val="clear"/>
            <w:vAlign w:val="center"/>
          </w:tcPr>
          <w:p>
            <w:pPr>
              <w:pStyle w:val="TableContents"/>
              <w:bidi w:val="0"/>
              <w:spacing w:before="0" w:after="283"/>
              <w:jc w:val="left"/>
              <w:rPr/>
            </w:pPr>
            <w:r>
              <w:rPr/>
              <w:t>Non-controlling interest</w:t>
            </w:r>
          </w:p>
        </w:tc>
        <w:tc>
          <w:tcPr>
            <w:tcW w:w="60" w:type="dxa"/>
            <w:tcBorders/>
            <w:shd w:fill="EEEEEE" w:val="clear"/>
            <w:vAlign w:val="center"/>
          </w:tcPr>
          <w:p>
            <w:pPr>
              <w:pStyle w:val="TableContents"/>
              <w:bidi w:val="0"/>
              <w:spacing w:before="0" w:after="283"/>
              <w:jc w:val="left"/>
              <w:rPr/>
            </w:pPr>
            <w:r>
              <w:rPr/>
              <w:t> </w:t>
            </w:r>
          </w:p>
        </w:tc>
        <w:tc>
          <w:tcPr>
            <w:tcW w:w="145" w:type="dxa"/>
            <w:tcBorders/>
            <w:shd w:fill="EEEEEE" w:val="clear"/>
            <w:vAlign w:val="center"/>
          </w:tcPr>
          <w:p>
            <w:pPr>
              <w:pStyle w:val="TableContents"/>
              <w:bidi w:val="0"/>
              <w:spacing w:before="0" w:after="283"/>
              <w:jc w:val="left"/>
              <w:rPr/>
            </w:pPr>
            <w:r>
              <w:rPr/>
              <w:t> </w:t>
            </w:r>
          </w:p>
        </w:tc>
        <w:tc>
          <w:tcPr>
            <w:tcW w:w="1225" w:type="dxa"/>
            <w:tcBorders/>
            <w:shd w:fill="EEEEEE" w:val="clear"/>
            <w:vAlign w:val="center"/>
          </w:tcPr>
          <w:p>
            <w:pPr>
              <w:pStyle w:val="TableContents"/>
              <w:bidi w:val="0"/>
              <w:spacing w:before="0" w:after="283"/>
              <w:jc w:val="right"/>
              <w:rPr/>
            </w:pPr>
            <w:r>
              <w:rPr/>
              <w:t>(11,683</w:t>
            </w:r>
          </w:p>
        </w:tc>
        <w:tc>
          <w:tcPr>
            <w:tcW w:w="98" w:type="dxa"/>
            <w:tcBorders/>
            <w:shd w:fill="EEEEEE" w:val="clear"/>
            <w:vAlign w:val="center"/>
          </w:tcPr>
          <w:p>
            <w:pPr>
              <w:pStyle w:val="TableContents"/>
              <w:bidi w:val="0"/>
              <w:spacing w:before="0" w:after="283"/>
              <w:jc w:val="left"/>
              <w:rPr/>
            </w:pPr>
            <w:r>
              <w:rPr/>
              <w:t>)</w:t>
            </w:r>
          </w:p>
        </w:tc>
        <w:tc>
          <w:tcPr>
            <w:tcW w:w="61" w:type="dxa"/>
            <w:tcBorders/>
            <w:shd w:fill="EEEEEE" w:val="clear"/>
            <w:vAlign w:val="center"/>
          </w:tcPr>
          <w:p>
            <w:pPr>
              <w:pStyle w:val="TableContents"/>
              <w:bidi w:val="0"/>
              <w:spacing w:before="0" w:after="283"/>
              <w:jc w:val="left"/>
              <w:rPr/>
            </w:pPr>
            <w:r>
              <w:rPr/>
              <w:t> </w:t>
            </w:r>
          </w:p>
        </w:tc>
        <w:tc>
          <w:tcPr>
            <w:tcW w:w="145" w:type="dxa"/>
            <w:tcBorders/>
            <w:shd w:fill="EEEEEE" w:val="clear"/>
            <w:vAlign w:val="center"/>
          </w:tcPr>
          <w:p>
            <w:pPr>
              <w:pStyle w:val="TableContents"/>
              <w:bidi w:val="0"/>
              <w:spacing w:before="0" w:after="283"/>
              <w:jc w:val="left"/>
              <w:rPr/>
            </w:pPr>
            <w:r>
              <w:rPr/>
              <w:t> </w:t>
            </w:r>
          </w:p>
        </w:tc>
        <w:tc>
          <w:tcPr>
            <w:tcW w:w="1147" w:type="dxa"/>
            <w:tcBorders/>
            <w:shd w:fill="EEEEEE" w:val="clear"/>
            <w:vAlign w:val="center"/>
          </w:tcPr>
          <w:p>
            <w:pPr>
              <w:pStyle w:val="TableContents"/>
              <w:bidi w:val="0"/>
              <w:spacing w:before="0" w:after="283"/>
              <w:jc w:val="right"/>
              <w:rPr/>
            </w:pPr>
            <w:r>
              <w:rPr/>
              <w:t>(13,232</w:t>
            </w:r>
          </w:p>
        </w:tc>
        <w:tc>
          <w:tcPr>
            <w:tcW w:w="114" w:type="dxa"/>
            <w:tcBorders/>
            <w:shd w:fill="EEEEEE" w:val="clear"/>
            <w:vAlign w:val="center"/>
          </w:tcPr>
          <w:p>
            <w:pPr>
              <w:pStyle w:val="TableContents"/>
              <w:bidi w:val="0"/>
              <w:spacing w:before="0" w:after="283"/>
              <w:jc w:val="left"/>
              <w:rPr/>
            </w:pPr>
            <w:r>
              <w:rPr/>
              <w:t>)</w:t>
            </w:r>
          </w:p>
        </w:tc>
      </w:tr>
      <w:tr>
        <w:trPr/>
        <w:tc>
          <w:tcPr>
            <w:tcW w:w="721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7"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144" w:name="xdx_40E_eus-gaap--NetIncomeLoss_iT_mtCz6"/>
            <w:bookmarkEnd w:id="144"/>
          </w:p>
        </w:tc>
      </w:tr>
      <w:tr>
        <w:trPr/>
        <w:tc>
          <w:tcPr>
            <w:tcW w:w="7210" w:type="dxa"/>
            <w:tcBorders/>
            <w:shd w:fill="EEEEEE" w:val="clear"/>
            <w:vAlign w:val="center"/>
          </w:tcPr>
          <w:p>
            <w:pPr>
              <w:pStyle w:val="TableContents"/>
              <w:bidi w:val="0"/>
              <w:spacing w:before="0" w:after="283"/>
              <w:jc w:val="left"/>
              <w:rPr/>
            </w:pPr>
            <w:r>
              <w:rPr/>
              <w:t>NET (LOSS) INCOME ATTRIBUTABLE TO iPOWER INC.</w:t>
            </w:r>
          </w:p>
        </w:tc>
        <w:tc>
          <w:tcPr>
            <w:tcW w:w="60" w:type="dxa"/>
            <w:tcBorders/>
            <w:shd w:fill="EEEEEE" w:val="clear"/>
            <w:vAlign w:val="center"/>
          </w:tcPr>
          <w:p>
            <w:pPr>
              <w:pStyle w:val="TableContents"/>
              <w:bidi w:val="0"/>
              <w:spacing w:before="0" w:after="283"/>
              <w:jc w:val="left"/>
              <w:rPr/>
            </w:pPr>
            <w:r>
              <w:rPr/>
              <w:t> </w:t>
            </w:r>
          </w:p>
        </w:tc>
        <w:tc>
          <w:tcPr>
            <w:tcW w:w="145" w:type="dxa"/>
            <w:tcBorders/>
            <w:shd w:fill="EEEEEE" w:val="clear"/>
            <w:vAlign w:val="center"/>
          </w:tcPr>
          <w:p>
            <w:pPr>
              <w:pStyle w:val="TableContents"/>
              <w:bidi w:val="0"/>
              <w:spacing w:before="0" w:after="283"/>
              <w:jc w:val="left"/>
              <w:rPr/>
            </w:pPr>
            <w:r>
              <w:rPr/>
              <w:t>$</w:t>
            </w:r>
          </w:p>
        </w:tc>
        <w:tc>
          <w:tcPr>
            <w:tcW w:w="1225" w:type="dxa"/>
            <w:tcBorders/>
            <w:shd w:fill="EEEEEE" w:val="clear"/>
            <w:vAlign w:val="center"/>
          </w:tcPr>
          <w:p>
            <w:pPr>
              <w:pStyle w:val="TableContents"/>
              <w:bidi w:val="0"/>
              <w:spacing w:before="0" w:after="283"/>
              <w:jc w:val="right"/>
              <w:rPr/>
            </w:pPr>
            <w:r>
              <w:rPr/>
              <w:t>(11,965,390</w:t>
            </w:r>
          </w:p>
        </w:tc>
        <w:tc>
          <w:tcPr>
            <w:tcW w:w="98" w:type="dxa"/>
            <w:tcBorders/>
            <w:shd w:fill="EEEEEE" w:val="clear"/>
            <w:vAlign w:val="center"/>
          </w:tcPr>
          <w:p>
            <w:pPr>
              <w:pStyle w:val="TableContents"/>
              <w:bidi w:val="0"/>
              <w:spacing w:before="0" w:after="283"/>
              <w:jc w:val="left"/>
              <w:rPr/>
            </w:pPr>
            <w:r>
              <w:rPr/>
              <w:t>)</w:t>
            </w:r>
          </w:p>
        </w:tc>
        <w:tc>
          <w:tcPr>
            <w:tcW w:w="61" w:type="dxa"/>
            <w:tcBorders/>
            <w:shd w:fill="EEEEEE" w:val="clear"/>
            <w:vAlign w:val="center"/>
          </w:tcPr>
          <w:p>
            <w:pPr>
              <w:pStyle w:val="TableContents"/>
              <w:bidi w:val="0"/>
              <w:spacing w:before="0" w:after="283"/>
              <w:jc w:val="left"/>
              <w:rPr/>
            </w:pPr>
            <w:r>
              <w:rPr/>
              <w:t> </w:t>
            </w:r>
          </w:p>
        </w:tc>
        <w:tc>
          <w:tcPr>
            <w:tcW w:w="145" w:type="dxa"/>
            <w:tcBorders/>
            <w:shd w:fill="EEEEEE" w:val="clear"/>
            <w:vAlign w:val="center"/>
          </w:tcPr>
          <w:p>
            <w:pPr>
              <w:pStyle w:val="TableContents"/>
              <w:bidi w:val="0"/>
              <w:spacing w:before="0" w:after="283"/>
              <w:jc w:val="left"/>
              <w:rPr/>
            </w:pPr>
            <w:r>
              <w:rPr/>
              <w:t>$</w:t>
            </w:r>
          </w:p>
        </w:tc>
        <w:tc>
          <w:tcPr>
            <w:tcW w:w="1147" w:type="dxa"/>
            <w:tcBorders/>
            <w:shd w:fill="EEEEEE" w:val="clear"/>
            <w:vAlign w:val="center"/>
          </w:tcPr>
          <w:p>
            <w:pPr>
              <w:pStyle w:val="TableContents"/>
              <w:bidi w:val="0"/>
              <w:spacing w:before="0" w:after="283"/>
              <w:jc w:val="right"/>
              <w:rPr/>
            </w:pPr>
            <w:r>
              <w:rPr/>
              <w:t>1,517,875</w:t>
            </w:r>
          </w:p>
        </w:tc>
        <w:tc>
          <w:tcPr>
            <w:tcW w:w="114" w:type="dxa"/>
            <w:tcBorders/>
            <w:shd w:fill="EEEEEE" w:val="clear"/>
            <w:vAlign w:val="center"/>
          </w:tcPr>
          <w:p>
            <w:pPr>
              <w:pStyle w:val="TableContents"/>
              <w:bidi w:val="0"/>
              <w:spacing w:before="0" w:after="283"/>
              <w:jc w:val="left"/>
              <w:rPr/>
            </w:pPr>
            <w:r>
              <w:rPr/>
              <w:t> </w:t>
            </w:r>
          </w:p>
        </w:tc>
      </w:tr>
      <w:tr>
        <w:trPr/>
        <w:tc>
          <w:tcPr>
            <w:tcW w:w="7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145" w:name="xdx_40B_eus-gaap--OtherComprehensiveInco"/>
            <w:bookmarkEnd w:id="145"/>
          </w:p>
        </w:tc>
      </w:tr>
      <w:tr>
        <w:trPr/>
        <w:tc>
          <w:tcPr>
            <w:tcW w:w="7210" w:type="dxa"/>
            <w:tcBorders/>
            <w:shd w:fill="EEEEEE" w:val="clear"/>
            <w:vAlign w:val="center"/>
          </w:tcPr>
          <w:p>
            <w:pPr>
              <w:pStyle w:val="TableContents"/>
              <w:bidi w:val="0"/>
              <w:spacing w:before="0" w:after="283"/>
              <w:jc w:val="left"/>
              <w:rPr/>
            </w:pPr>
            <w:r>
              <w:rPr/>
              <w:t>OTHER COMPREHENSIVE LOSS</w:t>
            </w:r>
          </w:p>
        </w:tc>
        <w:tc>
          <w:tcPr>
            <w:tcW w:w="60" w:type="dxa"/>
            <w:tcBorders/>
            <w:shd w:fill="EEEEEE" w:val="clear"/>
            <w:vAlign w:val="center"/>
          </w:tcPr>
          <w:p>
            <w:pPr>
              <w:pStyle w:val="TableContents"/>
              <w:bidi w:val="0"/>
              <w:spacing w:before="0" w:after="283"/>
              <w:jc w:val="left"/>
              <w:rPr/>
            </w:pPr>
            <w:r>
              <w:rPr/>
              <w:t> </w:t>
            </w:r>
          </w:p>
        </w:tc>
        <w:tc>
          <w:tcPr>
            <w:tcW w:w="145" w:type="dxa"/>
            <w:tcBorders/>
            <w:shd w:fill="EEEEEE" w:val="clear"/>
            <w:vAlign w:val="center"/>
          </w:tcPr>
          <w:p>
            <w:pPr>
              <w:pStyle w:val="TableContents"/>
              <w:bidi w:val="0"/>
              <w:spacing w:before="0" w:after="283"/>
              <w:jc w:val="left"/>
              <w:rPr/>
            </w:pPr>
            <w:r>
              <w:rPr/>
              <w:t> </w:t>
            </w:r>
          </w:p>
        </w:tc>
        <w:tc>
          <w:tcPr>
            <w:tcW w:w="1225" w:type="dxa"/>
            <w:tcBorders/>
            <w:shd w:fill="EEEEEE" w:val="clear"/>
            <w:vAlign w:val="center"/>
          </w:tcPr>
          <w:p>
            <w:pPr>
              <w:pStyle w:val="TableContents"/>
              <w:bidi w:val="0"/>
              <w:spacing w:before="0" w:after="283"/>
              <w:jc w:val="right"/>
              <w:rPr/>
            </w:pPr>
            <w:r>
              <w:rPr/>
              <w:t> </w:t>
            </w:r>
          </w:p>
        </w:tc>
        <w:tc>
          <w:tcPr>
            <w:tcW w:w="98" w:type="dxa"/>
            <w:tcBorders/>
            <w:shd w:fill="EEEEEE" w:val="clear"/>
            <w:vAlign w:val="center"/>
          </w:tcPr>
          <w:p>
            <w:pPr>
              <w:pStyle w:val="TableContents"/>
              <w:bidi w:val="0"/>
              <w:spacing w:before="0" w:after="283"/>
              <w:jc w:val="left"/>
              <w:rPr/>
            </w:pPr>
            <w:r>
              <w:rPr/>
              <w:t> </w:t>
            </w:r>
          </w:p>
        </w:tc>
        <w:tc>
          <w:tcPr>
            <w:tcW w:w="61" w:type="dxa"/>
            <w:tcBorders/>
            <w:shd w:fill="EEEEEE" w:val="clear"/>
            <w:vAlign w:val="center"/>
          </w:tcPr>
          <w:p>
            <w:pPr>
              <w:pStyle w:val="TableContents"/>
              <w:bidi w:val="0"/>
              <w:spacing w:before="0" w:after="283"/>
              <w:jc w:val="left"/>
              <w:rPr/>
            </w:pPr>
            <w:r>
              <w:rPr/>
              <w:t> </w:t>
            </w:r>
          </w:p>
        </w:tc>
        <w:tc>
          <w:tcPr>
            <w:tcW w:w="145" w:type="dxa"/>
            <w:tcBorders/>
            <w:shd w:fill="EEEEEE" w:val="clear"/>
            <w:vAlign w:val="center"/>
          </w:tcPr>
          <w:p>
            <w:pPr>
              <w:pStyle w:val="TableContents"/>
              <w:bidi w:val="0"/>
              <w:spacing w:before="0" w:after="283"/>
              <w:jc w:val="left"/>
              <w:rPr/>
            </w:pPr>
            <w:r>
              <w:rPr/>
              <w:t> </w:t>
            </w:r>
          </w:p>
        </w:tc>
        <w:tc>
          <w:tcPr>
            <w:tcW w:w="1147" w:type="dxa"/>
            <w:tcBorders/>
            <w:shd w:fill="EEEEEE" w:val="clear"/>
            <w:vAlign w:val="center"/>
          </w:tcPr>
          <w:p>
            <w:pPr>
              <w:pStyle w:val="TableContents"/>
              <w:bidi w:val="0"/>
              <w:spacing w:before="0" w:after="283"/>
              <w:jc w:val="right"/>
              <w:rPr/>
            </w:pPr>
            <w:r>
              <w:rPr/>
              <w:t> </w:t>
            </w:r>
          </w:p>
        </w:tc>
        <w:tc>
          <w:tcPr>
            <w:tcW w:w="114" w:type="dxa"/>
            <w:tcBorders/>
            <w:shd w:fill="EEEEEE" w:val="clear"/>
            <w:vAlign w:val="center"/>
          </w:tcPr>
          <w:p>
            <w:pPr>
              <w:pStyle w:val="TableContents"/>
              <w:bidi w:val="0"/>
              <w:spacing w:before="0" w:after="283"/>
              <w:jc w:val="left"/>
              <w:rPr/>
            </w:pPr>
            <w:r>
              <w:rPr/>
              <w:t> </w:t>
            </w:r>
            <w:bookmarkStart w:id="146" w:name="xdx_403_eus-gaap--OtherComprehensiveInco"/>
            <w:bookmarkEnd w:id="146"/>
          </w:p>
        </w:tc>
      </w:tr>
      <w:tr>
        <w:trPr/>
        <w:tc>
          <w:tcPr>
            <w:tcW w:w="7210" w:type="dxa"/>
            <w:tcBorders/>
            <w:shd w:fill="FFFFFF" w:val="clear"/>
            <w:vAlign w:val="center"/>
          </w:tcPr>
          <w:p>
            <w:pPr>
              <w:pStyle w:val="TableContents"/>
              <w:bidi w:val="0"/>
              <w:spacing w:before="0" w:after="283"/>
              <w:jc w:val="left"/>
              <w:rPr/>
            </w:pPr>
            <w:r>
              <w:rPr/>
              <w:t>Foreign currency translation adjustments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(67,812</w:t>
            </w:r>
          </w:p>
        </w:tc>
        <w:tc>
          <w:tcPr>
            <w:tcW w:w="98"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5,678</w:t>
            </w:r>
          </w:p>
        </w:tc>
        <w:tc>
          <w:tcPr>
            <w:tcW w:w="114" w:type="dxa"/>
            <w:tcBorders/>
            <w:shd w:fill="FFFFFF" w:val="clear"/>
            <w:vAlign w:val="center"/>
          </w:tcPr>
          <w:p>
            <w:pPr>
              <w:pStyle w:val="TableContents"/>
              <w:bidi w:val="0"/>
              <w:spacing w:before="0" w:after="283"/>
              <w:jc w:val="left"/>
              <w:rPr/>
            </w:pPr>
            <w:r>
              <w:rPr/>
              <w:t> </w:t>
            </w:r>
          </w:p>
        </w:tc>
      </w:tr>
      <w:tr>
        <w:trPr/>
        <w:tc>
          <w:tcPr>
            <w:tcW w:w="721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5"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225" w:type="dxa"/>
            <w:tcBorders>
              <w:bottom w:val="single" w:sz="8" w:space="0" w:color="000000"/>
            </w:tcBorders>
            <w:shd w:fill="EEEEEE" w:val="clear"/>
            <w:tcMar>
              <w:bottom w:w="28" w:type="dxa"/>
            </w:tcMar>
            <w:vAlign w:val="center"/>
          </w:tcPr>
          <w:p>
            <w:pPr>
              <w:pStyle w:val="TableContents"/>
              <w:bidi w:val="0"/>
              <w:spacing w:before="0" w:after="283"/>
              <w:jc w:val="right"/>
              <w:rPr/>
            </w:pPr>
            <w:r>
              <w:rPr/>
              <w:t> </w:t>
            </w:r>
          </w:p>
        </w:tc>
        <w:tc>
          <w:tcPr>
            <w:tcW w:w="98" w:type="dxa"/>
            <w:tcBorders/>
            <w:shd w:fill="EEEEEE" w:val="clear"/>
            <w:vAlign w:val="center"/>
          </w:tcPr>
          <w:p>
            <w:pPr>
              <w:pStyle w:val="TableContents"/>
              <w:bidi w:val="0"/>
              <w:spacing w:before="0" w:after="283"/>
              <w:jc w:val="left"/>
              <w:rPr/>
            </w:pPr>
            <w:r>
              <w:rPr/>
              <w:t> </w:t>
            </w:r>
          </w:p>
        </w:tc>
        <w:tc>
          <w:tcPr>
            <w:tcW w:w="61" w:type="dxa"/>
            <w:tcBorders/>
            <w:shd w:fill="EEEEEE" w:val="clear"/>
            <w:vAlign w:val="center"/>
          </w:tcPr>
          <w:p>
            <w:pPr>
              <w:pStyle w:val="TableContents"/>
              <w:bidi w:val="0"/>
              <w:spacing w:before="0" w:after="283"/>
              <w:jc w:val="left"/>
              <w:rPr/>
            </w:pPr>
            <w:r>
              <w:rPr/>
              <w:t> </w:t>
            </w:r>
          </w:p>
        </w:tc>
        <w:tc>
          <w:tcPr>
            <w:tcW w:w="145"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47" w:type="dxa"/>
            <w:tcBorders>
              <w:bottom w:val="single" w:sz="8" w:space="0" w:color="000000"/>
            </w:tcBorders>
            <w:shd w:fill="EEEEEE" w:val="clear"/>
            <w:tcMar>
              <w:bottom w:w="28" w:type="dxa"/>
            </w:tcMar>
            <w:vAlign w:val="center"/>
          </w:tcPr>
          <w:p>
            <w:pPr>
              <w:pStyle w:val="TableContents"/>
              <w:bidi w:val="0"/>
              <w:spacing w:before="0" w:after="283"/>
              <w:jc w:val="right"/>
              <w:rPr/>
            </w:pPr>
            <w:r>
              <w:rPr/>
              <w:t> </w:t>
            </w:r>
          </w:p>
        </w:tc>
        <w:tc>
          <w:tcPr>
            <w:tcW w:w="114" w:type="dxa"/>
            <w:tcBorders/>
            <w:shd w:fill="EEEEEE" w:val="clear"/>
            <w:vAlign w:val="center"/>
          </w:tcPr>
          <w:p>
            <w:pPr>
              <w:pStyle w:val="TableContents"/>
              <w:bidi w:val="0"/>
              <w:spacing w:before="0" w:after="283"/>
              <w:jc w:val="left"/>
              <w:rPr/>
            </w:pPr>
            <w:r>
              <w:rPr/>
              <w:t> </w:t>
            </w:r>
            <w:bookmarkStart w:id="147" w:name="xdx_401_eus-gaap--ComprehensiveIncomeNet"/>
            <w:bookmarkEnd w:id="147"/>
          </w:p>
        </w:tc>
      </w:tr>
      <w:tr>
        <w:trPr/>
        <w:tc>
          <w:tcPr>
            <w:tcW w:w="7210" w:type="dxa"/>
            <w:tcBorders/>
            <w:shd w:fill="FFFFFF" w:val="clear"/>
            <w:vAlign w:val="center"/>
          </w:tcPr>
          <w:p>
            <w:pPr>
              <w:pStyle w:val="TableContents"/>
              <w:bidi w:val="0"/>
              <w:spacing w:before="0" w:after="283"/>
              <w:jc w:val="left"/>
              <w:rPr/>
            </w:pPr>
            <w:r>
              <w:rPr/>
              <w:t>COMPREHENSIVE (LOSS) INCOME ATTRIBUTABLE TO iPOWER INC.</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25" w:type="dxa"/>
            <w:tcBorders>
              <w:bottom w:val="double" w:sz="6" w:space="0" w:color="000000"/>
            </w:tcBorders>
            <w:shd w:fill="FFFFFF" w:val="clear"/>
            <w:tcMar>
              <w:bottom w:w="28" w:type="dxa"/>
            </w:tcMar>
            <w:vAlign w:val="center"/>
          </w:tcPr>
          <w:p>
            <w:pPr>
              <w:pStyle w:val="TableContents"/>
              <w:bidi w:val="0"/>
              <w:spacing w:before="0" w:after="283"/>
              <w:jc w:val="right"/>
              <w:rPr/>
            </w:pPr>
            <w:r>
              <w:rPr/>
              <w:t>(12,033,202</w:t>
            </w:r>
          </w:p>
        </w:tc>
        <w:tc>
          <w:tcPr>
            <w:tcW w:w="98"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47" w:type="dxa"/>
            <w:tcBorders>
              <w:bottom w:val="double" w:sz="6" w:space="0" w:color="000000"/>
            </w:tcBorders>
            <w:shd w:fill="FFFFFF" w:val="clear"/>
            <w:tcMar>
              <w:bottom w:w="28" w:type="dxa"/>
            </w:tcMar>
            <w:vAlign w:val="center"/>
          </w:tcPr>
          <w:p>
            <w:pPr>
              <w:pStyle w:val="TableContents"/>
              <w:bidi w:val="0"/>
              <w:spacing w:before="0" w:after="283"/>
              <w:jc w:val="right"/>
              <w:rPr/>
            </w:pPr>
            <w:r>
              <w:rPr/>
              <w:t>1,523,553</w:t>
            </w:r>
          </w:p>
        </w:tc>
        <w:tc>
          <w:tcPr>
            <w:tcW w:w="114" w:type="dxa"/>
            <w:tcBorders/>
            <w:shd w:fill="FFFFFF" w:val="clear"/>
            <w:vAlign w:val="center"/>
          </w:tcPr>
          <w:p>
            <w:pPr>
              <w:pStyle w:val="TableContents"/>
              <w:bidi w:val="0"/>
              <w:spacing w:before="0" w:after="283"/>
              <w:jc w:val="left"/>
              <w:rPr/>
            </w:pPr>
            <w:r>
              <w:rPr/>
              <w:t> </w:t>
            </w:r>
          </w:p>
        </w:tc>
      </w:tr>
      <w:tr>
        <w:trPr/>
        <w:tc>
          <w:tcPr>
            <w:tcW w:w="7210"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145" w:type="dxa"/>
            <w:tcBorders/>
            <w:shd w:fill="EEEEEE" w:val="clear"/>
            <w:vAlign w:val="center"/>
          </w:tcPr>
          <w:p>
            <w:pPr>
              <w:pStyle w:val="TableContents"/>
              <w:bidi w:val="0"/>
              <w:spacing w:before="0" w:after="283"/>
              <w:jc w:val="left"/>
              <w:rPr/>
            </w:pPr>
            <w:r>
              <w:rPr/>
              <w:t> </w:t>
            </w:r>
          </w:p>
        </w:tc>
        <w:tc>
          <w:tcPr>
            <w:tcW w:w="1225" w:type="dxa"/>
            <w:tcBorders/>
            <w:shd w:fill="EEEEEE" w:val="clear"/>
            <w:vAlign w:val="center"/>
          </w:tcPr>
          <w:p>
            <w:pPr>
              <w:pStyle w:val="TableContents"/>
              <w:bidi w:val="0"/>
              <w:spacing w:before="0" w:after="283"/>
              <w:jc w:val="right"/>
              <w:rPr/>
            </w:pPr>
            <w:r>
              <w:rPr/>
              <w:t> </w:t>
            </w:r>
          </w:p>
        </w:tc>
        <w:tc>
          <w:tcPr>
            <w:tcW w:w="98" w:type="dxa"/>
            <w:tcBorders/>
            <w:shd w:fill="EEEEEE" w:val="clear"/>
            <w:vAlign w:val="center"/>
          </w:tcPr>
          <w:p>
            <w:pPr>
              <w:pStyle w:val="TableContents"/>
              <w:bidi w:val="0"/>
              <w:spacing w:before="0" w:after="283"/>
              <w:jc w:val="left"/>
              <w:rPr/>
            </w:pPr>
            <w:r>
              <w:rPr/>
              <w:t> </w:t>
            </w:r>
          </w:p>
        </w:tc>
        <w:tc>
          <w:tcPr>
            <w:tcW w:w="61" w:type="dxa"/>
            <w:tcBorders/>
            <w:shd w:fill="EEEEEE" w:val="clear"/>
            <w:vAlign w:val="center"/>
          </w:tcPr>
          <w:p>
            <w:pPr>
              <w:pStyle w:val="TableContents"/>
              <w:bidi w:val="0"/>
              <w:spacing w:before="0" w:after="283"/>
              <w:jc w:val="left"/>
              <w:rPr/>
            </w:pPr>
            <w:r>
              <w:rPr/>
              <w:t> </w:t>
            </w:r>
          </w:p>
        </w:tc>
        <w:tc>
          <w:tcPr>
            <w:tcW w:w="145" w:type="dxa"/>
            <w:tcBorders/>
            <w:shd w:fill="EEEEEE" w:val="clear"/>
            <w:vAlign w:val="center"/>
          </w:tcPr>
          <w:p>
            <w:pPr>
              <w:pStyle w:val="TableContents"/>
              <w:bidi w:val="0"/>
              <w:spacing w:before="0" w:after="283"/>
              <w:jc w:val="left"/>
              <w:rPr/>
            </w:pPr>
            <w:r>
              <w:rPr/>
              <w:t> </w:t>
            </w:r>
          </w:p>
        </w:tc>
        <w:tc>
          <w:tcPr>
            <w:tcW w:w="1147" w:type="dxa"/>
            <w:tcBorders/>
            <w:shd w:fill="EEEEEE" w:val="clear"/>
            <w:vAlign w:val="center"/>
          </w:tcPr>
          <w:p>
            <w:pPr>
              <w:pStyle w:val="TableContents"/>
              <w:bidi w:val="0"/>
              <w:spacing w:before="0" w:after="283"/>
              <w:jc w:val="right"/>
              <w:rPr/>
            </w:pPr>
            <w:r>
              <w:rPr/>
              <w:t> </w:t>
            </w:r>
          </w:p>
        </w:tc>
        <w:tc>
          <w:tcPr>
            <w:tcW w:w="114" w:type="dxa"/>
            <w:tcBorders/>
            <w:shd w:fill="EEEEEE" w:val="clear"/>
            <w:vAlign w:val="center"/>
          </w:tcPr>
          <w:p>
            <w:pPr>
              <w:pStyle w:val="TableContents"/>
              <w:bidi w:val="0"/>
              <w:spacing w:before="0" w:after="283"/>
              <w:jc w:val="left"/>
              <w:rPr/>
            </w:pPr>
            <w:r>
              <w:rPr/>
              <w:t> </w:t>
            </w:r>
            <w:bookmarkStart w:id="148" w:name="xdx_40F_eus-gaap--WeightedAverageNumberO"/>
            <w:bookmarkEnd w:id="148"/>
          </w:p>
        </w:tc>
      </w:tr>
      <w:tr>
        <w:trPr/>
        <w:tc>
          <w:tcPr>
            <w:tcW w:w="7210" w:type="dxa"/>
            <w:tcBorders/>
            <w:shd w:fill="FFFFFF" w:val="clear"/>
            <w:vAlign w:val="center"/>
          </w:tcPr>
          <w:p>
            <w:pPr>
              <w:pStyle w:val="TableContents"/>
              <w:bidi w:val="0"/>
              <w:spacing w:before="0" w:after="283"/>
              <w:jc w:val="left"/>
              <w:rPr/>
            </w:pPr>
            <w:r>
              <w:rPr/>
              <w:t>WEIGHTED AVERAGE NUMBER OF COMMON STOCK</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149" w:name="xdx_40E_eus-gaap--WeightedAverageNumberO"/>
            <w:bookmarkEnd w:id="149"/>
          </w:p>
        </w:tc>
      </w:tr>
      <w:tr>
        <w:trPr/>
        <w:tc>
          <w:tcPr>
            <w:tcW w:w="7210" w:type="dxa"/>
            <w:tcBorders/>
            <w:shd w:fill="EEEEEE" w:val="clear"/>
            <w:vAlign w:val="center"/>
          </w:tcPr>
          <w:p>
            <w:pPr>
              <w:pStyle w:val="TableContents"/>
              <w:bidi w:val="0"/>
              <w:spacing w:before="0" w:after="283"/>
              <w:jc w:val="left"/>
              <w:rPr/>
            </w:pPr>
            <w:r>
              <w:rPr/>
              <w:t>Basic</w:t>
            </w:r>
          </w:p>
        </w:tc>
        <w:tc>
          <w:tcPr>
            <w:tcW w:w="60" w:type="dxa"/>
            <w:tcBorders/>
            <w:shd w:fill="EEEEEE" w:val="clear"/>
            <w:vAlign w:val="center"/>
          </w:tcPr>
          <w:p>
            <w:pPr>
              <w:pStyle w:val="TableContents"/>
              <w:bidi w:val="0"/>
              <w:spacing w:before="0" w:after="283"/>
              <w:jc w:val="left"/>
              <w:rPr/>
            </w:pPr>
            <w:r>
              <w:rPr/>
              <w:t> </w:t>
            </w:r>
          </w:p>
        </w:tc>
        <w:tc>
          <w:tcPr>
            <w:tcW w:w="145" w:type="dxa"/>
            <w:tcBorders>
              <w:bottom w:val="double" w:sz="6" w:space="0" w:color="000000"/>
            </w:tcBorders>
            <w:shd w:fill="EEEEEE" w:val="clear"/>
            <w:tcMar>
              <w:bottom w:w="28" w:type="dxa"/>
            </w:tcMar>
            <w:vAlign w:val="center"/>
          </w:tcPr>
          <w:p>
            <w:pPr>
              <w:pStyle w:val="TableContents"/>
              <w:bidi w:val="0"/>
              <w:spacing w:before="0" w:after="283"/>
              <w:jc w:val="left"/>
              <w:rPr/>
            </w:pPr>
            <w:r>
              <w:rPr/>
              <w:t> </w:t>
            </w:r>
          </w:p>
        </w:tc>
        <w:tc>
          <w:tcPr>
            <w:tcW w:w="1225" w:type="dxa"/>
            <w:tcBorders>
              <w:bottom w:val="double" w:sz="6" w:space="0" w:color="000000"/>
            </w:tcBorders>
            <w:shd w:fill="EEEEEE" w:val="clear"/>
            <w:tcMar>
              <w:bottom w:w="28" w:type="dxa"/>
            </w:tcMar>
            <w:vAlign w:val="center"/>
          </w:tcPr>
          <w:p>
            <w:pPr>
              <w:pStyle w:val="TableContents"/>
              <w:bidi w:val="0"/>
              <w:spacing w:before="0" w:after="283"/>
              <w:jc w:val="right"/>
              <w:rPr/>
            </w:pPr>
            <w:r>
              <w:rPr/>
              <w:t>29,713,354</w:t>
            </w:r>
          </w:p>
        </w:tc>
        <w:tc>
          <w:tcPr>
            <w:tcW w:w="98" w:type="dxa"/>
            <w:tcBorders/>
            <w:shd w:fill="EEEEEE" w:val="clear"/>
            <w:vAlign w:val="center"/>
          </w:tcPr>
          <w:p>
            <w:pPr>
              <w:pStyle w:val="TableContents"/>
              <w:bidi w:val="0"/>
              <w:spacing w:before="0" w:after="283"/>
              <w:jc w:val="left"/>
              <w:rPr/>
            </w:pPr>
            <w:r>
              <w:rPr/>
              <w:t> </w:t>
            </w:r>
          </w:p>
        </w:tc>
        <w:tc>
          <w:tcPr>
            <w:tcW w:w="61" w:type="dxa"/>
            <w:tcBorders/>
            <w:shd w:fill="EEEEEE" w:val="clear"/>
            <w:vAlign w:val="center"/>
          </w:tcPr>
          <w:p>
            <w:pPr>
              <w:pStyle w:val="TableContents"/>
              <w:bidi w:val="0"/>
              <w:spacing w:before="0" w:after="283"/>
              <w:jc w:val="left"/>
              <w:rPr/>
            </w:pPr>
            <w:r>
              <w:rPr/>
              <w:t> </w:t>
            </w:r>
          </w:p>
        </w:tc>
        <w:tc>
          <w:tcPr>
            <w:tcW w:w="145" w:type="dxa"/>
            <w:tcBorders>
              <w:bottom w:val="double" w:sz="6" w:space="0" w:color="000000"/>
            </w:tcBorders>
            <w:shd w:fill="EEEEEE" w:val="clear"/>
            <w:tcMar>
              <w:bottom w:w="28" w:type="dxa"/>
            </w:tcMar>
            <w:vAlign w:val="center"/>
          </w:tcPr>
          <w:p>
            <w:pPr>
              <w:pStyle w:val="TableContents"/>
              <w:bidi w:val="0"/>
              <w:spacing w:before="0" w:after="283"/>
              <w:jc w:val="left"/>
              <w:rPr/>
            </w:pPr>
            <w:r>
              <w:rPr/>
              <w:t> </w:t>
            </w:r>
          </w:p>
        </w:tc>
        <w:tc>
          <w:tcPr>
            <w:tcW w:w="1147" w:type="dxa"/>
            <w:tcBorders>
              <w:bottom w:val="double" w:sz="6" w:space="0" w:color="000000"/>
            </w:tcBorders>
            <w:shd w:fill="EEEEEE" w:val="clear"/>
            <w:tcMar>
              <w:bottom w:w="28" w:type="dxa"/>
            </w:tcMar>
            <w:vAlign w:val="center"/>
          </w:tcPr>
          <w:p>
            <w:pPr>
              <w:pStyle w:val="TableContents"/>
              <w:bidi w:val="0"/>
              <w:spacing w:before="0" w:after="283"/>
              <w:jc w:val="right"/>
              <w:rPr/>
            </w:pPr>
            <w:r>
              <w:rPr/>
              <w:t>27,781,493</w:t>
            </w:r>
          </w:p>
        </w:tc>
        <w:tc>
          <w:tcPr>
            <w:tcW w:w="114" w:type="dxa"/>
            <w:tcBorders/>
            <w:shd w:fill="EEEEEE" w:val="clear"/>
            <w:vAlign w:val="center"/>
          </w:tcPr>
          <w:p>
            <w:pPr>
              <w:pStyle w:val="TableContents"/>
              <w:bidi w:val="0"/>
              <w:spacing w:before="0" w:after="283"/>
              <w:jc w:val="left"/>
              <w:rPr/>
            </w:pPr>
            <w:r>
              <w:rPr/>
              <w:t> </w:t>
            </w:r>
          </w:p>
        </w:tc>
      </w:tr>
      <w:tr>
        <w:trPr/>
        <w:tc>
          <w:tcPr>
            <w:tcW w:w="721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150" w:name="xdx_404_eus-gaap--WeightedAverageNumberO"/>
            <w:bookmarkEnd w:id="150"/>
          </w:p>
        </w:tc>
      </w:tr>
      <w:tr>
        <w:trPr/>
        <w:tc>
          <w:tcPr>
            <w:tcW w:w="7210" w:type="dxa"/>
            <w:tcBorders/>
            <w:shd w:fill="EEEEEE" w:val="clear"/>
            <w:vAlign w:val="center"/>
          </w:tcPr>
          <w:p>
            <w:pPr>
              <w:pStyle w:val="TableContents"/>
              <w:bidi w:val="0"/>
              <w:spacing w:before="0" w:after="283"/>
              <w:jc w:val="left"/>
              <w:rPr/>
            </w:pPr>
            <w:r>
              <w:rPr/>
              <w:t>Diluted</w:t>
            </w:r>
          </w:p>
        </w:tc>
        <w:tc>
          <w:tcPr>
            <w:tcW w:w="60" w:type="dxa"/>
            <w:tcBorders/>
            <w:shd w:fill="EEEEEE" w:val="clear"/>
            <w:vAlign w:val="center"/>
          </w:tcPr>
          <w:p>
            <w:pPr>
              <w:pStyle w:val="TableContents"/>
              <w:bidi w:val="0"/>
              <w:spacing w:before="0" w:after="283"/>
              <w:jc w:val="left"/>
              <w:rPr/>
            </w:pPr>
            <w:r>
              <w:rPr/>
              <w:t> </w:t>
            </w:r>
          </w:p>
        </w:tc>
        <w:tc>
          <w:tcPr>
            <w:tcW w:w="145" w:type="dxa"/>
            <w:tcBorders>
              <w:bottom w:val="double" w:sz="6" w:space="0" w:color="000000"/>
            </w:tcBorders>
            <w:shd w:fill="EEEEEE" w:val="clear"/>
            <w:tcMar>
              <w:bottom w:w="28" w:type="dxa"/>
            </w:tcMar>
            <w:vAlign w:val="center"/>
          </w:tcPr>
          <w:p>
            <w:pPr>
              <w:pStyle w:val="TableContents"/>
              <w:bidi w:val="0"/>
              <w:spacing w:before="0" w:after="283"/>
              <w:jc w:val="left"/>
              <w:rPr/>
            </w:pPr>
            <w:r>
              <w:rPr/>
              <w:t> </w:t>
            </w:r>
          </w:p>
        </w:tc>
        <w:tc>
          <w:tcPr>
            <w:tcW w:w="1225" w:type="dxa"/>
            <w:tcBorders>
              <w:bottom w:val="double" w:sz="6" w:space="0" w:color="000000"/>
            </w:tcBorders>
            <w:shd w:fill="EEEEEE" w:val="clear"/>
            <w:tcMar>
              <w:bottom w:w="28" w:type="dxa"/>
            </w:tcMar>
            <w:vAlign w:val="center"/>
          </w:tcPr>
          <w:p>
            <w:pPr>
              <w:pStyle w:val="TableContents"/>
              <w:bidi w:val="0"/>
              <w:spacing w:before="0" w:after="283"/>
              <w:jc w:val="right"/>
              <w:rPr/>
            </w:pPr>
            <w:r>
              <w:rPr/>
              <w:t>29,713,354</w:t>
            </w:r>
          </w:p>
        </w:tc>
        <w:tc>
          <w:tcPr>
            <w:tcW w:w="98" w:type="dxa"/>
            <w:tcBorders/>
            <w:shd w:fill="EEEEEE" w:val="clear"/>
            <w:vAlign w:val="center"/>
          </w:tcPr>
          <w:p>
            <w:pPr>
              <w:pStyle w:val="TableContents"/>
              <w:bidi w:val="0"/>
              <w:spacing w:before="0" w:after="283"/>
              <w:jc w:val="left"/>
              <w:rPr/>
            </w:pPr>
            <w:r>
              <w:rPr/>
              <w:t> </w:t>
            </w:r>
          </w:p>
        </w:tc>
        <w:tc>
          <w:tcPr>
            <w:tcW w:w="61" w:type="dxa"/>
            <w:tcBorders/>
            <w:shd w:fill="EEEEEE" w:val="clear"/>
            <w:vAlign w:val="center"/>
          </w:tcPr>
          <w:p>
            <w:pPr>
              <w:pStyle w:val="TableContents"/>
              <w:bidi w:val="0"/>
              <w:spacing w:before="0" w:after="283"/>
              <w:jc w:val="left"/>
              <w:rPr/>
            </w:pPr>
            <w:r>
              <w:rPr/>
              <w:t> </w:t>
            </w:r>
          </w:p>
        </w:tc>
        <w:tc>
          <w:tcPr>
            <w:tcW w:w="145" w:type="dxa"/>
            <w:tcBorders>
              <w:bottom w:val="double" w:sz="6" w:space="0" w:color="000000"/>
            </w:tcBorders>
            <w:shd w:fill="EEEEEE" w:val="clear"/>
            <w:tcMar>
              <w:bottom w:w="28" w:type="dxa"/>
            </w:tcMar>
            <w:vAlign w:val="center"/>
          </w:tcPr>
          <w:p>
            <w:pPr>
              <w:pStyle w:val="TableContents"/>
              <w:bidi w:val="0"/>
              <w:spacing w:before="0" w:after="283"/>
              <w:jc w:val="left"/>
              <w:rPr/>
            </w:pPr>
            <w:r>
              <w:rPr/>
              <w:t> </w:t>
            </w:r>
          </w:p>
        </w:tc>
        <w:tc>
          <w:tcPr>
            <w:tcW w:w="1147" w:type="dxa"/>
            <w:tcBorders>
              <w:bottom w:val="double" w:sz="6" w:space="0" w:color="000000"/>
            </w:tcBorders>
            <w:shd w:fill="EEEEEE" w:val="clear"/>
            <w:tcMar>
              <w:bottom w:w="28" w:type="dxa"/>
            </w:tcMar>
            <w:vAlign w:val="center"/>
          </w:tcPr>
          <w:p>
            <w:pPr>
              <w:pStyle w:val="TableContents"/>
              <w:bidi w:val="0"/>
              <w:spacing w:before="0" w:after="283"/>
              <w:jc w:val="right"/>
              <w:rPr/>
            </w:pPr>
            <w:r>
              <w:rPr/>
              <w:t>27,781,493</w:t>
            </w:r>
          </w:p>
        </w:tc>
        <w:tc>
          <w:tcPr>
            <w:tcW w:w="114" w:type="dxa"/>
            <w:tcBorders/>
            <w:shd w:fill="EEEEEE" w:val="clear"/>
            <w:vAlign w:val="center"/>
          </w:tcPr>
          <w:p>
            <w:pPr>
              <w:pStyle w:val="TableContents"/>
              <w:bidi w:val="0"/>
              <w:spacing w:before="0" w:after="283"/>
              <w:jc w:val="left"/>
              <w:rPr/>
            </w:pPr>
            <w:r>
              <w:rPr/>
              <w:t> </w:t>
            </w:r>
          </w:p>
        </w:tc>
      </w:tr>
      <w:tr>
        <w:trPr/>
        <w:tc>
          <w:tcPr>
            <w:tcW w:w="721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151" w:name="xdx_400_ecustom--EarningsLossesPerShareA"/>
            <w:bookmarkEnd w:id="151"/>
          </w:p>
        </w:tc>
      </w:tr>
      <w:tr>
        <w:trPr/>
        <w:tc>
          <w:tcPr>
            <w:tcW w:w="7210" w:type="dxa"/>
            <w:tcBorders/>
            <w:shd w:fill="EEEEEE" w:val="clear"/>
            <w:vAlign w:val="center"/>
          </w:tcPr>
          <w:p>
            <w:pPr>
              <w:pStyle w:val="TableContents"/>
              <w:bidi w:val="0"/>
              <w:spacing w:before="0" w:after="283"/>
              <w:jc w:val="left"/>
              <w:rPr/>
            </w:pPr>
            <w:r>
              <w:rPr/>
              <w:t>(LOSSES) EARNINGS PER SHARE</w:t>
            </w:r>
          </w:p>
        </w:tc>
        <w:tc>
          <w:tcPr>
            <w:tcW w:w="60" w:type="dxa"/>
            <w:tcBorders/>
            <w:shd w:fill="EEEEEE" w:val="clear"/>
            <w:vAlign w:val="center"/>
          </w:tcPr>
          <w:p>
            <w:pPr>
              <w:pStyle w:val="TableContents"/>
              <w:bidi w:val="0"/>
              <w:spacing w:before="0" w:after="283"/>
              <w:jc w:val="left"/>
              <w:rPr/>
            </w:pPr>
            <w:r>
              <w:rPr/>
              <w:t> </w:t>
            </w:r>
          </w:p>
        </w:tc>
        <w:tc>
          <w:tcPr>
            <w:tcW w:w="145" w:type="dxa"/>
            <w:tcBorders/>
            <w:shd w:fill="EEEEEE" w:val="clear"/>
            <w:vAlign w:val="center"/>
          </w:tcPr>
          <w:p>
            <w:pPr>
              <w:pStyle w:val="TableContents"/>
              <w:bidi w:val="0"/>
              <w:spacing w:before="0" w:after="283"/>
              <w:jc w:val="left"/>
              <w:rPr/>
            </w:pPr>
            <w:r>
              <w:rPr/>
              <w:t> </w:t>
            </w:r>
          </w:p>
        </w:tc>
        <w:tc>
          <w:tcPr>
            <w:tcW w:w="1225" w:type="dxa"/>
            <w:tcBorders/>
            <w:shd w:fill="EEEEEE" w:val="clear"/>
            <w:vAlign w:val="center"/>
          </w:tcPr>
          <w:p>
            <w:pPr>
              <w:pStyle w:val="TableContents"/>
              <w:bidi w:val="0"/>
              <w:spacing w:before="0" w:after="283"/>
              <w:jc w:val="right"/>
              <w:rPr/>
            </w:pPr>
            <w:r>
              <w:rPr/>
              <w:t> </w:t>
            </w:r>
          </w:p>
        </w:tc>
        <w:tc>
          <w:tcPr>
            <w:tcW w:w="98" w:type="dxa"/>
            <w:tcBorders/>
            <w:shd w:fill="EEEEEE" w:val="clear"/>
            <w:vAlign w:val="center"/>
          </w:tcPr>
          <w:p>
            <w:pPr>
              <w:pStyle w:val="TableContents"/>
              <w:bidi w:val="0"/>
              <w:spacing w:before="0" w:after="283"/>
              <w:jc w:val="left"/>
              <w:rPr/>
            </w:pPr>
            <w:r>
              <w:rPr/>
              <w:t> </w:t>
            </w:r>
          </w:p>
        </w:tc>
        <w:tc>
          <w:tcPr>
            <w:tcW w:w="61" w:type="dxa"/>
            <w:tcBorders/>
            <w:shd w:fill="EEEEEE" w:val="clear"/>
            <w:vAlign w:val="center"/>
          </w:tcPr>
          <w:p>
            <w:pPr>
              <w:pStyle w:val="TableContents"/>
              <w:bidi w:val="0"/>
              <w:spacing w:before="0" w:after="283"/>
              <w:jc w:val="left"/>
              <w:rPr/>
            </w:pPr>
            <w:r>
              <w:rPr/>
              <w:t> </w:t>
            </w:r>
          </w:p>
        </w:tc>
        <w:tc>
          <w:tcPr>
            <w:tcW w:w="145" w:type="dxa"/>
            <w:tcBorders/>
            <w:shd w:fill="EEEEEE" w:val="clear"/>
            <w:vAlign w:val="center"/>
          </w:tcPr>
          <w:p>
            <w:pPr>
              <w:pStyle w:val="TableContents"/>
              <w:bidi w:val="0"/>
              <w:spacing w:before="0" w:after="283"/>
              <w:jc w:val="left"/>
              <w:rPr/>
            </w:pPr>
            <w:r>
              <w:rPr/>
              <w:t> </w:t>
            </w:r>
          </w:p>
        </w:tc>
        <w:tc>
          <w:tcPr>
            <w:tcW w:w="1147" w:type="dxa"/>
            <w:tcBorders/>
            <w:shd w:fill="EEEEEE" w:val="clear"/>
            <w:vAlign w:val="center"/>
          </w:tcPr>
          <w:p>
            <w:pPr>
              <w:pStyle w:val="TableContents"/>
              <w:bidi w:val="0"/>
              <w:spacing w:before="0" w:after="283"/>
              <w:jc w:val="right"/>
              <w:rPr/>
            </w:pPr>
            <w:r>
              <w:rPr/>
              <w:t> </w:t>
            </w:r>
          </w:p>
        </w:tc>
        <w:tc>
          <w:tcPr>
            <w:tcW w:w="114" w:type="dxa"/>
            <w:tcBorders/>
            <w:shd w:fill="EEEEEE" w:val="clear"/>
            <w:vAlign w:val="center"/>
          </w:tcPr>
          <w:p>
            <w:pPr>
              <w:pStyle w:val="TableContents"/>
              <w:bidi w:val="0"/>
              <w:spacing w:before="0" w:after="283"/>
              <w:jc w:val="left"/>
              <w:rPr/>
            </w:pPr>
            <w:r>
              <w:rPr/>
              <w:t> </w:t>
            </w:r>
            <w:bookmarkStart w:id="152" w:name="xdx_401_eus-gaap--EarningsPerShareBasic_"/>
            <w:bookmarkEnd w:id="152"/>
          </w:p>
        </w:tc>
      </w:tr>
      <w:tr>
        <w:trPr/>
        <w:tc>
          <w:tcPr>
            <w:tcW w:w="7210" w:type="dxa"/>
            <w:tcBorders/>
            <w:shd w:fill="FFFFFF" w:val="clear"/>
            <w:vAlign w:val="center"/>
          </w:tcPr>
          <w:p>
            <w:pPr>
              <w:pStyle w:val="TableContents"/>
              <w:bidi w:val="0"/>
              <w:spacing w:before="0" w:after="283"/>
              <w:jc w:val="left"/>
              <w:rPr/>
            </w:pPr>
            <w:r>
              <w:rPr/>
              <w:t>Basic</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25" w:type="dxa"/>
            <w:tcBorders>
              <w:bottom w:val="double" w:sz="6" w:space="0" w:color="000000"/>
            </w:tcBorders>
            <w:shd w:fill="FFFFFF" w:val="clear"/>
            <w:tcMar>
              <w:bottom w:w="28" w:type="dxa"/>
            </w:tcMar>
            <w:vAlign w:val="center"/>
          </w:tcPr>
          <w:p>
            <w:pPr>
              <w:pStyle w:val="TableContents"/>
              <w:bidi w:val="0"/>
              <w:spacing w:before="0" w:after="283"/>
              <w:jc w:val="right"/>
              <w:rPr/>
            </w:pPr>
            <w:r>
              <w:rPr/>
              <w:t>(0.403</w:t>
            </w:r>
          </w:p>
        </w:tc>
        <w:tc>
          <w:tcPr>
            <w:tcW w:w="98"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47" w:type="dxa"/>
            <w:tcBorders>
              <w:bottom w:val="double" w:sz="6" w:space="0" w:color="000000"/>
            </w:tcBorders>
            <w:shd w:fill="FFFFFF" w:val="clear"/>
            <w:tcMar>
              <w:bottom w:w="28" w:type="dxa"/>
            </w:tcMar>
            <w:vAlign w:val="center"/>
          </w:tcPr>
          <w:p>
            <w:pPr>
              <w:pStyle w:val="TableContents"/>
              <w:bidi w:val="0"/>
              <w:spacing w:before="0" w:after="283"/>
              <w:jc w:val="right"/>
              <w:rPr/>
            </w:pPr>
            <w:r>
              <w:rPr/>
              <w:t>0.055</w:t>
            </w:r>
          </w:p>
        </w:tc>
        <w:tc>
          <w:tcPr>
            <w:tcW w:w="114" w:type="dxa"/>
            <w:tcBorders/>
            <w:shd w:fill="FFFFFF" w:val="clear"/>
            <w:vAlign w:val="center"/>
          </w:tcPr>
          <w:p>
            <w:pPr>
              <w:pStyle w:val="TableContents"/>
              <w:bidi w:val="0"/>
              <w:spacing w:before="0" w:after="283"/>
              <w:jc w:val="left"/>
              <w:rPr/>
            </w:pPr>
            <w:r>
              <w:rPr/>
              <w:t> </w:t>
            </w:r>
          </w:p>
        </w:tc>
      </w:tr>
      <w:tr>
        <w:trPr/>
        <w:tc>
          <w:tcPr>
            <w:tcW w:w="7210"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145" w:type="dxa"/>
            <w:tcBorders/>
            <w:shd w:fill="EEEEEE" w:val="clear"/>
            <w:vAlign w:val="center"/>
          </w:tcPr>
          <w:p>
            <w:pPr>
              <w:pStyle w:val="TableContents"/>
              <w:bidi w:val="0"/>
              <w:spacing w:before="0" w:after="283"/>
              <w:jc w:val="left"/>
              <w:rPr/>
            </w:pPr>
            <w:r>
              <w:rPr/>
              <w:t> </w:t>
            </w:r>
          </w:p>
        </w:tc>
        <w:tc>
          <w:tcPr>
            <w:tcW w:w="1225" w:type="dxa"/>
            <w:tcBorders/>
            <w:shd w:fill="EEEEEE" w:val="clear"/>
            <w:vAlign w:val="center"/>
          </w:tcPr>
          <w:p>
            <w:pPr>
              <w:pStyle w:val="TableContents"/>
              <w:bidi w:val="0"/>
              <w:spacing w:before="0" w:after="283"/>
              <w:jc w:val="right"/>
              <w:rPr/>
            </w:pPr>
            <w:r>
              <w:rPr/>
              <w:t> </w:t>
            </w:r>
          </w:p>
        </w:tc>
        <w:tc>
          <w:tcPr>
            <w:tcW w:w="98" w:type="dxa"/>
            <w:tcBorders/>
            <w:shd w:fill="EEEEEE" w:val="clear"/>
            <w:vAlign w:val="center"/>
          </w:tcPr>
          <w:p>
            <w:pPr>
              <w:pStyle w:val="TableContents"/>
              <w:bidi w:val="0"/>
              <w:spacing w:before="0" w:after="283"/>
              <w:jc w:val="left"/>
              <w:rPr/>
            </w:pPr>
            <w:r>
              <w:rPr/>
              <w:t> </w:t>
            </w:r>
          </w:p>
        </w:tc>
        <w:tc>
          <w:tcPr>
            <w:tcW w:w="61" w:type="dxa"/>
            <w:tcBorders/>
            <w:shd w:fill="EEEEEE" w:val="clear"/>
            <w:vAlign w:val="center"/>
          </w:tcPr>
          <w:p>
            <w:pPr>
              <w:pStyle w:val="TableContents"/>
              <w:bidi w:val="0"/>
              <w:spacing w:before="0" w:after="283"/>
              <w:jc w:val="left"/>
              <w:rPr/>
            </w:pPr>
            <w:r>
              <w:rPr/>
              <w:t> </w:t>
            </w:r>
          </w:p>
        </w:tc>
        <w:tc>
          <w:tcPr>
            <w:tcW w:w="145" w:type="dxa"/>
            <w:tcBorders/>
            <w:shd w:fill="EEEEEE" w:val="clear"/>
            <w:vAlign w:val="center"/>
          </w:tcPr>
          <w:p>
            <w:pPr>
              <w:pStyle w:val="TableContents"/>
              <w:bidi w:val="0"/>
              <w:spacing w:before="0" w:after="283"/>
              <w:jc w:val="left"/>
              <w:rPr/>
            </w:pPr>
            <w:r>
              <w:rPr/>
              <w:t> </w:t>
            </w:r>
          </w:p>
        </w:tc>
        <w:tc>
          <w:tcPr>
            <w:tcW w:w="1147" w:type="dxa"/>
            <w:tcBorders/>
            <w:shd w:fill="EEEEEE" w:val="clear"/>
            <w:vAlign w:val="center"/>
          </w:tcPr>
          <w:p>
            <w:pPr>
              <w:pStyle w:val="TableContents"/>
              <w:bidi w:val="0"/>
              <w:spacing w:before="0" w:after="283"/>
              <w:jc w:val="right"/>
              <w:rPr/>
            </w:pPr>
            <w:r>
              <w:rPr/>
              <w:t> </w:t>
            </w:r>
          </w:p>
        </w:tc>
        <w:tc>
          <w:tcPr>
            <w:tcW w:w="114" w:type="dxa"/>
            <w:tcBorders/>
            <w:shd w:fill="EEEEEE" w:val="clear"/>
            <w:vAlign w:val="center"/>
          </w:tcPr>
          <w:p>
            <w:pPr>
              <w:pStyle w:val="TableContents"/>
              <w:bidi w:val="0"/>
              <w:spacing w:before="0" w:after="283"/>
              <w:jc w:val="left"/>
              <w:rPr/>
            </w:pPr>
            <w:r>
              <w:rPr/>
              <w:t> </w:t>
            </w:r>
            <w:bookmarkStart w:id="153" w:name="xdx_40D_eus-gaap--EarningsPerShareDilute"/>
            <w:bookmarkEnd w:id="153"/>
          </w:p>
        </w:tc>
      </w:tr>
      <w:tr>
        <w:trPr/>
        <w:tc>
          <w:tcPr>
            <w:tcW w:w="7210" w:type="dxa"/>
            <w:tcBorders/>
            <w:shd w:fill="FFFFFF" w:val="clear"/>
            <w:vAlign w:val="center"/>
          </w:tcPr>
          <w:p>
            <w:pPr>
              <w:pStyle w:val="TableContents"/>
              <w:bidi w:val="0"/>
              <w:spacing w:before="0" w:after="283"/>
              <w:jc w:val="left"/>
              <w:rPr/>
            </w:pPr>
            <w:r>
              <w:rPr/>
              <w:t>Diluted</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25" w:type="dxa"/>
            <w:tcBorders>
              <w:bottom w:val="double" w:sz="6" w:space="0" w:color="000000"/>
            </w:tcBorders>
            <w:shd w:fill="FFFFFF" w:val="clear"/>
            <w:tcMar>
              <w:bottom w:w="28" w:type="dxa"/>
            </w:tcMar>
            <w:vAlign w:val="center"/>
          </w:tcPr>
          <w:p>
            <w:pPr>
              <w:pStyle w:val="TableContents"/>
              <w:bidi w:val="0"/>
              <w:spacing w:before="0" w:after="283"/>
              <w:jc w:val="right"/>
              <w:rPr/>
            </w:pPr>
            <w:r>
              <w:rPr/>
              <w:t>(0.403</w:t>
            </w:r>
          </w:p>
        </w:tc>
        <w:tc>
          <w:tcPr>
            <w:tcW w:w="98"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47" w:type="dxa"/>
            <w:tcBorders>
              <w:bottom w:val="double" w:sz="6" w:space="0" w:color="000000"/>
            </w:tcBorders>
            <w:shd w:fill="FFFFFF" w:val="clear"/>
            <w:tcMar>
              <w:bottom w:w="28" w:type="dxa"/>
            </w:tcMar>
            <w:vAlign w:val="center"/>
          </w:tcPr>
          <w:p>
            <w:pPr>
              <w:pStyle w:val="TableContents"/>
              <w:bidi w:val="0"/>
              <w:spacing w:before="0" w:after="283"/>
              <w:jc w:val="right"/>
              <w:rPr/>
            </w:pPr>
            <w:r>
              <w:rPr/>
              <w:t>0.055</w:t>
            </w:r>
          </w:p>
        </w:tc>
        <w:tc>
          <w:tcPr>
            <w:tcW w:w="114"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F-3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iPower Inc. and Subsidiaries</w:t>
      </w:r>
    </w:p>
    <w:p>
      <w:pPr>
        <w:pStyle w:val="TextBody"/>
        <w:bidi w:val="0"/>
        <w:spacing w:before="0" w:after="0"/>
        <w:jc w:val="center"/>
        <w:rPr>
          <w:rFonts w:ascii="Times New Roman;Times;Serif" w:hAnsi="Times New Roman;Times;Serif"/>
          <w:b w:val="false"/>
          <w:i w:val="false"/>
          <w:caps w:val="false"/>
          <w:smallCaps w:val="false"/>
          <w:sz w:val="20"/>
        </w:rPr>
      </w:pPr>
      <w:bookmarkStart w:id="154" w:name="k_004"/>
      <w:bookmarkEnd w:id="154"/>
      <w:r>
        <w:rPr>
          <w:rFonts w:ascii="Times New Roman;Times;Serif" w:hAnsi="Times New Roman;Times;Serif"/>
          <w:b w:val="false"/>
          <w:i w:val="false"/>
          <w:caps w:val="false"/>
          <w:smallCaps w:val="false"/>
          <w:sz w:val="20"/>
        </w:rPr>
        <w:t>Consolidated Statements of Changes in Stockholders' Equity</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June 30, 2023 and 2022</w:t>
      </w:r>
    </w:p>
    <w:p>
      <w:pPr>
        <w:pStyle w:val="TextBody"/>
        <w:bidi w:val="0"/>
        <w:spacing w:before="0" w:after="283"/>
        <w:jc w:val="left"/>
        <w:rPr/>
      </w:pPr>
      <w:r>
        <w:rPr/>
        <w:t> </w:t>
      </w:r>
    </w:p>
    <w:p>
      <w:pPr>
        <w:pStyle w:val="Normal"/>
        <w:bidi w:val="0"/>
        <w:spacing w:before="0" w:after="0"/>
        <w:jc w:val="left"/>
        <w:rPr>
          <w:sz w:val="4"/>
          <w:szCs w:val="4"/>
        </w:rPr>
      </w:pPr>
      <w:r>
        <w:rPr>
          <w:sz w:val="4"/>
          <w:szCs w:val="4"/>
        </w:rPr>
      </w:r>
      <w:bookmarkStart w:id="155" w:name="xdx_304_114_zCd8pwiuJrXj"/>
      <w:bookmarkStart w:id="156" w:name="xdx_304_114_zCd8pwiuJrXj"/>
      <w:bookmarkEnd w:id="156"/>
    </w:p>
    <w:tbl>
      <w:tblPr>
        <w:tblW w:w="10205" w:type="dxa"/>
        <w:jc w:val="left"/>
        <w:tblInd w:w="0" w:type="dxa"/>
        <w:tblLayout w:type="fixed"/>
        <w:tblCellMar>
          <w:top w:w="0" w:type="dxa"/>
          <w:left w:w="0" w:type="dxa"/>
          <w:bottom w:w="0" w:type="dxa"/>
          <w:right w:w="0" w:type="dxa"/>
        </w:tblCellMar>
      </w:tblPr>
      <w:tblGrid>
        <w:gridCol w:w="1705"/>
        <w:gridCol w:w="60"/>
        <w:gridCol w:w="60"/>
        <w:gridCol w:w="830"/>
        <w:gridCol w:w="60"/>
        <w:gridCol w:w="60"/>
        <w:gridCol w:w="110"/>
        <w:gridCol w:w="515"/>
        <w:gridCol w:w="60"/>
        <w:gridCol w:w="60"/>
        <w:gridCol w:w="110"/>
        <w:gridCol w:w="830"/>
        <w:gridCol w:w="80"/>
        <w:gridCol w:w="60"/>
        <w:gridCol w:w="156"/>
        <w:gridCol w:w="1262"/>
        <w:gridCol w:w="80"/>
        <w:gridCol w:w="60"/>
        <w:gridCol w:w="183"/>
        <w:gridCol w:w="962"/>
        <w:gridCol w:w="80"/>
        <w:gridCol w:w="60"/>
        <w:gridCol w:w="246"/>
        <w:gridCol w:w="1293"/>
        <w:gridCol w:w="80"/>
        <w:gridCol w:w="60"/>
        <w:gridCol w:w="110"/>
        <w:gridCol w:w="890"/>
        <w:gridCol w:w="83"/>
      </w:tblGrid>
      <w:tr>
        <w:trPr/>
        <w:tc>
          <w:tcPr>
            <w:tcW w:w="170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bookmarkStart w:id="157" w:name="xdx_4BE_us-gaap--StatementEquityComponen"/>
            <w:bookmarkEnd w:id="157"/>
          </w:p>
        </w:tc>
        <w:tc>
          <w:tcPr>
            <w:tcW w:w="51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bookmarkStart w:id="158" w:name="xdx_4B7_us-gaap--StatementEquityComponen"/>
            <w:bookmarkEnd w:id="158"/>
          </w:p>
        </w:tc>
        <w:tc>
          <w:tcPr>
            <w:tcW w:w="83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bookmarkStart w:id="159" w:name="xdx_4B8_us-gaap--StatementEquityComponen"/>
            <w:bookmarkEnd w:id="159"/>
          </w:p>
        </w:tc>
        <w:tc>
          <w:tcPr>
            <w:tcW w:w="1262"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bookmarkStart w:id="160" w:name="xdx_4B0_us-gaap--StatementEquityComponen"/>
            <w:bookmarkEnd w:id="160"/>
          </w:p>
        </w:tc>
        <w:tc>
          <w:tcPr>
            <w:tcW w:w="962"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bookmarkStart w:id="161" w:name="xdx_4B3_us-gaap--StatementEquityComponen"/>
            <w:bookmarkEnd w:id="161"/>
          </w:p>
        </w:tc>
        <w:tc>
          <w:tcPr>
            <w:tcW w:w="1293"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bookmarkStart w:id="162" w:name="xdx_4B4_z1uHANwMdaD9"/>
            <w:bookmarkEnd w:id="162"/>
          </w:p>
        </w:tc>
        <w:tc>
          <w:tcPr>
            <w:tcW w:w="890" w:type="dxa"/>
            <w:tcBorders/>
            <w:shd w:fill="FFFFFF" w:val="clear"/>
            <w:vAlign w:val="center"/>
          </w:tcPr>
          <w:p>
            <w:pPr>
              <w:pStyle w:val="TableContents"/>
              <w:bidi w:val="0"/>
              <w:spacing w:before="0" w:after="283"/>
              <w:jc w:val="center"/>
              <w:rPr/>
            </w:pPr>
            <w:r>
              <w:rPr/>
              <w:t> </w:t>
            </w:r>
          </w:p>
        </w:tc>
        <w:tc>
          <w:tcPr>
            <w:tcW w:w="83" w:type="dxa"/>
            <w:tcBorders/>
            <w:shd w:fill="FFFFFF" w:val="clear"/>
            <w:vAlign w:val="center"/>
          </w:tcPr>
          <w:p>
            <w:pPr>
              <w:pStyle w:val="TableContents"/>
              <w:bidi w:val="0"/>
              <w:spacing w:before="0" w:after="283"/>
              <w:jc w:val="left"/>
              <w:rPr/>
            </w:pPr>
            <w:r>
              <w:rPr/>
              <w:t> </w:t>
            </w:r>
          </w:p>
        </w:tc>
      </w:tr>
      <w:tr>
        <w:trPr/>
        <w:tc>
          <w:tcPr>
            <w:tcW w:w="170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635" w:type="dxa"/>
            <w:gridSpan w:val="6"/>
            <w:tcBorders>
              <w:bottom w:val="single" w:sz="8" w:space="0" w:color="000000"/>
            </w:tcBorders>
            <w:tcMar>
              <w:bottom w:w="28" w:type="dxa"/>
            </w:tcMar>
            <w:vAlign w:val="center"/>
          </w:tcPr>
          <w:p>
            <w:pPr>
              <w:pStyle w:val="TableContents"/>
              <w:bidi w:val="0"/>
              <w:spacing w:before="0" w:after="283"/>
              <w:jc w:val="center"/>
              <w:rPr>
                <w:sz w:val="16"/>
              </w:rPr>
            </w:pPr>
            <w:r>
              <w:rPr>
                <w:sz w:val="16"/>
              </w:rPr>
              <w:t>Common Stock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jc w:val="center"/>
              <w:rPr>
                <w:sz w:val="16"/>
              </w:rPr>
            </w:pPr>
            <w:r>
              <w:rPr>
                <w:sz w:val="16"/>
              </w:rPr>
              <w:t>Additional</w:t>
            </w:r>
          </w:p>
          <w:p>
            <w:pPr>
              <w:pStyle w:val="TableContents"/>
              <w:bidi w:val="0"/>
              <w:spacing w:before="0" w:after="283"/>
              <w:jc w:val="center"/>
              <w:rPr>
                <w:sz w:val="16"/>
              </w:rPr>
            </w:pPr>
            <w:r>
              <w:rPr>
                <w:sz w:val="16"/>
              </w:rPr>
              <w:t>Paid in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8" w:type="dxa"/>
            <w:gridSpan w:val="2"/>
            <w:tcBorders/>
            <w:vAlign w:val="center"/>
          </w:tcPr>
          <w:p>
            <w:pPr>
              <w:pStyle w:val="TableContents"/>
              <w:bidi w:val="0"/>
              <w:spacing w:before="0" w:after="283"/>
              <w:jc w:val="center"/>
              <w:rPr>
                <w:sz w:val="16"/>
              </w:rPr>
            </w:pPr>
            <w:r>
              <w:rPr>
                <w:sz w:val="16"/>
              </w:rPr>
              <w:t>Retained Earnings (Accumulated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center"/>
              <w:rPr>
                <w:sz w:val="16"/>
              </w:rPr>
            </w:pPr>
            <w:r>
              <w:rPr>
                <w:sz w:val="16"/>
              </w:rPr>
              <w:t>Non-controlling</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9" w:type="dxa"/>
            <w:gridSpan w:val="2"/>
            <w:tcBorders/>
            <w:vAlign w:val="center"/>
          </w:tcPr>
          <w:p>
            <w:pPr>
              <w:pStyle w:val="TableContents"/>
              <w:bidi w:val="0"/>
              <w:spacing w:before="0" w:after="283"/>
              <w:jc w:val="center"/>
              <w:rPr>
                <w:sz w:val="16"/>
              </w:rPr>
            </w:pPr>
            <w:r>
              <w:rPr>
                <w:sz w:val="16"/>
              </w:rPr>
              <w:t>Accumulated other Comprehensive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center"/>
              <w:rPr/>
            </w:pPr>
            <w:r>
              <w:rPr/>
              <w:t> </w:t>
            </w:r>
          </w:p>
        </w:tc>
        <w:tc>
          <w:tcPr>
            <w:tcW w:w="83" w:type="dxa"/>
            <w:tcBorders/>
            <w:vAlign w:val="center"/>
          </w:tcPr>
          <w:p>
            <w:pPr>
              <w:pStyle w:val="TableContents"/>
              <w:bidi w:val="0"/>
              <w:spacing w:before="0" w:after="283"/>
              <w:jc w:val="left"/>
              <w:rPr/>
            </w:pPr>
            <w:r>
              <w:rPr/>
              <w:t> </w:t>
            </w:r>
          </w:p>
        </w:tc>
      </w:tr>
      <w:tr>
        <w:trPr/>
        <w:tc>
          <w:tcPr>
            <w:tcW w:w="170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sz w:val="16"/>
              </w:rPr>
            </w:pPr>
            <w:r>
              <w:rPr>
                <w:sz w:val="16"/>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5" w:type="dxa"/>
            <w:gridSpan w:val="2"/>
            <w:tcBorders>
              <w:bottom w:val="single" w:sz="8" w:space="0" w:color="000000"/>
            </w:tcBorders>
            <w:tcMar>
              <w:bottom w:w="28" w:type="dxa"/>
            </w:tcMar>
            <w:vAlign w:val="center"/>
          </w:tcPr>
          <w:p>
            <w:pPr>
              <w:pStyle w:val="TableContents"/>
              <w:bidi w:val="0"/>
              <w:spacing w:before="0" w:after="283"/>
              <w:jc w:val="center"/>
              <w:rPr>
                <w:sz w:val="16"/>
              </w:rPr>
            </w:pPr>
            <w:r>
              <w:rPr>
                <w:sz w:val="16"/>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sz w:val="16"/>
              </w:rPr>
            </w:pPr>
            <w:r>
              <w:rPr>
                <w:sz w:val="16"/>
              </w:rPr>
              <w:t>Capital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8" w:type="dxa"/>
            <w:gridSpan w:val="2"/>
            <w:tcBorders>
              <w:bottom w:val="single" w:sz="8" w:space="0" w:color="000000"/>
            </w:tcBorders>
            <w:tcMar>
              <w:bottom w:w="28" w:type="dxa"/>
            </w:tcMar>
            <w:vAlign w:val="center"/>
          </w:tcPr>
          <w:p>
            <w:pPr>
              <w:pStyle w:val="TableContents"/>
              <w:bidi w:val="0"/>
              <w:spacing w:before="0" w:after="283"/>
              <w:jc w:val="center"/>
              <w:rPr>
                <w:sz w:val="16"/>
              </w:rPr>
            </w:pPr>
            <w:r>
              <w:rPr>
                <w:sz w:val="16"/>
              </w:rPr>
              <w:t>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sz w:val="16"/>
              </w:rPr>
            </w:pPr>
            <w:r>
              <w:rPr>
                <w:sz w:val="16"/>
              </w:rPr>
              <w:t>interest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9" w:type="dxa"/>
            <w:gridSpan w:val="2"/>
            <w:tcBorders>
              <w:bottom w:val="single" w:sz="8" w:space="0" w:color="000000"/>
            </w:tcBorders>
            <w:tcMar>
              <w:bottom w:w="28" w:type="dxa"/>
            </w:tcMar>
            <w:vAlign w:val="center"/>
          </w:tcPr>
          <w:p>
            <w:pPr>
              <w:pStyle w:val="TableContents"/>
              <w:bidi w:val="0"/>
              <w:spacing w:before="0" w:after="283"/>
              <w:jc w:val="center"/>
              <w:rPr>
                <w:sz w:val="16"/>
              </w:rPr>
            </w:pPr>
            <w:r>
              <w:rPr>
                <w:sz w:val="16"/>
              </w:rPr>
              <w:t>income (loss)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center"/>
          </w:tcPr>
          <w:p>
            <w:pPr>
              <w:pStyle w:val="TableContents"/>
              <w:bidi w:val="0"/>
              <w:spacing w:before="0" w:after="283"/>
              <w:jc w:val="center"/>
              <w:rPr>
                <w:sz w:val="16"/>
              </w:rPr>
            </w:pPr>
            <w:r>
              <w:rPr>
                <w:sz w:val="16"/>
              </w:rPr>
              <w:t>Total</w:t>
            </w:r>
          </w:p>
        </w:tc>
        <w:tc>
          <w:tcPr>
            <w:tcW w:w="83" w:type="dxa"/>
            <w:tcBorders/>
            <w:vAlign w:val="center"/>
          </w:tcPr>
          <w:p>
            <w:pPr>
              <w:pStyle w:val="TableContents"/>
              <w:bidi w:val="0"/>
              <w:spacing w:before="0" w:after="283"/>
              <w:ind w:left="0" w:right="0" w:hanging="60"/>
              <w:jc w:val="left"/>
              <w:rPr/>
            </w:pPr>
            <w:r>
              <w:rPr/>
              <w:t> </w:t>
            </w:r>
            <w:bookmarkStart w:id="163" w:name="xdx_432_c20220701__20230630_eus-gaap--St"/>
            <w:bookmarkEnd w:id="163"/>
          </w:p>
        </w:tc>
      </w:tr>
      <w:tr>
        <w:trPr/>
        <w:tc>
          <w:tcPr>
            <w:tcW w:w="1705" w:type="dxa"/>
            <w:tcBorders/>
            <w:shd w:fill="EEEEEE" w:val="clear"/>
            <w:vAlign w:val="center"/>
          </w:tcPr>
          <w:p>
            <w:pPr>
              <w:pStyle w:val="TableContents"/>
              <w:bidi w:val="0"/>
              <w:spacing w:before="0" w:after="283"/>
              <w:jc w:val="left"/>
              <w:rPr>
                <w:sz w:val="16"/>
              </w:rPr>
            </w:pPr>
            <w:r>
              <w:rPr>
                <w:sz w:val="16"/>
              </w:rPr>
              <w:t>Balance, June 30, 2022</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bookmarkStart w:id="164" w:name="xdx_98E_eus-gaap--SharesOutstanding_iS_c"/>
            <w:bookmarkEnd w:id="164"/>
          </w:p>
        </w:tc>
        <w:tc>
          <w:tcPr>
            <w:tcW w:w="830" w:type="dxa"/>
            <w:tcBorders/>
            <w:shd w:fill="EEEEEE" w:val="clear"/>
            <w:vAlign w:val="center"/>
          </w:tcPr>
          <w:p>
            <w:pPr>
              <w:pStyle w:val="TableContents"/>
              <w:bidi w:val="0"/>
              <w:spacing w:before="0" w:after="283"/>
              <w:jc w:val="right"/>
              <w:rPr>
                <w:sz w:val="16"/>
              </w:rPr>
            </w:pPr>
            <w:r>
              <w:rPr>
                <w:sz w:val="16"/>
              </w:rPr>
              <w:t>29,572,382</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sz w:val="16"/>
              </w:rPr>
            </w:pPr>
            <w:r>
              <w:rPr>
                <w:sz w:val="16"/>
              </w:rPr>
              <w:t>$</w:t>
            </w:r>
          </w:p>
        </w:tc>
        <w:tc>
          <w:tcPr>
            <w:tcW w:w="515" w:type="dxa"/>
            <w:tcBorders/>
            <w:shd w:fill="EEEEEE" w:val="clear"/>
            <w:vAlign w:val="center"/>
          </w:tcPr>
          <w:p>
            <w:pPr>
              <w:pStyle w:val="TableContents"/>
              <w:bidi w:val="0"/>
              <w:spacing w:before="0" w:after="283"/>
              <w:jc w:val="right"/>
              <w:rPr>
                <w:sz w:val="16"/>
              </w:rPr>
            </w:pPr>
            <w:r>
              <w:rPr>
                <w:sz w:val="16"/>
              </w:rPr>
              <w:t>29,573</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sz w:val="16"/>
              </w:rPr>
            </w:pPr>
            <w:r>
              <w:rPr>
                <w:sz w:val="16"/>
              </w:rPr>
              <w:t>$</w:t>
            </w:r>
          </w:p>
        </w:tc>
        <w:tc>
          <w:tcPr>
            <w:tcW w:w="830" w:type="dxa"/>
            <w:tcBorders/>
            <w:shd w:fill="EEEEEE" w:val="clear"/>
            <w:vAlign w:val="center"/>
          </w:tcPr>
          <w:p>
            <w:pPr>
              <w:pStyle w:val="TableContents"/>
              <w:bidi w:val="0"/>
              <w:spacing w:before="0" w:after="283"/>
              <w:jc w:val="right"/>
              <w:rPr>
                <w:sz w:val="16"/>
              </w:rPr>
            </w:pPr>
            <w:r>
              <w:rPr>
                <w:sz w:val="16"/>
              </w:rPr>
              <w:t>29,111,863</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6" w:type="dxa"/>
            <w:tcBorders/>
            <w:shd w:fill="EEEEEE" w:val="clear"/>
            <w:vAlign w:val="center"/>
          </w:tcPr>
          <w:p>
            <w:pPr>
              <w:pStyle w:val="TableContents"/>
              <w:bidi w:val="0"/>
              <w:spacing w:before="0" w:after="283"/>
              <w:jc w:val="left"/>
              <w:rPr>
                <w:sz w:val="16"/>
              </w:rPr>
            </w:pPr>
            <w:r>
              <w:rPr>
                <w:sz w:val="16"/>
              </w:rPr>
              <w:t>$</w:t>
            </w:r>
          </w:p>
        </w:tc>
        <w:tc>
          <w:tcPr>
            <w:tcW w:w="1262" w:type="dxa"/>
            <w:tcBorders/>
            <w:shd w:fill="EEEEEE" w:val="clear"/>
            <w:vAlign w:val="center"/>
          </w:tcPr>
          <w:p>
            <w:pPr>
              <w:pStyle w:val="TableContents"/>
              <w:bidi w:val="0"/>
              <w:spacing w:before="0" w:after="283"/>
              <w:jc w:val="right"/>
              <w:rPr>
                <w:sz w:val="16"/>
              </w:rPr>
            </w:pPr>
            <w:r>
              <w:rPr>
                <w:sz w:val="16"/>
              </w:rPr>
              <w:t>3,262,948</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83" w:type="dxa"/>
            <w:tcBorders/>
            <w:shd w:fill="EEEEEE" w:val="clear"/>
            <w:vAlign w:val="center"/>
          </w:tcPr>
          <w:p>
            <w:pPr>
              <w:pStyle w:val="TableContents"/>
              <w:bidi w:val="0"/>
              <w:spacing w:before="0" w:after="283"/>
              <w:jc w:val="left"/>
              <w:rPr>
                <w:sz w:val="16"/>
              </w:rPr>
            </w:pPr>
            <w:r>
              <w:rPr>
                <w:sz w:val="16"/>
              </w:rPr>
              <w:t>$</w:t>
            </w:r>
          </w:p>
        </w:tc>
        <w:tc>
          <w:tcPr>
            <w:tcW w:w="962" w:type="dxa"/>
            <w:tcBorders/>
            <w:shd w:fill="EEEEEE" w:val="clear"/>
            <w:vAlign w:val="center"/>
          </w:tcPr>
          <w:p>
            <w:pPr>
              <w:pStyle w:val="TableContents"/>
              <w:bidi w:val="0"/>
              <w:spacing w:before="0" w:after="283"/>
              <w:jc w:val="right"/>
              <w:rPr>
                <w:sz w:val="16"/>
              </w:rPr>
            </w:pPr>
            <w:r>
              <w:rPr>
                <w:sz w:val="16"/>
              </w:rPr>
              <w:t>(13,232</w:t>
            </w:r>
          </w:p>
        </w:tc>
        <w:tc>
          <w:tcPr>
            <w:tcW w:w="80" w:type="dxa"/>
            <w:tcBorders/>
            <w:shd w:fill="EEEEEE" w:val="clear"/>
            <w:vAlign w:val="center"/>
          </w:tcPr>
          <w:p>
            <w:pPr>
              <w:pStyle w:val="TableContents"/>
              <w:bidi w:val="0"/>
              <w:spacing w:before="0" w:after="283"/>
              <w:jc w:val="left"/>
              <w:rPr>
                <w:sz w:val="16"/>
              </w:rPr>
            </w:pPr>
            <w:r>
              <w:rPr>
                <w:sz w:val="16"/>
              </w:rPr>
              <w:t>)</w:t>
            </w:r>
          </w:p>
        </w:tc>
        <w:tc>
          <w:tcPr>
            <w:tcW w:w="60" w:type="dxa"/>
            <w:tcBorders/>
            <w:shd w:fill="EEEEEE" w:val="clear"/>
            <w:vAlign w:val="center"/>
          </w:tcPr>
          <w:p>
            <w:pPr>
              <w:pStyle w:val="TableContents"/>
              <w:bidi w:val="0"/>
              <w:spacing w:before="0" w:after="283"/>
              <w:jc w:val="left"/>
              <w:rPr/>
            </w:pPr>
            <w:r>
              <w:rPr/>
              <w:t> </w:t>
            </w:r>
          </w:p>
        </w:tc>
        <w:tc>
          <w:tcPr>
            <w:tcW w:w="246" w:type="dxa"/>
            <w:tcBorders/>
            <w:shd w:fill="EEEEEE" w:val="clear"/>
            <w:vAlign w:val="center"/>
          </w:tcPr>
          <w:p>
            <w:pPr>
              <w:pStyle w:val="TableContents"/>
              <w:bidi w:val="0"/>
              <w:spacing w:before="0" w:after="283"/>
              <w:jc w:val="left"/>
              <w:rPr>
                <w:sz w:val="16"/>
              </w:rPr>
            </w:pPr>
            <w:r>
              <w:rPr>
                <w:sz w:val="16"/>
              </w:rPr>
              <w:t>$</w:t>
            </w:r>
          </w:p>
        </w:tc>
        <w:tc>
          <w:tcPr>
            <w:tcW w:w="1293" w:type="dxa"/>
            <w:tcBorders/>
            <w:shd w:fill="EEEEEE" w:val="clear"/>
            <w:vAlign w:val="center"/>
          </w:tcPr>
          <w:p>
            <w:pPr>
              <w:pStyle w:val="TableContents"/>
              <w:bidi w:val="0"/>
              <w:spacing w:before="0" w:after="283"/>
              <w:jc w:val="right"/>
              <w:rPr>
                <w:sz w:val="16"/>
              </w:rPr>
            </w:pPr>
            <w:r>
              <w:rPr>
                <w:sz w:val="16"/>
              </w:rPr>
              <w:t>5,678</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sz w:val="16"/>
              </w:rPr>
            </w:pPr>
            <w:r>
              <w:rPr>
                <w:sz w:val="16"/>
              </w:rPr>
              <w:t>$</w:t>
            </w:r>
          </w:p>
        </w:tc>
        <w:tc>
          <w:tcPr>
            <w:tcW w:w="890" w:type="dxa"/>
            <w:tcBorders/>
            <w:shd w:fill="EEEEEE" w:val="clear"/>
            <w:vAlign w:val="center"/>
          </w:tcPr>
          <w:p>
            <w:pPr>
              <w:pStyle w:val="TableContents"/>
              <w:bidi w:val="0"/>
              <w:spacing w:before="0" w:after="283"/>
              <w:jc w:val="right"/>
              <w:rPr>
                <w:sz w:val="16"/>
              </w:rPr>
            </w:pPr>
            <w:r>
              <w:rPr>
                <w:sz w:val="16"/>
              </w:rPr>
              <w:t>32,396,830</w:t>
            </w:r>
          </w:p>
        </w:tc>
        <w:tc>
          <w:tcPr>
            <w:tcW w:w="83" w:type="dxa"/>
            <w:tcBorders/>
            <w:shd w:fill="EEEEEE" w:val="clear"/>
            <w:vAlign w:val="center"/>
          </w:tcPr>
          <w:p>
            <w:pPr>
              <w:pStyle w:val="TableContents"/>
              <w:bidi w:val="0"/>
              <w:spacing w:before="0" w:after="283"/>
              <w:ind w:left="0" w:right="0" w:hanging="60"/>
              <w:jc w:val="left"/>
              <w:rPr/>
            </w:pPr>
            <w:r>
              <w:rPr/>
              <w:t> </w:t>
            </w:r>
            <w:bookmarkStart w:id="165" w:name="xdx_404_eus-gaap--ProfitLoss_i_pp0p0"/>
            <w:bookmarkEnd w:id="165"/>
          </w:p>
        </w:tc>
      </w:tr>
      <w:tr>
        <w:trPr/>
        <w:tc>
          <w:tcPr>
            <w:tcW w:w="1705" w:type="dxa"/>
            <w:tcBorders/>
            <w:shd w:fill="FFFFFF" w:val="clear"/>
            <w:vAlign w:val="center"/>
          </w:tcPr>
          <w:p>
            <w:pPr>
              <w:pStyle w:val="TableContents"/>
              <w:bidi w:val="0"/>
              <w:spacing w:before="0" w:after="283"/>
              <w:jc w:val="left"/>
              <w:rPr>
                <w:sz w:val="16"/>
              </w:rPr>
            </w:pPr>
            <w:r>
              <w:rPr>
                <w:sz w:val="16"/>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262" w:type="dxa"/>
            <w:tcBorders/>
            <w:shd w:fill="FFFFFF" w:val="clear"/>
            <w:vAlign w:val="center"/>
          </w:tcPr>
          <w:p>
            <w:pPr>
              <w:pStyle w:val="TableContents"/>
              <w:bidi w:val="0"/>
              <w:spacing w:before="0" w:after="283"/>
              <w:jc w:val="right"/>
              <w:rPr>
                <w:sz w:val="16"/>
              </w:rPr>
            </w:pPr>
            <w:r>
              <w:rPr>
                <w:sz w:val="16"/>
              </w:rPr>
              <w:t>(11,965,390</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sz w:val="16"/>
              </w:rPr>
            </w:pPr>
            <w:r>
              <w:rPr>
                <w:sz w:val="16"/>
              </w:rPr>
              <w:t>(11,683</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6"/>
              </w:rPr>
            </w:pPr>
            <w:r>
              <w:rPr>
                <w:sz w:val="16"/>
              </w:rPr>
              <w:t>(11,977,073</w:t>
            </w:r>
          </w:p>
        </w:tc>
        <w:tc>
          <w:tcPr>
            <w:tcW w:w="83" w:type="dxa"/>
            <w:tcBorders/>
            <w:shd w:fill="FFFFFF" w:val="clear"/>
            <w:vAlign w:val="center"/>
          </w:tcPr>
          <w:p>
            <w:pPr>
              <w:pStyle w:val="TableContents"/>
              <w:bidi w:val="0"/>
              <w:spacing w:before="0" w:after="283"/>
              <w:ind w:left="0" w:right="0" w:hanging="60"/>
              <w:jc w:val="left"/>
              <w:rPr>
                <w:sz w:val="16"/>
              </w:rPr>
            </w:pPr>
            <w:r>
              <w:rPr>
                <w:sz w:val="16"/>
              </w:rPr>
              <w:t>)</w:t>
            </w:r>
            <w:bookmarkStart w:id="166" w:name="xdx_406_eus-gaap--AdjustmentsToAdditiona"/>
            <w:bookmarkEnd w:id="166"/>
          </w:p>
        </w:tc>
      </w:tr>
      <w:tr>
        <w:trPr/>
        <w:tc>
          <w:tcPr>
            <w:tcW w:w="1705" w:type="dxa"/>
            <w:tcBorders/>
            <w:shd w:fill="EEEEEE" w:val="clear"/>
            <w:vAlign w:val="center"/>
          </w:tcPr>
          <w:p>
            <w:pPr>
              <w:pStyle w:val="TableContents"/>
              <w:bidi w:val="0"/>
              <w:spacing w:before="0" w:after="283"/>
              <w:jc w:val="left"/>
              <w:rPr>
                <w:sz w:val="16"/>
              </w:rPr>
            </w:pPr>
            <w:r>
              <w:rPr>
                <w:sz w:val="16"/>
              </w:rPr>
              <w:t>Stock-based compensation</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830" w:type="dxa"/>
            <w:tcBorders/>
            <w:shd w:fill="EEEEEE" w:val="clear"/>
            <w:vAlign w:val="center"/>
          </w:tcPr>
          <w:p>
            <w:pPr>
              <w:pStyle w:val="TableContents"/>
              <w:bidi w:val="0"/>
              <w:spacing w:before="0" w:after="283"/>
              <w:jc w:val="right"/>
              <w:rPr/>
            </w:pPr>
            <w:r>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515" w:type="dxa"/>
            <w:tcBorders/>
            <w:shd w:fill="EEEEEE" w:val="clear"/>
            <w:vAlign w:val="center"/>
          </w:tcPr>
          <w:p>
            <w:pPr>
              <w:pStyle w:val="TableContents"/>
              <w:bidi w:val="0"/>
              <w:spacing w:before="0" w:after="283"/>
              <w:jc w:val="right"/>
              <w:rPr/>
            </w:pPr>
            <w:r>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30" w:type="dxa"/>
            <w:tcBorders/>
            <w:shd w:fill="EEEEEE" w:val="clear"/>
            <w:vAlign w:val="center"/>
          </w:tcPr>
          <w:p>
            <w:pPr>
              <w:pStyle w:val="TableContents"/>
              <w:bidi w:val="0"/>
              <w:spacing w:before="0" w:after="283"/>
              <w:jc w:val="right"/>
              <w:rPr>
                <w:sz w:val="16"/>
              </w:rPr>
            </w:pPr>
            <w:r>
              <w:rPr>
                <w:sz w:val="16"/>
              </w:rPr>
              <w:t>512,796</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6" w:type="dxa"/>
            <w:tcBorders/>
            <w:shd w:fill="EEEEEE" w:val="clear"/>
            <w:vAlign w:val="center"/>
          </w:tcPr>
          <w:p>
            <w:pPr>
              <w:pStyle w:val="TableContents"/>
              <w:bidi w:val="0"/>
              <w:spacing w:before="0" w:after="283"/>
              <w:jc w:val="left"/>
              <w:rPr/>
            </w:pPr>
            <w:r>
              <w:rPr/>
              <w:t> </w:t>
            </w:r>
          </w:p>
        </w:tc>
        <w:tc>
          <w:tcPr>
            <w:tcW w:w="1262" w:type="dxa"/>
            <w:tcBorders/>
            <w:shd w:fill="EEEEEE" w:val="clear"/>
            <w:vAlign w:val="center"/>
          </w:tcPr>
          <w:p>
            <w:pPr>
              <w:pStyle w:val="TableContents"/>
              <w:bidi w:val="0"/>
              <w:spacing w:before="0" w:after="283"/>
              <w:jc w:val="right"/>
              <w:rPr/>
            </w:pPr>
            <w:r>
              <w:rPr/>
              <w:t>–</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83" w:type="dxa"/>
            <w:tcBorders/>
            <w:shd w:fill="EEEEEE" w:val="clear"/>
            <w:vAlign w:val="center"/>
          </w:tcPr>
          <w:p>
            <w:pPr>
              <w:pStyle w:val="TableContents"/>
              <w:bidi w:val="0"/>
              <w:spacing w:before="0" w:after="283"/>
              <w:jc w:val="left"/>
              <w:rPr/>
            </w:pPr>
            <w:r>
              <w:rPr/>
              <w:t> </w:t>
            </w:r>
          </w:p>
        </w:tc>
        <w:tc>
          <w:tcPr>
            <w:tcW w:w="962" w:type="dxa"/>
            <w:tcBorders/>
            <w:shd w:fill="EEEEEE" w:val="clear"/>
            <w:vAlign w:val="center"/>
          </w:tcPr>
          <w:p>
            <w:pPr>
              <w:pStyle w:val="TableContents"/>
              <w:bidi w:val="0"/>
              <w:spacing w:before="0" w:after="283"/>
              <w:jc w:val="right"/>
              <w:rPr/>
            </w:pPr>
            <w:r>
              <w:rPr/>
              <w:t>–</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46" w:type="dxa"/>
            <w:tcBorders/>
            <w:shd w:fill="EEEEEE" w:val="clear"/>
            <w:vAlign w:val="center"/>
          </w:tcPr>
          <w:p>
            <w:pPr>
              <w:pStyle w:val="TableContents"/>
              <w:bidi w:val="0"/>
              <w:spacing w:before="0" w:after="283"/>
              <w:jc w:val="left"/>
              <w:rPr/>
            </w:pPr>
            <w:r>
              <w:rPr/>
              <w:t> </w:t>
            </w:r>
          </w:p>
        </w:tc>
        <w:tc>
          <w:tcPr>
            <w:tcW w:w="1293" w:type="dxa"/>
            <w:tcBorders/>
            <w:shd w:fill="EEEEEE" w:val="clear"/>
            <w:vAlign w:val="center"/>
          </w:tcPr>
          <w:p>
            <w:pPr>
              <w:pStyle w:val="TableContents"/>
              <w:bidi w:val="0"/>
              <w:spacing w:before="0" w:after="283"/>
              <w:jc w:val="right"/>
              <w:rPr/>
            </w:pPr>
            <w:r>
              <w:rPr/>
              <w:t>–</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sz w:val="16"/>
              </w:rPr>
            </w:pPr>
            <w:r>
              <w:rPr>
                <w:sz w:val="16"/>
              </w:rPr>
              <w:t>512,796</w:t>
            </w:r>
          </w:p>
        </w:tc>
        <w:tc>
          <w:tcPr>
            <w:tcW w:w="83" w:type="dxa"/>
            <w:tcBorders/>
            <w:shd w:fill="EEEEEE" w:val="clear"/>
            <w:vAlign w:val="center"/>
          </w:tcPr>
          <w:p>
            <w:pPr>
              <w:pStyle w:val="TableContents"/>
              <w:bidi w:val="0"/>
              <w:spacing w:before="0" w:after="283"/>
              <w:ind w:left="0" w:right="0" w:hanging="60"/>
              <w:jc w:val="left"/>
              <w:rPr/>
            </w:pPr>
            <w:r>
              <w:rPr/>
              <w:t> </w:t>
            </w:r>
            <w:bookmarkStart w:id="167" w:name="xdx_40A_eus-gaap--StockIssuedDuringPerio"/>
            <w:bookmarkEnd w:id="167"/>
          </w:p>
        </w:tc>
      </w:tr>
      <w:tr>
        <w:trPr/>
        <w:tc>
          <w:tcPr>
            <w:tcW w:w="1705" w:type="dxa"/>
            <w:tcBorders/>
            <w:shd w:fill="FFFFFF" w:val="clear"/>
            <w:vAlign w:val="center"/>
          </w:tcPr>
          <w:p>
            <w:pPr>
              <w:pStyle w:val="TableContents"/>
              <w:bidi w:val="0"/>
              <w:spacing w:before="0" w:after="283"/>
              <w:jc w:val="left"/>
              <w:rPr>
                <w:sz w:val="16"/>
              </w:rPr>
            </w:pPr>
            <w:r>
              <w:rPr>
                <w:sz w:val="16"/>
              </w:rPr>
              <w:t>Restricted shares issued for vested RSUs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8" w:name="xdx_98E_ecustom--RestrictedSharesIssuedF"/>
            <w:bookmarkEnd w:id="168"/>
          </w:p>
        </w:tc>
        <w:tc>
          <w:tcPr>
            <w:tcW w:w="830" w:type="dxa"/>
            <w:tcBorders/>
            <w:shd w:fill="FFFFFF" w:val="clear"/>
            <w:vAlign w:val="center"/>
          </w:tcPr>
          <w:p>
            <w:pPr>
              <w:pStyle w:val="TableContents"/>
              <w:bidi w:val="0"/>
              <w:spacing w:before="0" w:after="283"/>
              <w:jc w:val="right"/>
              <w:rPr>
                <w:sz w:val="16"/>
              </w:rPr>
            </w:pPr>
            <w:r>
              <w:rPr>
                <w:sz w:val="16"/>
              </w:rPr>
              <w:t>138,557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sz w:val="16"/>
              </w:rPr>
            </w:pPr>
            <w:r>
              <w:rPr>
                <w:sz w:val="16"/>
              </w:rPr>
              <w:t>139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(139</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262"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p>
        </w:tc>
        <w:tc>
          <w:tcPr>
            <w:tcW w:w="83" w:type="dxa"/>
            <w:tcBorders/>
            <w:shd w:fill="FFFFFF" w:val="clear"/>
            <w:vAlign w:val="center"/>
          </w:tcPr>
          <w:p>
            <w:pPr>
              <w:pStyle w:val="TableContents"/>
              <w:bidi w:val="0"/>
              <w:spacing w:before="0" w:after="283"/>
              <w:ind w:left="0" w:right="0" w:hanging="60"/>
              <w:jc w:val="left"/>
              <w:rPr/>
            </w:pPr>
            <w:r>
              <w:rPr/>
              <w:t> </w:t>
            </w:r>
            <w:bookmarkStart w:id="169" w:name="xdx_40F_eus-gaap--OtherComprehensiveInco"/>
            <w:bookmarkEnd w:id="169"/>
          </w:p>
        </w:tc>
      </w:tr>
      <w:tr>
        <w:trPr/>
        <w:tc>
          <w:tcPr>
            <w:tcW w:w="1705" w:type="dxa"/>
            <w:tcBorders/>
            <w:shd w:fill="EEEEEE" w:val="clear"/>
            <w:vAlign w:val="center"/>
          </w:tcPr>
          <w:p>
            <w:pPr>
              <w:pStyle w:val="TableContents"/>
              <w:bidi w:val="0"/>
              <w:spacing w:before="0" w:after="283"/>
              <w:jc w:val="left"/>
              <w:rPr>
                <w:sz w:val="16"/>
              </w:rPr>
            </w:pPr>
            <w:r>
              <w:rPr>
                <w:sz w:val="16"/>
              </w:rPr>
              <w:t>Foreign currency translation adjustments</w:t>
            </w:r>
          </w:p>
        </w:tc>
        <w:tc>
          <w:tcPr>
            <w:tcW w:w="60" w:type="dxa"/>
            <w:tcBorders/>
            <w:shd w:fill="EEEEEE" w:val="clear"/>
            <w:vAlign w:val="center"/>
          </w:tcPr>
          <w:p>
            <w:pPr>
              <w:pStyle w:val="TableContents"/>
              <w:bidi w:val="0"/>
              <w:spacing w:before="0" w:after="283"/>
              <w:jc w:val="left"/>
              <w:rPr/>
            </w:pPr>
            <w:r>
              <w:rPr/>
              <w:t> </w:t>
            </w:r>
          </w:p>
        </w:tc>
        <w:tc>
          <w:tcPr>
            <w:tcW w:w="6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515"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6"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262"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83"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46"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293" w:type="dxa"/>
            <w:tcBorders>
              <w:bottom w:val="single" w:sz="8" w:space="0" w:color="000000"/>
            </w:tcBorders>
            <w:shd w:fill="EEEEEE" w:val="clear"/>
            <w:tcMar>
              <w:bottom w:w="28" w:type="dxa"/>
            </w:tcMar>
            <w:vAlign w:val="center"/>
          </w:tcPr>
          <w:p>
            <w:pPr>
              <w:pStyle w:val="TableContents"/>
              <w:bidi w:val="0"/>
              <w:spacing w:before="0" w:after="283"/>
              <w:jc w:val="right"/>
              <w:rPr>
                <w:sz w:val="16"/>
              </w:rPr>
            </w:pPr>
            <w:r>
              <w:rPr>
                <w:sz w:val="16"/>
              </w:rPr>
              <w:t>(67,812</w:t>
            </w:r>
          </w:p>
        </w:tc>
        <w:tc>
          <w:tcPr>
            <w:tcW w:w="80" w:type="dxa"/>
            <w:tcBorders/>
            <w:shd w:fill="EEEEEE" w:val="clear"/>
            <w:vAlign w:val="center"/>
          </w:tcPr>
          <w:p>
            <w:pPr>
              <w:pStyle w:val="TableContents"/>
              <w:bidi w:val="0"/>
              <w:spacing w:before="0" w:after="283"/>
              <w:jc w:val="left"/>
              <w:rPr>
                <w:sz w:val="16"/>
              </w:rPr>
            </w:pPr>
            <w:r>
              <w:rPr>
                <w:sz w:val="16"/>
              </w:rPr>
              <w:t>)</w:t>
            </w:r>
          </w:p>
        </w:tc>
        <w:tc>
          <w:tcPr>
            <w:tcW w:w="60" w:type="dxa"/>
            <w:tcBorders/>
            <w:shd w:fill="EEEEEE" w:val="clear"/>
            <w:vAlign w:val="center"/>
          </w:tcPr>
          <w:p>
            <w:pPr>
              <w:pStyle w:val="TableContents"/>
              <w:bidi w:val="0"/>
              <w:spacing w:before="0" w:after="283"/>
              <w:jc w:val="left"/>
              <w:rPr/>
            </w:pPr>
            <w:r>
              <w:rPr/>
              <w:t> </w:t>
            </w:r>
          </w:p>
        </w:tc>
        <w:tc>
          <w:tcPr>
            <w:tcW w:w="11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shd w:fill="EEEEEE" w:val="clear"/>
            <w:tcMar>
              <w:bottom w:w="28" w:type="dxa"/>
            </w:tcMar>
            <w:vAlign w:val="center"/>
          </w:tcPr>
          <w:p>
            <w:pPr>
              <w:pStyle w:val="TableContents"/>
              <w:bidi w:val="0"/>
              <w:spacing w:before="0" w:after="283"/>
              <w:jc w:val="right"/>
              <w:rPr>
                <w:sz w:val="16"/>
              </w:rPr>
            </w:pPr>
            <w:r>
              <w:rPr>
                <w:sz w:val="16"/>
              </w:rPr>
              <w:t>(67,812</w:t>
            </w:r>
          </w:p>
        </w:tc>
        <w:tc>
          <w:tcPr>
            <w:tcW w:w="83" w:type="dxa"/>
            <w:tcBorders/>
            <w:shd w:fill="EEEEEE" w:val="clear"/>
            <w:vAlign w:val="center"/>
          </w:tcPr>
          <w:p>
            <w:pPr>
              <w:pStyle w:val="TableContents"/>
              <w:bidi w:val="0"/>
              <w:spacing w:before="0" w:after="283"/>
              <w:ind w:left="0" w:right="0" w:hanging="60"/>
              <w:jc w:val="left"/>
              <w:rPr>
                <w:sz w:val="16"/>
              </w:rPr>
            </w:pPr>
            <w:r>
              <w:rPr>
                <w:sz w:val="16"/>
              </w:rPr>
              <w:t>)</w:t>
            </w:r>
            <w:bookmarkStart w:id="170" w:name="xdx_43B_c20220701__20230630_eus-gaap--St"/>
            <w:bookmarkEnd w:id="170"/>
          </w:p>
        </w:tc>
      </w:tr>
      <w:tr>
        <w:trPr/>
        <w:tc>
          <w:tcPr>
            <w:tcW w:w="1705" w:type="dxa"/>
            <w:tcBorders/>
            <w:shd w:fill="FFFFFF" w:val="clear"/>
            <w:vAlign w:val="center"/>
          </w:tcPr>
          <w:p>
            <w:pPr>
              <w:pStyle w:val="TableContents"/>
              <w:bidi w:val="0"/>
              <w:spacing w:before="0" w:after="283"/>
              <w:jc w:val="left"/>
              <w:rPr>
                <w:sz w:val="16"/>
              </w:rPr>
            </w:pPr>
            <w:r>
              <w:rPr>
                <w:sz w:val="16"/>
              </w:rPr>
              <w:t>Balance, June 30, 2023</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71" w:name="xdx_98C_eus-gaap--SharesOutstanding_iE_c"/>
            <w:bookmarkEnd w:id="171"/>
          </w:p>
        </w:tc>
        <w:tc>
          <w:tcPr>
            <w:tcW w:w="830" w:type="dxa"/>
            <w:tcBorders>
              <w:bottom w:val="double" w:sz="6" w:space="0" w:color="000000"/>
            </w:tcBorders>
            <w:shd w:fill="FFFFFF" w:val="clear"/>
            <w:tcMar>
              <w:bottom w:w="28" w:type="dxa"/>
            </w:tcMar>
            <w:vAlign w:val="center"/>
          </w:tcPr>
          <w:p>
            <w:pPr>
              <w:pStyle w:val="TableContents"/>
              <w:bidi w:val="0"/>
              <w:spacing w:before="0" w:after="283"/>
              <w:jc w:val="right"/>
              <w:rPr>
                <w:sz w:val="16"/>
              </w:rPr>
            </w:pPr>
            <w:r>
              <w:rPr>
                <w:sz w:val="16"/>
              </w:rPr>
              <w:t>29,710,939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515" w:type="dxa"/>
            <w:tcBorders>
              <w:bottom w:val="double" w:sz="6" w:space="0" w:color="000000"/>
            </w:tcBorders>
            <w:shd w:fill="FFFFFF" w:val="clear"/>
            <w:tcMar>
              <w:bottom w:w="28" w:type="dxa"/>
            </w:tcMar>
            <w:vAlign w:val="center"/>
          </w:tcPr>
          <w:p>
            <w:pPr>
              <w:pStyle w:val="TableContents"/>
              <w:bidi w:val="0"/>
              <w:spacing w:before="0" w:after="283"/>
              <w:jc w:val="right"/>
              <w:rPr>
                <w:sz w:val="16"/>
              </w:rPr>
            </w:pPr>
            <w:r>
              <w:rPr>
                <w:sz w:val="16"/>
              </w:rPr>
              <w:t>29,712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830" w:type="dxa"/>
            <w:tcBorders>
              <w:bottom w:val="double" w:sz="6" w:space="0" w:color="000000"/>
            </w:tcBorders>
            <w:shd w:fill="FFFFFF" w:val="clear"/>
            <w:tcMar>
              <w:bottom w:w="28" w:type="dxa"/>
            </w:tcMar>
            <w:vAlign w:val="center"/>
          </w:tcPr>
          <w:p>
            <w:pPr>
              <w:pStyle w:val="TableContents"/>
              <w:bidi w:val="0"/>
              <w:spacing w:before="0" w:after="283"/>
              <w:jc w:val="right"/>
              <w:rPr>
                <w:sz w:val="16"/>
              </w:rPr>
            </w:pPr>
            <w:r>
              <w:rPr>
                <w:sz w:val="16"/>
              </w:rPr>
              <w:t>29,624,520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1262" w:type="dxa"/>
            <w:tcBorders>
              <w:bottom w:val="double" w:sz="6" w:space="0" w:color="000000"/>
            </w:tcBorders>
            <w:shd w:fill="FFFFFF" w:val="clear"/>
            <w:tcMar>
              <w:bottom w:w="28" w:type="dxa"/>
            </w:tcMar>
            <w:vAlign w:val="center"/>
          </w:tcPr>
          <w:p>
            <w:pPr>
              <w:pStyle w:val="TableContents"/>
              <w:bidi w:val="0"/>
              <w:spacing w:before="0" w:after="283"/>
              <w:jc w:val="right"/>
              <w:rPr>
                <w:sz w:val="16"/>
              </w:rPr>
            </w:pPr>
            <w:r>
              <w:rPr>
                <w:sz w:val="16"/>
              </w:rPr>
              <w:t>(8,702,442</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83" w:type="dxa"/>
            <w:tcBorders>
              <w:bottom w:val="double" w:sz="6"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962" w:type="dxa"/>
            <w:tcBorders>
              <w:bottom w:val="double" w:sz="6" w:space="0" w:color="000000"/>
            </w:tcBorders>
            <w:shd w:fill="FFFFFF" w:val="clear"/>
            <w:tcMar>
              <w:bottom w:w="28" w:type="dxa"/>
            </w:tcMar>
            <w:vAlign w:val="center"/>
          </w:tcPr>
          <w:p>
            <w:pPr>
              <w:pStyle w:val="TableContents"/>
              <w:bidi w:val="0"/>
              <w:spacing w:before="0" w:after="283"/>
              <w:jc w:val="right"/>
              <w:rPr>
                <w:sz w:val="16"/>
              </w:rPr>
            </w:pPr>
            <w:r>
              <w:rPr>
                <w:sz w:val="16"/>
              </w:rPr>
              <w:t>(24,915</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1293" w:type="dxa"/>
            <w:tcBorders>
              <w:bottom w:val="double" w:sz="6" w:space="0" w:color="000000"/>
            </w:tcBorders>
            <w:shd w:fill="FFFFFF" w:val="clear"/>
            <w:tcMar>
              <w:bottom w:w="28" w:type="dxa"/>
            </w:tcMar>
            <w:vAlign w:val="center"/>
          </w:tcPr>
          <w:p>
            <w:pPr>
              <w:pStyle w:val="TableContents"/>
              <w:bidi w:val="0"/>
              <w:spacing w:before="0" w:after="283"/>
              <w:jc w:val="right"/>
              <w:rPr>
                <w:sz w:val="16"/>
              </w:rPr>
            </w:pPr>
            <w:r>
              <w:rPr>
                <w:sz w:val="16"/>
              </w:rPr>
              <w:t>(62,134</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890" w:type="dxa"/>
            <w:tcBorders>
              <w:bottom w:val="double" w:sz="6" w:space="0" w:color="000000"/>
            </w:tcBorders>
            <w:shd w:fill="FFFFFF" w:val="clear"/>
            <w:tcMar>
              <w:bottom w:w="28" w:type="dxa"/>
            </w:tcMar>
            <w:vAlign w:val="center"/>
          </w:tcPr>
          <w:p>
            <w:pPr>
              <w:pStyle w:val="TableContents"/>
              <w:bidi w:val="0"/>
              <w:spacing w:before="0" w:after="283"/>
              <w:jc w:val="right"/>
              <w:rPr>
                <w:sz w:val="16"/>
              </w:rPr>
            </w:pPr>
            <w:r>
              <w:rPr>
                <w:sz w:val="16"/>
              </w:rPr>
              <w:t>20,864,741</w:t>
            </w:r>
          </w:p>
        </w:tc>
        <w:tc>
          <w:tcPr>
            <w:tcW w:w="83" w:type="dxa"/>
            <w:tcBorders/>
            <w:shd w:fill="FFFFFF" w:val="clear"/>
            <w:vAlign w:val="center"/>
          </w:tcPr>
          <w:p>
            <w:pPr>
              <w:pStyle w:val="TableContents"/>
              <w:bidi w:val="0"/>
              <w:spacing w:before="0" w:after="283"/>
              <w:jc w:val="left"/>
              <w:rPr/>
            </w:pPr>
            <w:r>
              <w:rPr/>
              <w:t> </w:t>
            </w:r>
          </w:p>
        </w:tc>
      </w:tr>
      <w:tr>
        <w:trPr/>
        <w:tc>
          <w:tcPr>
            <w:tcW w:w="170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262"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962"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1293"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 </w:t>
            </w:r>
          </w:p>
        </w:tc>
        <w:tc>
          <w:tcPr>
            <w:tcW w:w="83" w:type="dxa"/>
            <w:tcBorders/>
            <w:vAlign w:val="center"/>
          </w:tcPr>
          <w:p>
            <w:pPr>
              <w:pStyle w:val="TableContents"/>
              <w:bidi w:val="0"/>
              <w:spacing w:before="0" w:after="283"/>
              <w:jc w:val="left"/>
              <w:rPr/>
            </w:pPr>
            <w:r>
              <w:rPr/>
              <w:t> </w:t>
            </w:r>
          </w:p>
        </w:tc>
      </w:tr>
      <w:tr>
        <w:trPr/>
        <w:tc>
          <w:tcPr>
            <w:tcW w:w="17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26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83" w:type="dxa"/>
            <w:tcBorders/>
            <w:shd w:fill="FFFFFF" w:val="clear"/>
            <w:vAlign w:val="center"/>
          </w:tcPr>
          <w:p>
            <w:pPr>
              <w:pStyle w:val="TableContents"/>
              <w:bidi w:val="0"/>
              <w:spacing w:before="0" w:after="283"/>
              <w:ind w:left="0" w:right="0" w:hanging="60"/>
              <w:jc w:val="left"/>
              <w:rPr/>
            </w:pPr>
            <w:r>
              <w:rPr/>
              <w:t> </w:t>
            </w:r>
            <w:bookmarkStart w:id="172" w:name="xdx_436_c20210701__20220630_eus-gaap--St"/>
            <w:bookmarkEnd w:id="172"/>
          </w:p>
        </w:tc>
      </w:tr>
      <w:tr>
        <w:trPr/>
        <w:tc>
          <w:tcPr>
            <w:tcW w:w="1705" w:type="dxa"/>
            <w:tcBorders/>
            <w:shd w:fill="EEEEEE" w:val="clear"/>
            <w:vAlign w:val="center"/>
          </w:tcPr>
          <w:p>
            <w:pPr>
              <w:pStyle w:val="TableContents"/>
              <w:bidi w:val="0"/>
              <w:spacing w:before="0" w:after="283"/>
              <w:jc w:val="left"/>
              <w:rPr>
                <w:sz w:val="16"/>
              </w:rPr>
            </w:pPr>
            <w:r>
              <w:rPr>
                <w:sz w:val="16"/>
              </w:rPr>
              <w:t>Balance, June 30, 2021</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bookmarkStart w:id="173" w:name="xdx_989_eus-gaap--SharesOutstanding_iS_c"/>
            <w:bookmarkEnd w:id="173"/>
          </w:p>
        </w:tc>
        <w:tc>
          <w:tcPr>
            <w:tcW w:w="830" w:type="dxa"/>
            <w:tcBorders/>
            <w:shd w:fill="EEEEEE" w:val="clear"/>
            <w:vAlign w:val="center"/>
          </w:tcPr>
          <w:p>
            <w:pPr>
              <w:pStyle w:val="TableContents"/>
              <w:bidi w:val="0"/>
              <w:spacing w:before="0" w:after="283"/>
              <w:jc w:val="right"/>
              <w:rPr>
                <w:sz w:val="16"/>
              </w:rPr>
            </w:pPr>
            <w:r>
              <w:rPr>
                <w:sz w:val="16"/>
              </w:rPr>
              <w:t>26,448,663</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sz w:val="16"/>
              </w:rPr>
            </w:pPr>
            <w:r>
              <w:rPr>
                <w:sz w:val="16"/>
              </w:rPr>
              <w:t>$</w:t>
            </w:r>
          </w:p>
        </w:tc>
        <w:tc>
          <w:tcPr>
            <w:tcW w:w="515" w:type="dxa"/>
            <w:tcBorders/>
            <w:shd w:fill="EEEEEE" w:val="clear"/>
            <w:vAlign w:val="center"/>
          </w:tcPr>
          <w:p>
            <w:pPr>
              <w:pStyle w:val="TableContents"/>
              <w:bidi w:val="0"/>
              <w:spacing w:before="0" w:after="283"/>
              <w:jc w:val="right"/>
              <w:rPr>
                <w:sz w:val="16"/>
              </w:rPr>
            </w:pPr>
            <w:r>
              <w:rPr>
                <w:sz w:val="16"/>
              </w:rPr>
              <w:t>26,449</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sz w:val="16"/>
              </w:rPr>
            </w:pPr>
            <w:r>
              <w:rPr>
                <w:sz w:val="16"/>
              </w:rPr>
              <w:t>$</w:t>
            </w:r>
          </w:p>
        </w:tc>
        <w:tc>
          <w:tcPr>
            <w:tcW w:w="830" w:type="dxa"/>
            <w:tcBorders/>
            <w:shd w:fill="EEEEEE" w:val="clear"/>
            <w:vAlign w:val="center"/>
          </w:tcPr>
          <w:p>
            <w:pPr>
              <w:pStyle w:val="TableContents"/>
              <w:bidi w:val="0"/>
              <w:spacing w:before="0" w:after="283"/>
              <w:jc w:val="right"/>
              <w:rPr>
                <w:sz w:val="16"/>
              </w:rPr>
            </w:pPr>
            <w:r>
              <w:rPr>
                <w:sz w:val="16"/>
              </w:rPr>
              <w:t>23,214,263</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6" w:type="dxa"/>
            <w:tcBorders/>
            <w:shd w:fill="EEEEEE" w:val="clear"/>
            <w:vAlign w:val="center"/>
          </w:tcPr>
          <w:p>
            <w:pPr>
              <w:pStyle w:val="TableContents"/>
              <w:bidi w:val="0"/>
              <w:spacing w:before="0" w:after="283"/>
              <w:jc w:val="left"/>
              <w:rPr>
                <w:sz w:val="16"/>
              </w:rPr>
            </w:pPr>
            <w:r>
              <w:rPr>
                <w:sz w:val="16"/>
              </w:rPr>
              <w:t>$</w:t>
            </w:r>
          </w:p>
        </w:tc>
        <w:tc>
          <w:tcPr>
            <w:tcW w:w="1262" w:type="dxa"/>
            <w:tcBorders/>
            <w:shd w:fill="EEEEEE" w:val="clear"/>
            <w:vAlign w:val="center"/>
          </w:tcPr>
          <w:p>
            <w:pPr>
              <w:pStyle w:val="TableContents"/>
              <w:bidi w:val="0"/>
              <w:spacing w:before="0" w:after="283"/>
              <w:jc w:val="right"/>
              <w:rPr>
                <w:sz w:val="16"/>
              </w:rPr>
            </w:pPr>
            <w:r>
              <w:rPr>
                <w:sz w:val="16"/>
              </w:rPr>
              <w:t>1,745,073</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83" w:type="dxa"/>
            <w:tcBorders/>
            <w:shd w:fill="EEEEEE" w:val="clear"/>
            <w:vAlign w:val="center"/>
          </w:tcPr>
          <w:p>
            <w:pPr>
              <w:pStyle w:val="TableContents"/>
              <w:bidi w:val="0"/>
              <w:spacing w:before="0" w:after="283"/>
              <w:jc w:val="left"/>
              <w:rPr>
                <w:sz w:val="16"/>
              </w:rPr>
            </w:pPr>
            <w:r>
              <w:rPr>
                <w:sz w:val="16"/>
              </w:rPr>
              <w:t>$</w:t>
            </w:r>
          </w:p>
        </w:tc>
        <w:tc>
          <w:tcPr>
            <w:tcW w:w="962" w:type="dxa"/>
            <w:tcBorders/>
            <w:shd w:fill="EEEEEE" w:val="clear"/>
            <w:vAlign w:val="center"/>
          </w:tcPr>
          <w:p>
            <w:pPr>
              <w:pStyle w:val="TableContents"/>
              <w:bidi w:val="0"/>
              <w:spacing w:before="0" w:after="283"/>
              <w:jc w:val="right"/>
              <w:rPr/>
            </w:pPr>
            <w:r>
              <w:rPr/>
              <w:t>–</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46" w:type="dxa"/>
            <w:tcBorders/>
            <w:shd w:fill="EEEEEE" w:val="clear"/>
            <w:vAlign w:val="center"/>
          </w:tcPr>
          <w:p>
            <w:pPr>
              <w:pStyle w:val="TableContents"/>
              <w:bidi w:val="0"/>
              <w:spacing w:before="0" w:after="283"/>
              <w:jc w:val="left"/>
              <w:rPr>
                <w:sz w:val="16"/>
              </w:rPr>
            </w:pPr>
            <w:r>
              <w:rPr>
                <w:sz w:val="16"/>
              </w:rPr>
              <w:t>$</w:t>
            </w:r>
          </w:p>
        </w:tc>
        <w:tc>
          <w:tcPr>
            <w:tcW w:w="1293" w:type="dxa"/>
            <w:tcBorders/>
            <w:shd w:fill="EEEEEE" w:val="clear"/>
            <w:vAlign w:val="center"/>
          </w:tcPr>
          <w:p>
            <w:pPr>
              <w:pStyle w:val="TableContents"/>
              <w:bidi w:val="0"/>
              <w:spacing w:before="0" w:after="283"/>
              <w:jc w:val="right"/>
              <w:rPr/>
            </w:pPr>
            <w:r>
              <w:rPr/>
              <w:t>–</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sz w:val="16"/>
              </w:rPr>
            </w:pPr>
            <w:r>
              <w:rPr>
                <w:sz w:val="16"/>
              </w:rPr>
              <w:t>$</w:t>
            </w:r>
          </w:p>
        </w:tc>
        <w:tc>
          <w:tcPr>
            <w:tcW w:w="890" w:type="dxa"/>
            <w:tcBorders/>
            <w:shd w:fill="EEEEEE" w:val="clear"/>
            <w:vAlign w:val="center"/>
          </w:tcPr>
          <w:p>
            <w:pPr>
              <w:pStyle w:val="TableContents"/>
              <w:bidi w:val="0"/>
              <w:spacing w:before="0" w:after="283"/>
              <w:jc w:val="right"/>
              <w:rPr>
                <w:sz w:val="16"/>
              </w:rPr>
            </w:pPr>
            <w:r>
              <w:rPr>
                <w:sz w:val="16"/>
              </w:rPr>
              <w:t>24,985,785</w:t>
            </w:r>
          </w:p>
        </w:tc>
        <w:tc>
          <w:tcPr>
            <w:tcW w:w="83" w:type="dxa"/>
            <w:tcBorders/>
            <w:shd w:fill="EEEEEE" w:val="clear"/>
            <w:vAlign w:val="center"/>
          </w:tcPr>
          <w:p>
            <w:pPr>
              <w:pStyle w:val="TableContents"/>
              <w:bidi w:val="0"/>
              <w:spacing w:before="0" w:after="283"/>
              <w:ind w:left="0" w:right="0" w:hanging="60"/>
              <w:jc w:val="left"/>
              <w:rPr/>
            </w:pPr>
            <w:r>
              <w:rPr/>
              <w:t> </w:t>
            </w:r>
            <w:bookmarkStart w:id="174" w:name="xdx_401_eus-gaap--ProfitLoss_zSkcblcw0rW"/>
            <w:bookmarkEnd w:id="174"/>
          </w:p>
        </w:tc>
      </w:tr>
      <w:tr>
        <w:trPr/>
        <w:tc>
          <w:tcPr>
            <w:tcW w:w="1705" w:type="dxa"/>
            <w:tcBorders/>
            <w:shd w:fill="FFFFFF" w:val="clear"/>
            <w:vAlign w:val="center"/>
          </w:tcPr>
          <w:p>
            <w:pPr>
              <w:pStyle w:val="TableContents"/>
              <w:bidi w:val="0"/>
              <w:spacing w:before="0" w:after="283"/>
              <w:jc w:val="left"/>
              <w:rPr>
                <w:sz w:val="16"/>
              </w:rPr>
            </w:pPr>
            <w:r>
              <w:rPr>
                <w:sz w:val="16"/>
              </w:rPr>
              <w:t>Net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262" w:type="dxa"/>
            <w:tcBorders/>
            <w:shd w:fill="FFFFFF" w:val="clear"/>
            <w:vAlign w:val="center"/>
          </w:tcPr>
          <w:p>
            <w:pPr>
              <w:pStyle w:val="TableContents"/>
              <w:bidi w:val="0"/>
              <w:spacing w:before="0" w:after="283"/>
              <w:jc w:val="right"/>
              <w:rPr>
                <w:sz w:val="16"/>
              </w:rPr>
            </w:pPr>
            <w:r>
              <w:rPr>
                <w:sz w:val="16"/>
              </w:rPr>
              <w:t>1,517,875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6"/>
              </w:rPr>
            </w:pPr>
            <w:r>
              <w:rPr>
                <w:sz w:val="16"/>
              </w:rPr>
              <w:t>1,517,875</w:t>
            </w:r>
          </w:p>
        </w:tc>
        <w:tc>
          <w:tcPr>
            <w:tcW w:w="83" w:type="dxa"/>
            <w:tcBorders/>
            <w:shd w:fill="FFFFFF" w:val="clear"/>
            <w:vAlign w:val="center"/>
          </w:tcPr>
          <w:p>
            <w:pPr>
              <w:pStyle w:val="TableContents"/>
              <w:bidi w:val="0"/>
              <w:spacing w:before="0" w:after="283"/>
              <w:ind w:left="0" w:right="0" w:hanging="60"/>
              <w:jc w:val="left"/>
              <w:rPr/>
            </w:pPr>
            <w:r>
              <w:rPr/>
              <w:t> </w:t>
            </w:r>
            <w:bookmarkStart w:id="175" w:name="xdx_40D_eus-gaap--MinorityInterestChange"/>
            <w:bookmarkEnd w:id="175"/>
          </w:p>
        </w:tc>
      </w:tr>
      <w:tr>
        <w:trPr/>
        <w:tc>
          <w:tcPr>
            <w:tcW w:w="1705" w:type="dxa"/>
            <w:tcBorders/>
            <w:shd w:fill="EEEEEE" w:val="clear"/>
            <w:vAlign w:val="center"/>
          </w:tcPr>
          <w:p>
            <w:pPr>
              <w:pStyle w:val="TableContents"/>
              <w:bidi w:val="0"/>
              <w:spacing w:before="0" w:after="283"/>
              <w:jc w:val="left"/>
              <w:rPr>
                <w:sz w:val="16"/>
              </w:rPr>
            </w:pPr>
            <w:r>
              <w:rPr>
                <w:sz w:val="16"/>
              </w:rPr>
              <w:t>Non-controlling interest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830" w:type="dxa"/>
            <w:tcBorders/>
            <w:shd w:fill="EEEEEE" w:val="clear"/>
            <w:vAlign w:val="center"/>
          </w:tcPr>
          <w:p>
            <w:pPr>
              <w:pStyle w:val="TableContents"/>
              <w:bidi w:val="0"/>
              <w:spacing w:before="0" w:after="283"/>
              <w:jc w:val="right"/>
              <w:rPr/>
            </w:pPr>
            <w:r>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515" w:type="dxa"/>
            <w:tcBorders/>
            <w:shd w:fill="EEEEEE" w:val="clear"/>
            <w:vAlign w:val="center"/>
          </w:tcPr>
          <w:p>
            <w:pPr>
              <w:pStyle w:val="TableContents"/>
              <w:bidi w:val="0"/>
              <w:spacing w:before="0" w:after="283"/>
              <w:jc w:val="right"/>
              <w:rPr/>
            </w:pPr>
            <w:r>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30" w:type="dxa"/>
            <w:tcBorders/>
            <w:shd w:fill="EEEEEE" w:val="clear"/>
            <w:vAlign w:val="center"/>
          </w:tcPr>
          <w:p>
            <w:pPr>
              <w:pStyle w:val="TableContents"/>
              <w:bidi w:val="0"/>
              <w:spacing w:before="0" w:after="283"/>
              <w:jc w:val="right"/>
              <w:rPr/>
            </w:pPr>
            <w:r>
              <w:rPr/>
              <w:t>–</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6" w:type="dxa"/>
            <w:tcBorders/>
            <w:shd w:fill="EEEEEE" w:val="clear"/>
            <w:vAlign w:val="center"/>
          </w:tcPr>
          <w:p>
            <w:pPr>
              <w:pStyle w:val="TableContents"/>
              <w:bidi w:val="0"/>
              <w:spacing w:before="0" w:after="283"/>
              <w:jc w:val="left"/>
              <w:rPr/>
            </w:pPr>
            <w:r>
              <w:rPr/>
              <w:t> </w:t>
            </w:r>
          </w:p>
        </w:tc>
        <w:tc>
          <w:tcPr>
            <w:tcW w:w="1262" w:type="dxa"/>
            <w:tcBorders/>
            <w:shd w:fill="EEEEEE" w:val="clear"/>
            <w:vAlign w:val="center"/>
          </w:tcPr>
          <w:p>
            <w:pPr>
              <w:pStyle w:val="TableContents"/>
              <w:bidi w:val="0"/>
              <w:spacing w:before="0" w:after="283"/>
              <w:jc w:val="right"/>
              <w:rPr/>
            </w:pPr>
            <w:r>
              <w:rPr/>
              <w:t>–</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83" w:type="dxa"/>
            <w:tcBorders/>
            <w:shd w:fill="EEEEEE" w:val="clear"/>
            <w:vAlign w:val="center"/>
          </w:tcPr>
          <w:p>
            <w:pPr>
              <w:pStyle w:val="TableContents"/>
              <w:bidi w:val="0"/>
              <w:spacing w:before="0" w:after="283"/>
              <w:jc w:val="left"/>
              <w:rPr/>
            </w:pPr>
            <w:r>
              <w:rPr/>
              <w:t> </w:t>
            </w:r>
          </w:p>
        </w:tc>
        <w:tc>
          <w:tcPr>
            <w:tcW w:w="962" w:type="dxa"/>
            <w:tcBorders/>
            <w:shd w:fill="EEEEEE" w:val="clear"/>
            <w:vAlign w:val="center"/>
          </w:tcPr>
          <w:p>
            <w:pPr>
              <w:pStyle w:val="TableContents"/>
              <w:bidi w:val="0"/>
              <w:spacing w:before="0" w:after="283"/>
              <w:jc w:val="right"/>
              <w:rPr>
                <w:sz w:val="16"/>
              </w:rPr>
            </w:pPr>
            <w:r>
              <w:rPr>
                <w:sz w:val="16"/>
              </w:rPr>
              <w:t>(13,232</w:t>
            </w:r>
          </w:p>
        </w:tc>
        <w:tc>
          <w:tcPr>
            <w:tcW w:w="80" w:type="dxa"/>
            <w:tcBorders/>
            <w:shd w:fill="EEEEEE" w:val="clear"/>
            <w:vAlign w:val="center"/>
          </w:tcPr>
          <w:p>
            <w:pPr>
              <w:pStyle w:val="TableContents"/>
              <w:bidi w:val="0"/>
              <w:spacing w:before="0" w:after="283"/>
              <w:jc w:val="left"/>
              <w:rPr>
                <w:sz w:val="16"/>
              </w:rPr>
            </w:pPr>
            <w:r>
              <w:rPr>
                <w:sz w:val="16"/>
              </w:rPr>
              <w:t>)</w:t>
            </w:r>
          </w:p>
        </w:tc>
        <w:tc>
          <w:tcPr>
            <w:tcW w:w="60" w:type="dxa"/>
            <w:tcBorders/>
            <w:shd w:fill="EEEEEE" w:val="clear"/>
            <w:vAlign w:val="center"/>
          </w:tcPr>
          <w:p>
            <w:pPr>
              <w:pStyle w:val="TableContents"/>
              <w:bidi w:val="0"/>
              <w:spacing w:before="0" w:after="283"/>
              <w:jc w:val="left"/>
              <w:rPr/>
            </w:pPr>
            <w:r>
              <w:rPr/>
              <w:t> </w:t>
            </w:r>
          </w:p>
        </w:tc>
        <w:tc>
          <w:tcPr>
            <w:tcW w:w="246" w:type="dxa"/>
            <w:tcBorders/>
            <w:shd w:fill="EEEEEE" w:val="clear"/>
            <w:vAlign w:val="center"/>
          </w:tcPr>
          <w:p>
            <w:pPr>
              <w:pStyle w:val="TableContents"/>
              <w:bidi w:val="0"/>
              <w:spacing w:before="0" w:after="283"/>
              <w:jc w:val="left"/>
              <w:rPr/>
            </w:pPr>
            <w:r>
              <w:rPr/>
              <w:t> </w:t>
            </w:r>
          </w:p>
        </w:tc>
        <w:tc>
          <w:tcPr>
            <w:tcW w:w="1293" w:type="dxa"/>
            <w:tcBorders/>
            <w:shd w:fill="EEEEEE" w:val="clear"/>
            <w:vAlign w:val="center"/>
          </w:tcPr>
          <w:p>
            <w:pPr>
              <w:pStyle w:val="TableContents"/>
              <w:bidi w:val="0"/>
              <w:spacing w:before="0" w:after="283"/>
              <w:jc w:val="right"/>
              <w:rPr/>
            </w:pPr>
            <w:r>
              <w:rPr/>
              <w:t>–</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sz w:val="16"/>
              </w:rPr>
            </w:pPr>
            <w:r>
              <w:rPr>
                <w:sz w:val="16"/>
              </w:rPr>
              <w:t>(13,232</w:t>
            </w:r>
          </w:p>
        </w:tc>
        <w:tc>
          <w:tcPr>
            <w:tcW w:w="83" w:type="dxa"/>
            <w:tcBorders/>
            <w:shd w:fill="EEEEEE" w:val="clear"/>
            <w:vAlign w:val="center"/>
          </w:tcPr>
          <w:p>
            <w:pPr>
              <w:pStyle w:val="TableContents"/>
              <w:bidi w:val="0"/>
              <w:spacing w:before="0" w:after="283"/>
              <w:ind w:left="0" w:right="0" w:hanging="60"/>
              <w:jc w:val="left"/>
              <w:rPr>
                <w:sz w:val="16"/>
              </w:rPr>
            </w:pPr>
            <w:r>
              <w:rPr>
                <w:sz w:val="16"/>
              </w:rPr>
              <w:t>)</w:t>
            </w:r>
            <w:bookmarkStart w:id="176" w:name="xdx_40C_eus-gaap--StockIssuedDuringPerio"/>
            <w:bookmarkEnd w:id="176"/>
          </w:p>
        </w:tc>
      </w:tr>
      <w:tr>
        <w:trPr/>
        <w:tc>
          <w:tcPr>
            <w:tcW w:w="1705" w:type="dxa"/>
            <w:tcBorders/>
            <w:shd w:fill="FFFFFF" w:val="clear"/>
            <w:vAlign w:val="center"/>
          </w:tcPr>
          <w:p>
            <w:pPr>
              <w:pStyle w:val="TableContents"/>
              <w:bidi w:val="0"/>
              <w:spacing w:before="0" w:after="283"/>
              <w:jc w:val="left"/>
              <w:rPr>
                <w:sz w:val="16"/>
              </w:rPr>
            </w:pPr>
            <w:r>
              <w:rPr>
                <w:sz w:val="16"/>
              </w:rPr>
              <w:t>Restricted shares issued for vested RSUs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7" w:name="xdx_982_ecustom--RestrictedSharesIssuedF"/>
            <w:bookmarkEnd w:id="177"/>
          </w:p>
        </w:tc>
        <w:tc>
          <w:tcPr>
            <w:tcW w:w="830" w:type="dxa"/>
            <w:tcBorders/>
            <w:shd w:fill="FFFFFF" w:val="clear"/>
            <w:vAlign w:val="center"/>
          </w:tcPr>
          <w:p>
            <w:pPr>
              <w:pStyle w:val="TableContents"/>
              <w:bidi w:val="0"/>
              <w:spacing w:before="0" w:after="283"/>
              <w:jc w:val="right"/>
              <w:rPr>
                <w:sz w:val="16"/>
              </w:rPr>
            </w:pPr>
            <w:r>
              <w:rPr>
                <w:sz w:val="16"/>
              </w:rPr>
              <w:t>40,019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sz w:val="16"/>
              </w:rPr>
            </w:pPr>
            <w:r>
              <w:rPr>
                <w:sz w:val="16"/>
              </w:rPr>
              <w:t>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(40</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262"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p>
        </w:tc>
        <w:tc>
          <w:tcPr>
            <w:tcW w:w="83" w:type="dxa"/>
            <w:tcBorders/>
            <w:shd w:fill="FFFFFF" w:val="clear"/>
            <w:vAlign w:val="center"/>
          </w:tcPr>
          <w:p>
            <w:pPr>
              <w:pStyle w:val="TableContents"/>
              <w:bidi w:val="0"/>
              <w:spacing w:before="0" w:after="283"/>
              <w:ind w:left="0" w:right="0" w:hanging="60"/>
              <w:jc w:val="left"/>
              <w:rPr/>
            </w:pPr>
            <w:r>
              <w:rPr/>
              <w:t> </w:t>
            </w:r>
            <w:bookmarkStart w:id="178" w:name="xdx_40F_eus-gaap--AdjustmentsToAdditiona"/>
            <w:bookmarkEnd w:id="178"/>
          </w:p>
        </w:tc>
      </w:tr>
      <w:tr>
        <w:trPr/>
        <w:tc>
          <w:tcPr>
            <w:tcW w:w="1705" w:type="dxa"/>
            <w:tcBorders/>
            <w:shd w:fill="EEEEEE" w:val="clear"/>
            <w:vAlign w:val="center"/>
          </w:tcPr>
          <w:p>
            <w:pPr>
              <w:pStyle w:val="TableContents"/>
              <w:bidi w:val="0"/>
              <w:spacing w:before="0" w:after="283"/>
              <w:jc w:val="left"/>
              <w:rPr>
                <w:sz w:val="16"/>
              </w:rPr>
            </w:pPr>
            <w:r>
              <w:rPr>
                <w:sz w:val="16"/>
              </w:rPr>
              <w:t>Stock-based compensation</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830" w:type="dxa"/>
            <w:tcBorders/>
            <w:shd w:fill="EEEEEE" w:val="clear"/>
            <w:vAlign w:val="center"/>
          </w:tcPr>
          <w:p>
            <w:pPr>
              <w:pStyle w:val="TableContents"/>
              <w:bidi w:val="0"/>
              <w:spacing w:before="0" w:after="283"/>
              <w:jc w:val="right"/>
              <w:rPr/>
            </w:pPr>
            <w:r>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515" w:type="dxa"/>
            <w:tcBorders/>
            <w:shd w:fill="EEEEEE" w:val="clear"/>
            <w:vAlign w:val="center"/>
          </w:tcPr>
          <w:p>
            <w:pPr>
              <w:pStyle w:val="TableContents"/>
              <w:bidi w:val="0"/>
              <w:spacing w:before="0" w:after="283"/>
              <w:jc w:val="right"/>
              <w:rPr/>
            </w:pPr>
            <w:r>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30" w:type="dxa"/>
            <w:tcBorders/>
            <w:shd w:fill="EEEEEE" w:val="clear"/>
            <w:vAlign w:val="center"/>
          </w:tcPr>
          <w:p>
            <w:pPr>
              <w:pStyle w:val="TableContents"/>
              <w:bidi w:val="0"/>
              <w:spacing w:before="0" w:after="283"/>
              <w:jc w:val="right"/>
              <w:rPr>
                <w:sz w:val="16"/>
              </w:rPr>
            </w:pPr>
            <w:r>
              <w:rPr>
                <w:sz w:val="16"/>
              </w:rPr>
              <w:t>372,351</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6" w:type="dxa"/>
            <w:tcBorders/>
            <w:shd w:fill="EEEEEE" w:val="clear"/>
            <w:vAlign w:val="center"/>
          </w:tcPr>
          <w:p>
            <w:pPr>
              <w:pStyle w:val="TableContents"/>
              <w:bidi w:val="0"/>
              <w:spacing w:before="0" w:after="283"/>
              <w:jc w:val="left"/>
              <w:rPr/>
            </w:pPr>
            <w:r>
              <w:rPr/>
              <w:t> </w:t>
            </w:r>
          </w:p>
        </w:tc>
        <w:tc>
          <w:tcPr>
            <w:tcW w:w="1262" w:type="dxa"/>
            <w:tcBorders/>
            <w:shd w:fill="EEEEEE" w:val="clear"/>
            <w:vAlign w:val="center"/>
          </w:tcPr>
          <w:p>
            <w:pPr>
              <w:pStyle w:val="TableContents"/>
              <w:bidi w:val="0"/>
              <w:spacing w:before="0" w:after="283"/>
              <w:jc w:val="right"/>
              <w:rPr/>
            </w:pPr>
            <w:r>
              <w:rPr/>
              <w:t>–</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83" w:type="dxa"/>
            <w:tcBorders/>
            <w:shd w:fill="EEEEEE" w:val="clear"/>
            <w:vAlign w:val="center"/>
          </w:tcPr>
          <w:p>
            <w:pPr>
              <w:pStyle w:val="TableContents"/>
              <w:bidi w:val="0"/>
              <w:spacing w:before="0" w:after="283"/>
              <w:jc w:val="left"/>
              <w:rPr/>
            </w:pPr>
            <w:r>
              <w:rPr/>
              <w:t> </w:t>
            </w:r>
          </w:p>
        </w:tc>
        <w:tc>
          <w:tcPr>
            <w:tcW w:w="962" w:type="dxa"/>
            <w:tcBorders/>
            <w:shd w:fill="EEEEEE" w:val="clear"/>
            <w:vAlign w:val="center"/>
          </w:tcPr>
          <w:p>
            <w:pPr>
              <w:pStyle w:val="TableContents"/>
              <w:bidi w:val="0"/>
              <w:spacing w:before="0" w:after="283"/>
              <w:jc w:val="right"/>
              <w:rPr/>
            </w:pPr>
            <w:r>
              <w:rPr/>
              <w:t>–</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46" w:type="dxa"/>
            <w:tcBorders/>
            <w:shd w:fill="EEEEEE" w:val="clear"/>
            <w:vAlign w:val="center"/>
          </w:tcPr>
          <w:p>
            <w:pPr>
              <w:pStyle w:val="TableContents"/>
              <w:bidi w:val="0"/>
              <w:spacing w:before="0" w:after="283"/>
              <w:jc w:val="left"/>
              <w:rPr/>
            </w:pPr>
            <w:r>
              <w:rPr/>
              <w:t> </w:t>
            </w:r>
          </w:p>
        </w:tc>
        <w:tc>
          <w:tcPr>
            <w:tcW w:w="1293" w:type="dxa"/>
            <w:tcBorders/>
            <w:shd w:fill="EEEEEE" w:val="clear"/>
            <w:vAlign w:val="center"/>
          </w:tcPr>
          <w:p>
            <w:pPr>
              <w:pStyle w:val="TableContents"/>
              <w:bidi w:val="0"/>
              <w:spacing w:before="0" w:after="283"/>
              <w:jc w:val="right"/>
              <w:rPr/>
            </w:pPr>
            <w:r>
              <w:rPr/>
              <w:t>–</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shd w:fill="EEEEEE" w:val="clear"/>
            <w:vAlign w:val="center"/>
          </w:tcPr>
          <w:p>
            <w:pPr>
              <w:pStyle w:val="TableContents"/>
              <w:bidi w:val="0"/>
              <w:spacing w:before="0" w:after="283"/>
              <w:jc w:val="left"/>
              <w:rPr/>
            </w:pPr>
            <w:r>
              <w:rPr/>
              <w:t> </w:t>
            </w:r>
          </w:p>
        </w:tc>
        <w:tc>
          <w:tcPr>
            <w:tcW w:w="890" w:type="dxa"/>
            <w:tcBorders/>
            <w:shd w:fill="EEEEEE" w:val="clear"/>
            <w:vAlign w:val="center"/>
          </w:tcPr>
          <w:p>
            <w:pPr>
              <w:pStyle w:val="TableContents"/>
              <w:bidi w:val="0"/>
              <w:spacing w:before="0" w:after="283"/>
              <w:jc w:val="right"/>
              <w:rPr>
                <w:sz w:val="16"/>
              </w:rPr>
            </w:pPr>
            <w:r>
              <w:rPr>
                <w:sz w:val="16"/>
              </w:rPr>
              <w:t>372,351</w:t>
            </w:r>
          </w:p>
        </w:tc>
        <w:tc>
          <w:tcPr>
            <w:tcW w:w="83" w:type="dxa"/>
            <w:tcBorders/>
            <w:shd w:fill="EEEEEE" w:val="clear"/>
            <w:vAlign w:val="center"/>
          </w:tcPr>
          <w:p>
            <w:pPr>
              <w:pStyle w:val="TableContents"/>
              <w:bidi w:val="0"/>
              <w:spacing w:before="0" w:after="283"/>
              <w:ind w:left="0" w:right="0" w:hanging="60"/>
              <w:jc w:val="left"/>
              <w:rPr/>
            </w:pPr>
            <w:r>
              <w:rPr/>
              <w:t> </w:t>
            </w:r>
            <w:bookmarkStart w:id="179" w:name="xdx_406_eus-gaap--StockIssuedDuringPerio"/>
            <w:bookmarkEnd w:id="179"/>
          </w:p>
        </w:tc>
      </w:tr>
      <w:tr>
        <w:trPr/>
        <w:tc>
          <w:tcPr>
            <w:tcW w:w="1705" w:type="dxa"/>
            <w:tcBorders/>
            <w:shd w:fill="FFFFFF" w:val="clear"/>
            <w:vAlign w:val="center"/>
          </w:tcPr>
          <w:p>
            <w:pPr>
              <w:pStyle w:val="TableContents"/>
              <w:bidi w:val="0"/>
              <w:spacing w:before="0" w:after="283"/>
              <w:jc w:val="left"/>
              <w:rPr>
                <w:sz w:val="16"/>
              </w:rPr>
            </w:pPr>
            <w:r>
              <w:rPr>
                <w:sz w:val="16"/>
              </w:rPr>
              <w:t>Shares issued for acquisition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80" w:name="xdx_983_eus-gaap--StockIssuedDuringPerio"/>
            <w:bookmarkEnd w:id="180"/>
          </w:p>
        </w:tc>
        <w:tc>
          <w:tcPr>
            <w:tcW w:w="830" w:type="dxa"/>
            <w:tcBorders/>
            <w:shd w:fill="FFFFFF" w:val="clear"/>
            <w:vAlign w:val="center"/>
          </w:tcPr>
          <w:p>
            <w:pPr>
              <w:pStyle w:val="TableContents"/>
              <w:bidi w:val="0"/>
              <w:spacing w:before="0" w:after="283"/>
              <w:jc w:val="right"/>
              <w:rPr>
                <w:sz w:val="16"/>
              </w:rPr>
            </w:pPr>
            <w:r>
              <w:rPr>
                <w:sz w:val="16"/>
              </w:rPr>
              <w:t>3,083,700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sz w:val="16"/>
              </w:rPr>
            </w:pPr>
            <w:r>
              <w:rPr>
                <w:sz w:val="16"/>
              </w:rPr>
              <w:t>3,084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5,525,289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262"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6"/>
              </w:rPr>
            </w:pPr>
            <w:r>
              <w:rPr>
                <w:sz w:val="16"/>
              </w:rPr>
              <w:t>5,528,373</w:t>
            </w:r>
          </w:p>
        </w:tc>
        <w:tc>
          <w:tcPr>
            <w:tcW w:w="83" w:type="dxa"/>
            <w:tcBorders/>
            <w:shd w:fill="FFFFFF" w:val="clear"/>
            <w:vAlign w:val="center"/>
          </w:tcPr>
          <w:p>
            <w:pPr>
              <w:pStyle w:val="TableContents"/>
              <w:bidi w:val="0"/>
              <w:spacing w:before="0" w:after="283"/>
              <w:ind w:left="0" w:right="0" w:hanging="60"/>
              <w:jc w:val="left"/>
              <w:rPr/>
            </w:pPr>
            <w:r>
              <w:rPr/>
              <w:t> </w:t>
            </w:r>
            <w:bookmarkStart w:id="181" w:name="xdx_40E_eus-gaap--OtherComprehensiveInco"/>
            <w:bookmarkEnd w:id="181"/>
          </w:p>
        </w:tc>
      </w:tr>
      <w:tr>
        <w:trPr/>
        <w:tc>
          <w:tcPr>
            <w:tcW w:w="1705" w:type="dxa"/>
            <w:tcBorders/>
            <w:shd w:fill="EEEEEE" w:val="clear"/>
            <w:vAlign w:val="center"/>
          </w:tcPr>
          <w:p>
            <w:pPr>
              <w:pStyle w:val="TableContents"/>
              <w:bidi w:val="0"/>
              <w:spacing w:before="0" w:after="283"/>
              <w:jc w:val="left"/>
              <w:rPr>
                <w:sz w:val="16"/>
              </w:rPr>
            </w:pPr>
            <w:r>
              <w:rPr>
                <w:sz w:val="16"/>
              </w:rPr>
              <w:t>Foreign currency translation adjustments</w:t>
            </w:r>
          </w:p>
        </w:tc>
        <w:tc>
          <w:tcPr>
            <w:tcW w:w="60" w:type="dxa"/>
            <w:tcBorders/>
            <w:shd w:fill="EEEEEE" w:val="clear"/>
            <w:vAlign w:val="center"/>
          </w:tcPr>
          <w:p>
            <w:pPr>
              <w:pStyle w:val="TableContents"/>
              <w:bidi w:val="0"/>
              <w:spacing w:before="0" w:after="283"/>
              <w:jc w:val="left"/>
              <w:rPr/>
            </w:pPr>
            <w:r>
              <w:rPr/>
              <w:t> </w:t>
            </w:r>
          </w:p>
        </w:tc>
        <w:tc>
          <w:tcPr>
            <w:tcW w:w="6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515"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6"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262"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83"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46"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293" w:type="dxa"/>
            <w:tcBorders>
              <w:bottom w:val="single" w:sz="8" w:space="0" w:color="000000"/>
            </w:tcBorders>
            <w:shd w:fill="EEEEEE" w:val="clear"/>
            <w:tcMar>
              <w:bottom w:w="28" w:type="dxa"/>
            </w:tcMar>
            <w:vAlign w:val="center"/>
          </w:tcPr>
          <w:p>
            <w:pPr>
              <w:pStyle w:val="TableContents"/>
              <w:bidi w:val="0"/>
              <w:spacing w:before="0" w:after="283"/>
              <w:jc w:val="right"/>
              <w:rPr>
                <w:sz w:val="16"/>
              </w:rPr>
            </w:pPr>
            <w:r>
              <w:rPr>
                <w:sz w:val="16"/>
              </w:rPr>
              <w:t>5,678</w:t>
            </w:r>
          </w:p>
        </w:tc>
        <w:tc>
          <w:tcPr>
            <w:tcW w:w="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shd w:fill="EEEEEE" w:val="clear"/>
            <w:tcMar>
              <w:bottom w:w="28" w:type="dxa"/>
            </w:tcMar>
            <w:vAlign w:val="center"/>
          </w:tcPr>
          <w:p>
            <w:pPr>
              <w:pStyle w:val="TableContents"/>
              <w:bidi w:val="0"/>
              <w:spacing w:before="0" w:after="283"/>
              <w:jc w:val="right"/>
              <w:rPr>
                <w:sz w:val="16"/>
              </w:rPr>
            </w:pPr>
            <w:r>
              <w:rPr>
                <w:sz w:val="16"/>
              </w:rPr>
              <w:t>5,678</w:t>
            </w:r>
          </w:p>
        </w:tc>
        <w:tc>
          <w:tcPr>
            <w:tcW w:w="83" w:type="dxa"/>
            <w:tcBorders/>
            <w:shd w:fill="EEEEEE" w:val="clear"/>
            <w:vAlign w:val="center"/>
          </w:tcPr>
          <w:p>
            <w:pPr>
              <w:pStyle w:val="TableContents"/>
              <w:bidi w:val="0"/>
              <w:spacing w:before="0" w:after="283"/>
              <w:ind w:left="0" w:right="0" w:hanging="60"/>
              <w:jc w:val="left"/>
              <w:rPr/>
            </w:pPr>
            <w:r>
              <w:rPr/>
              <w:t> </w:t>
            </w:r>
            <w:bookmarkStart w:id="182" w:name="xdx_437_c20210701__20220630_eus-gaap--St"/>
            <w:bookmarkEnd w:id="182"/>
          </w:p>
        </w:tc>
      </w:tr>
      <w:tr>
        <w:trPr/>
        <w:tc>
          <w:tcPr>
            <w:tcW w:w="1705" w:type="dxa"/>
            <w:tcBorders/>
            <w:shd w:fill="FFFFFF" w:val="clear"/>
            <w:vAlign w:val="center"/>
          </w:tcPr>
          <w:p>
            <w:pPr>
              <w:pStyle w:val="TableContents"/>
              <w:bidi w:val="0"/>
              <w:spacing w:before="0" w:after="283"/>
              <w:jc w:val="left"/>
              <w:rPr>
                <w:sz w:val="16"/>
              </w:rPr>
            </w:pPr>
            <w:r>
              <w:rPr>
                <w:sz w:val="16"/>
              </w:rPr>
              <w:t>Balance, June 30, 2022</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83" w:name="xdx_98F_eus-gaap--SharesOutstanding_iE_c"/>
            <w:bookmarkEnd w:id="183"/>
          </w:p>
        </w:tc>
        <w:tc>
          <w:tcPr>
            <w:tcW w:w="830" w:type="dxa"/>
            <w:tcBorders>
              <w:bottom w:val="double" w:sz="6" w:space="0" w:color="000000"/>
            </w:tcBorders>
            <w:shd w:fill="FFFFFF" w:val="clear"/>
            <w:tcMar>
              <w:bottom w:w="28" w:type="dxa"/>
            </w:tcMar>
            <w:vAlign w:val="center"/>
          </w:tcPr>
          <w:p>
            <w:pPr>
              <w:pStyle w:val="TableContents"/>
              <w:bidi w:val="0"/>
              <w:spacing w:before="0" w:after="283"/>
              <w:jc w:val="right"/>
              <w:rPr>
                <w:sz w:val="16"/>
              </w:rPr>
            </w:pPr>
            <w:r>
              <w:rPr>
                <w:sz w:val="16"/>
              </w:rPr>
              <w:t>29,572,382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515" w:type="dxa"/>
            <w:tcBorders>
              <w:bottom w:val="double" w:sz="6" w:space="0" w:color="000000"/>
            </w:tcBorders>
            <w:shd w:fill="FFFFFF" w:val="clear"/>
            <w:tcMar>
              <w:bottom w:w="28" w:type="dxa"/>
            </w:tcMar>
            <w:vAlign w:val="center"/>
          </w:tcPr>
          <w:p>
            <w:pPr>
              <w:pStyle w:val="TableContents"/>
              <w:bidi w:val="0"/>
              <w:spacing w:before="0" w:after="283"/>
              <w:jc w:val="right"/>
              <w:rPr>
                <w:sz w:val="16"/>
              </w:rPr>
            </w:pPr>
            <w:r>
              <w:rPr>
                <w:sz w:val="16"/>
              </w:rPr>
              <w:t>29,573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830" w:type="dxa"/>
            <w:tcBorders>
              <w:bottom w:val="double" w:sz="6" w:space="0" w:color="000000"/>
            </w:tcBorders>
            <w:shd w:fill="FFFFFF" w:val="clear"/>
            <w:tcMar>
              <w:bottom w:w="28" w:type="dxa"/>
            </w:tcMar>
            <w:vAlign w:val="center"/>
          </w:tcPr>
          <w:p>
            <w:pPr>
              <w:pStyle w:val="TableContents"/>
              <w:bidi w:val="0"/>
              <w:spacing w:before="0" w:after="283"/>
              <w:jc w:val="right"/>
              <w:rPr>
                <w:sz w:val="16"/>
              </w:rPr>
            </w:pPr>
            <w:r>
              <w:rPr>
                <w:sz w:val="16"/>
              </w:rPr>
              <w:t>29,111,863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1262" w:type="dxa"/>
            <w:tcBorders>
              <w:bottom w:val="double" w:sz="6" w:space="0" w:color="000000"/>
            </w:tcBorders>
            <w:shd w:fill="FFFFFF" w:val="clear"/>
            <w:tcMar>
              <w:bottom w:w="28" w:type="dxa"/>
            </w:tcMar>
            <w:vAlign w:val="center"/>
          </w:tcPr>
          <w:p>
            <w:pPr>
              <w:pStyle w:val="TableContents"/>
              <w:bidi w:val="0"/>
              <w:spacing w:before="0" w:after="283"/>
              <w:jc w:val="right"/>
              <w:rPr>
                <w:sz w:val="16"/>
              </w:rPr>
            </w:pPr>
            <w:r>
              <w:rPr>
                <w:sz w:val="16"/>
              </w:rPr>
              <w:t>3,262,948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bottom w:val="double" w:sz="6"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962" w:type="dxa"/>
            <w:tcBorders>
              <w:bottom w:val="double" w:sz="6" w:space="0" w:color="000000"/>
            </w:tcBorders>
            <w:shd w:fill="FFFFFF" w:val="clear"/>
            <w:tcMar>
              <w:bottom w:w="28" w:type="dxa"/>
            </w:tcMar>
            <w:vAlign w:val="center"/>
          </w:tcPr>
          <w:p>
            <w:pPr>
              <w:pStyle w:val="TableContents"/>
              <w:bidi w:val="0"/>
              <w:spacing w:before="0" w:after="283"/>
              <w:jc w:val="right"/>
              <w:rPr>
                <w:sz w:val="16"/>
              </w:rPr>
            </w:pPr>
            <w:r>
              <w:rPr>
                <w:sz w:val="16"/>
              </w:rPr>
              <w:t>(13,232</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1293" w:type="dxa"/>
            <w:tcBorders>
              <w:bottom w:val="double" w:sz="6" w:space="0" w:color="000000"/>
            </w:tcBorders>
            <w:shd w:fill="FFFFFF" w:val="clear"/>
            <w:tcMar>
              <w:bottom w:w="28" w:type="dxa"/>
            </w:tcMar>
            <w:vAlign w:val="center"/>
          </w:tcPr>
          <w:p>
            <w:pPr>
              <w:pStyle w:val="TableContents"/>
              <w:bidi w:val="0"/>
              <w:spacing w:before="0" w:after="283"/>
              <w:jc w:val="right"/>
              <w:rPr>
                <w:sz w:val="16"/>
              </w:rPr>
            </w:pPr>
            <w:r>
              <w:rPr>
                <w:sz w:val="16"/>
              </w:rPr>
              <w:t>5,678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890" w:type="dxa"/>
            <w:tcBorders>
              <w:bottom w:val="double" w:sz="6" w:space="0" w:color="000000"/>
            </w:tcBorders>
            <w:shd w:fill="FFFFFF" w:val="clear"/>
            <w:tcMar>
              <w:bottom w:w="28" w:type="dxa"/>
            </w:tcMar>
            <w:vAlign w:val="center"/>
          </w:tcPr>
          <w:p>
            <w:pPr>
              <w:pStyle w:val="TableContents"/>
              <w:bidi w:val="0"/>
              <w:spacing w:before="0" w:after="283"/>
              <w:jc w:val="right"/>
              <w:rPr>
                <w:sz w:val="16"/>
              </w:rPr>
            </w:pPr>
            <w:r>
              <w:rPr>
                <w:sz w:val="16"/>
              </w:rPr>
              <w:t>32,396,830</w:t>
            </w:r>
          </w:p>
        </w:tc>
        <w:tc>
          <w:tcPr>
            <w:tcW w:w="83"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F-4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iPower Inc. and Subsidiaries</w:t>
      </w:r>
    </w:p>
    <w:p>
      <w:pPr>
        <w:pStyle w:val="TextBody"/>
        <w:bidi w:val="0"/>
        <w:spacing w:before="0" w:after="0"/>
        <w:jc w:val="center"/>
        <w:rPr>
          <w:rFonts w:ascii="Times New Roman;Times;Serif" w:hAnsi="Times New Roman;Times;Serif"/>
          <w:b w:val="false"/>
          <w:i w:val="false"/>
          <w:caps w:val="false"/>
          <w:smallCaps w:val="false"/>
          <w:sz w:val="20"/>
        </w:rPr>
      </w:pPr>
      <w:bookmarkStart w:id="184" w:name="k_005"/>
      <w:bookmarkEnd w:id="184"/>
      <w:r>
        <w:rPr>
          <w:rFonts w:ascii="Times New Roman;Times;Serif" w:hAnsi="Times New Roman;Times;Serif"/>
          <w:b w:val="false"/>
          <w:i w:val="false"/>
          <w:caps w:val="false"/>
          <w:smallCaps w:val="false"/>
          <w:sz w:val="20"/>
        </w:rPr>
        <w:t>Consolidated Statements of Cash Flows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June 30, 2023 and 2022</w:t>
      </w:r>
    </w:p>
    <w:p>
      <w:pPr>
        <w:pStyle w:val="TextBody"/>
        <w:bidi w:val="0"/>
        <w:spacing w:before="0" w:after="283"/>
        <w:jc w:val="left"/>
        <w:rPr/>
      </w:pPr>
      <w:r>
        <w:rPr/>
        <w:t> </w:t>
      </w:r>
    </w:p>
    <w:p>
      <w:pPr>
        <w:pStyle w:val="Normal"/>
        <w:bidi w:val="0"/>
        <w:spacing w:before="0" w:after="0"/>
        <w:jc w:val="left"/>
        <w:rPr>
          <w:sz w:val="4"/>
          <w:szCs w:val="4"/>
        </w:rPr>
      </w:pPr>
      <w:r>
        <w:rPr>
          <w:sz w:val="4"/>
          <w:szCs w:val="4"/>
        </w:rPr>
      </w:r>
      <w:bookmarkStart w:id="185" w:name="xdx_306_112_zyacB6v92rca"/>
      <w:bookmarkStart w:id="186" w:name="xdx_306_112_zyacB6v92rca"/>
      <w:bookmarkEnd w:id="186"/>
    </w:p>
    <w:tbl>
      <w:tblPr>
        <w:tblW w:w="10205" w:type="dxa"/>
        <w:jc w:val="left"/>
        <w:tblInd w:w="0" w:type="dxa"/>
        <w:tblLayout w:type="fixed"/>
        <w:tblCellMar>
          <w:top w:w="0" w:type="dxa"/>
          <w:left w:w="0" w:type="dxa"/>
          <w:bottom w:w="0" w:type="dxa"/>
          <w:right w:w="0" w:type="dxa"/>
        </w:tblCellMar>
      </w:tblPr>
      <w:tblGrid>
        <w:gridCol w:w="7218"/>
        <w:gridCol w:w="60"/>
        <w:gridCol w:w="141"/>
        <w:gridCol w:w="1189"/>
        <w:gridCol w:w="95"/>
        <w:gridCol w:w="60"/>
        <w:gridCol w:w="141"/>
        <w:gridCol w:w="1189"/>
        <w:gridCol w:w="112"/>
      </w:tblGrid>
      <w:tr>
        <w:trPr/>
        <w:tc>
          <w:tcPr>
            <w:tcW w:w="721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187" w:name="xdx_498_20220701__20230630_zx0BAzb0QII7"/>
            <w:bookmarkEnd w:id="187"/>
          </w:p>
        </w:tc>
        <w:tc>
          <w:tcPr>
            <w:tcW w:w="133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88" w:name="xdx_499_20210701__20220630_z3OtU072eRP4"/>
            <w:bookmarkEnd w:id="188"/>
          </w:p>
        </w:tc>
        <w:tc>
          <w:tcPr>
            <w:tcW w:w="1330" w:type="dxa"/>
            <w:gridSpan w:val="2"/>
            <w:tcBorders/>
            <w:vAlign w:val="center"/>
          </w:tcPr>
          <w:p>
            <w:pPr>
              <w:pStyle w:val="TableContents"/>
              <w:bidi w:val="0"/>
              <w:spacing w:before="0" w:after="283"/>
              <w:jc w:val="center"/>
              <w:rPr/>
            </w:pPr>
            <w:r>
              <w:rPr/>
              <w:t> </w:t>
            </w:r>
          </w:p>
        </w:tc>
        <w:tc>
          <w:tcPr>
            <w:tcW w:w="112" w:type="dxa"/>
            <w:tcBorders/>
            <w:vAlign w:val="center"/>
          </w:tcPr>
          <w:p>
            <w:pPr>
              <w:pStyle w:val="TableContents"/>
              <w:bidi w:val="0"/>
              <w:spacing w:before="0" w:after="283"/>
              <w:jc w:val="left"/>
              <w:rPr/>
            </w:pPr>
            <w:r>
              <w:rPr/>
              <w:t> </w:t>
            </w:r>
          </w:p>
        </w:tc>
      </w:tr>
      <w:tr>
        <w:trPr/>
        <w:tc>
          <w:tcPr>
            <w:tcW w:w="721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815" w:type="dxa"/>
            <w:gridSpan w:val="6"/>
            <w:tcBorders/>
            <w:vAlign w:val="center"/>
          </w:tcPr>
          <w:p>
            <w:pPr>
              <w:pStyle w:val="TableContents"/>
              <w:bidi w:val="0"/>
              <w:spacing w:before="0" w:after="283"/>
              <w:jc w:val="center"/>
              <w:rPr/>
            </w:pPr>
            <w:r>
              <w:rPr/>
              <w:t>For the Years Ended June 30,</w:t>
            </w:r>
          </w:p>
        </w:tc>
        <w:tc>
          <w:tcPr>
            <w:tcW w:w="112" w:type="dxa"/>
            <w:tcBorders/>
            <w:vAlign w:val="center"/>
          </w:tcPr>
          <w:p>
            <w:pPr>
              <w:pStyle w:val="TableContents"/>
              <w:bidi w:val="0"/>
              <w:spacing w:before="0" w:after="283"/>
              <w:jc w:val="left"/>
              <w:rPr/>
            </w:pPr>
            <w:r>
              <w:rPr/>
              <w:t> </w:t>
            </w:r>
          </w:p>
        </w:tc>
      </w:tr>
      <w:tr>
        <w:trPr/>
        <w:tc>
          <w:tcPr>
            <w:tcW w:w="721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30" w:type="dxa"/>
            <w:gridSpan w:val="2"/>
            <w:tcBorders>
              <w:bottom w:val="single" w:sz="8" w:space="0" w:color="000000"/>
            </w:tcBorders>
            <w:tcMar>
              <w:bottom w:w="28" w:type="dxa"/>
            </w:tcMar>
            <w:vAlign w:val="center"/>
          </w:tcPr>
          <w:p>
            <w:pPr>
              <w:pStyle w:val="TableContents"/>
              <w:bidi w:val="0"/>
              <w:spacing w:before="0" w:after="283"/>
              <w:jc w:val="center"/>
              <w:rPr/>
            </w:pPr>
            <w:r>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0" w:type="dxa"/>
            <w:gridSpan w:val="2"/>
            <w:tcBorders>
              <w:bottom w:val="single" w:sz="8" w:space="0" w:color="000000"/>
            </w:tcBorders>
            <w:tcMar>
              <w:bottom w:w="28" w:type="dxa"/>
            </w:tcMar>
            <w:vAlign w:val="center"/>
          </w:tcPr>
          <w:p>
            <w:pPr>
              <w:pStyle w:val="TableContents"/>
              <w:bidi w:val="0"/>
              <w:spacing w:before="0" w:after="283"/>
              <w:jc w:val="center"/>
              <w:rPr/>
            </w:pPr>
            <w:r>
              <w:rPr/>
              <w:t>2022</w:t>
            </w:r>
          </w:p>
        </w:tc>
        <w:tc>
          <w:tcPr>
            <w:tcW w:w="112" w:type="dxa"/>
            <w:tcBorders/>
            <w:vAlign w:val="center"/>
          </w:tcPr>
          <w:p>
            <w:pPr>
              <w:pStyle w:val="TableContents"/>
              <w:bidi w:val="0"/>
              <w:spacing w:before="0" w:after="283"/>
              <w:jc w:val="left"/>
              <w:rPr/>
            </w:pPr>
            <w:r>
              <w:rPr/>
              <w:t> </w:t>
            </w:r>
          </w:p>
        </w:tc>
      </w:tr>
      <w:tr>
        <w:trPr/>
        <w:tc>
          <w:tcPr>
            <w:tcW w:w="721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3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0" w:type="dxa"/>
            <w:gridSpan w:val="2"/>
            <w:tcBorders/>
            <w:vAlign w:val="center"/>
          </w:tcPr>
          <w:p>
            <w:pPr>
              <w:pStyle w:val="TableContents"/>
              <w:bidi w:val="0"/>
              <w:spacing w:before="0" w:after="283"/>
              <w:jc w:val="center"/>
              <w:rPr/>
            </w:pPr>
            <w:r>
              <w:rPr/>
              <w:t> </w:t>
            </w:r>
          </w:p>
        </w:tc>
        <w:tc>
          <w:tcPr>
            <w:tcW w:w="112" w:type="dxa"/>
            <w:tcBorders/>
            <w:vAlign w:val="center"/>
          </w:tcPr>
          <w:p>
            <w:pPr>
              <w:pStyle w:val="TableContents"/>
              <w:bidi w:val="0"/>
              <w:spacing w:before="0" w:after="283"/>
              <w:jc w:val="left"/>
              <w:rPr/>
            </w:pPr>
            <w:r>
              <w:rPr/>
              <w:t> </w:t>
            </w:r>
            <w:bookmarkStart w:id="189" w:name="xdx_405_eus-gaap--NetCashProvidedByUsedI"/>
            <w:bookmarkEnd w:id="189"/>
          </w:p>
        </w:tc>
      </w:tr>
      <w:tr>
        <w:trPr/>
        <w:tc>
          <w:tcPr>
            <w:tcW w:w="7218" w:type="dxa"/>
            <w:tcBorders/>
            <w:shd w:fill="EEEEEE" w:val="clear"/>
            <w:vAlign w:val="center"/>
          </w:tcPr>
          <w:p>
            <w:pPr>
              <w:pStyle w:val="TableContents"/>
              <w:bidi w:val="0"/>
              <w:spacing w:before="0" w:after="283"/>
              <w:jc w:val="left"/>
              <w:rPr/>
            </w:pPr>
            <w:r>
              <w:rPr/>
              <w:t>CASH FLOWS FROM OPERATING ACTIVITIES:</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 </w:t>
            </w:r>
          </w:p>
        </w:tc>
        <w:tc>
          <w:tcPr>
            <w:tcW w:w="1189"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 </w:t>
            </w:r>
          </w:p>
        </w:tc>
        <w:tc>
          <w:tcPr>
            <w:tcW w:w="1189" w:type="dxa"/>
            <w:tcBorders/>
            <w:shd w:fill="EEEEEE" w:val="clear"/>
            <w:vAlign w:val="center"/>
          </w:tcPr>
          <w:p>
            <w:pPr>
              <w:pStyle w:val="TableContents"/>
              <w:bidi w:val="0"/>
              <w:spacing w:before="0" w:after="283"/>
              <w:jc w:val="right"/>
              <w:rPr/>
            </w:pPr>
            <w:r>
              <w:rPr/>
              <w:t> </w:t>
            </w:r>
          </w:p>
        </w:tc>
        <w:tc>
          <w:tcPr>
            <w:tcW w:w="112" w:type="dxa"/>
            <w:tcBorders/>
            <w:shd w:fill="EEEEEE" w:val="clear"/>
            <w:vAlign w:val="center"/>
          </w:tcPr>
          <w:p>
            <w:pPr>
              <w:pStyle w:val="TableContents"/>
              <w:bidi w:val="0"/>
              <w:spacing w:before="0" w:after="283"/>
              <w:jc w:val="left"/>
              <w:rPr/>
            </w:pPr>
            <w:r>
              <w:rPr/>
              <w:t> </w:t>
            </w:r>
            <w:bookmarkStart w:id="190" w:name="xdx_40D_eus-gaap--NetIncomeLossAvailable"/>
            <w:bookmarkEnd w:id="190"/>
          </w:p>
        </w:tc>
      </w:tr>
      <w:tr>
        <w:trPr/>
        <w:tc>
          <w:tcPr>
            <w:tcW w:w="7218" w:type="dxa"/>
            <w:tcBorders/>
            <w:shd w:fill="FFFFFF" w:val="clear"/>
            <w:vAlign w:val="center"/>
          </w:tcPr>
          <w:p>
            <w:pPr>
              <w:pStyle w:val="TableContents"/>
              <w:bidi w:val="0"/>
              <w:spacing w:before="0" w:after="283"/>
              <w:jc w:val="left"/>
              <w:rPr/>
            </w:pPr>
            <w:r>
              <w:rPr/>
              <w:t>Net (loss) income</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1189" w:type="dxa"/>
            <w:tcBorders/>
            <w:shd w:fill="FFFFFF" w:val="clear"/>
            <w:vAlign w:val="center"/>
          </w:tcPr>
          <w:p>
            <w:pPr>
              <w:pStyle w:val="TableContents"/>
              <w:bidi w:val="0"/>
              <w:spacing w:before="0" w:after="283"/>
              <w:jc w:val="right"/>
              <w:rPr/>
            </w:pPr>
            <w:r>
              <w:rPr/>
              <w:t>(11,977,073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1189" w:type="dxa"/>
            <w:tcBorders/>
            <w:shd w:fill="FFFFFF" w:val="clear"/>
            <w:vAlign w:val="center"/>
          </w:tcPr>
          <w:p>
            <w:pPr>
              <w:pStyle w:val="TableContents"/>
              <w:bidi w:val="0"/>
              <w:spacing w:before="0" w:after="283"/>
              <w:jc w:val="right"/>
              <w:rPr/>
            </w:pPr>
            <w:r>
              <w:rPr/>
              <w:t>1,517,875</w:t>
            </w:r>
          </w:p>
        </w:tc>
        <w:tc>
          <w:tcPr>
            <w:tcW w:w="112" w:type="dxa"/>
            <w:tcBorders/>
            <w:shd w:fill="FFFFFF" w:val="clear"/>
            <w:vAlign w:val="center"/>
          </w:tcPr>
          <w:p>
            <w:pPr>
              <w:pStyle w:val="TableContents"/>
              <w:bidi w:val="0"/>
              <w:spacing w:before="0" w:after="283"/>
              <w:ind w:left="0" w:right="0" w:hanging="200"/>
              <w:jc w:val="left"/>
              <w:rPr/>
            </w:pPr>
            <w:r>
              <w:rPr/>
              <w:t> </w:t>
            </w:r>
            <w:bookmarkStart w:id="191" w:name="xdx_406_eus-gaap--AdjustmentsToReconcile"/>
            <w:bookmarkEnd w:id="191"/>
          </w:p>
        </w:tc>
      </w:tr>
      <w:tr>
        <w:trPr/>
        <w:tc>
          <w:tcPr>
            <w:tcW w:w="7218" w:type="dxa"/>
            <w:tcBorders/>
            <w:shd w:fill="EEEEEE" w:val="clear"/>
            <w:vAlign w:val="center"/>
          </w:tcPr>
          <w:p>
            <w:pPr>
              <w:pStyle w:val="TableContents"/>
              <w:bidi w:val="0"/>
              <w:spacing w:before="0" w:after="283"/>
              <w:jc w:val="left"/>
              <w:rPr/>
            </w:pPr>
            <w:r>
              <w:rPr/>
              <w:t>Adjustments to reconcile net (loss) income to cash provided by (used in) operating activities:</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 </w:t>
            </w:r>
          </w:p>
        </w:tc>
        <w:tc>
          <w:tcPr>
            <w:tcW w:w="1189"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 </w:t>
            </w:r>
          </w:p>
        </w:tc>
        <w:tc>
          <w:tcPr>
            <w:tcW w:w="1189" w:type="dxa"/>
            <w:tcBorders/>
            <w:shd w:fill="EEEEEE" w:val="clear"/>
            <w:vAlign w:val="center"/>
          </w:tcPr>
          <w:p>
            <w:pPr>
              <w:pStyle w:val="TableContents"/>
              <w:bidi w:val="0"/>
              <w:spacing w:before="0" w:after="283"/>
              <w:jc w:val="right"/>
              <w:rPr/>
            </w:pPr>
            <w:r>
              <w:rPr/>
              <w:t> </w:t>
            </w:r>
          </w:p>
        </w:tc>
        <w:tc>
          <w:tcPr>
            <w:tcW w:w="112" w:type="dxa"/>
            <w:tcBorders/>
            <w:shd w:fill="EEEEEE" w:val="clear"/>
            <w:vAlign w:val="center"/>
          </w:tcPr>
          <w:p>
            <w:pPr>
              <w:pStyle w:val="TableContents"/>
              <w:bidi w:val="0"/>
              <w:spacing w:before="0" w:after="283"/>
              <w:jc w:val="left"/>
              <w:rPr/>
            </w:pPr>
            <w:r>
              <w:rPr/>
              <w:t> </w:t>
            </w:r>
            <w:bookmarkStart w:id="192" w:name="xdx_40B_eus-gaap--DepreciationAndAmortiz"/>
            <w:bookmarkEnd w:id="192"/>
          </w:p>
        </w:tc>
      </w:tr>
      <w:tr>
        <w:trPr/>
        <w:tc>
          <w:tcPr>
            <w:tcW w:w="7218" w:type="dxa"/>
            <w:tcBorders/>
            <w:shd w:fill="FFFFFF" w:val="clear"/>
            <w:vAlign w:val="center"/>
          </w:tcPr>
          <w:p>
            <w:pPr>
              <w:pStyle w:val="TableContents"/>
              <w:bidi w:val="0"/>
              <w:spacing w:before="0" w:after="283"/>
              <w:jc w:val="left"/>
              <w:rPr/>
            </w:pPr>
            <w:r>
              <w:rPr/>
              <w:t>Depreciation and amortization expense</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right"/>
              <w:rPr/>
            </w:pPr>
            <w:r>
              <w:rPr/>
              <w:t>796,375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right"/>
              <w:rPr/>
            </w:pPr>
            <w:r>
              <w:rPr/>
              <w:t>277,924</w:t>
            </w:r>
          </w:p>
        </w:tc>
        <w:tc>
          <w:tcPr>
            <w:tcW w:w="112" w:type="dxa"/>
            <w:tcBorders/>
            <w:shd w:fill="FFFFFF" w:val="clear"/>
            <w:vAlign w:val="center"/>
          </w:tcPr>
          <w:p>
            <w:pPr>
              <w:pStyle w:val="TableContents"/>
              <w:bidi w:val="0"/>
              <w:spacing w:before="0" w:after="283"/>
              <w:jc w:val="left"/>
              <w:rPr/>
            </w:pPr>
            <w:r>
              <w:rPr/>
              <w:t> </w:t>
            </w:r>
            <w:bookmarkStart w:id="193" w:name="xdx_400_eus-gaap--InventoryLIFOReservePe"/>
            <w:bookmarkEnd w:id="193"/>
          </w:p>
        </w:tc>
      </w:tr>
      <w:tr>
        <w:trPr/>
        <w:tc>
          <w:tcPr>
            <w:tcW w:w="7218" w:type="dxa"/>
            <w:tcBorders/>
            <w:shd w:fill="EEEEEE" w:val="clear"/>
            <w:vAlign w:val="center"/>
          </w:tcPr>
          <w:p>
            <w:pPr>
              <w:pStyle w:val="TableContents"/>
              <w:bidi w:val="0"/>
              <w:spacing w:before="0" w:after="283"/>
              <w:jc w:val="left"/>
              <w:rPr/>
            </w:pPr>
            <w:r>
              <w:rPr/>
              <w:t>Inventory reserve</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 </w:t>
            </w:r>
          </w:p>
        </w:tc>
        <w:tc>
          <w:tcPr>
            <w:tcW w:w="1189" w:type="dxa"/>
            <w:tcBorders/>
            <w:shd w:fill="EEEEEE" w:val="clear"/>
            <w:vAlign w:val="center"/>
          </w:tcPr>
          <w:p>
            <w:pPr>
              <w:pStyle w:val="TableContents"/>
              <w:bidi w:val="0"/>
              <w:spacing w:before="0" w:after="283"/>
              <w:jc w:val="right"/>
              <w:rPr/>
            </w:pPr>
            <w:r>
              <w:rPr/>
              <w:t>238,899</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 </w:t>
            </w:r>
          </w:p>
        </w:tc>
        <w:tc>
          <w:tcPr>
            <w:tcW w:w="1189" w:type="dxa"/>
            <w:tcBorders/>
            <w:shd w:fill="EEEEEE" w:val="clear"/>
            <w:vAlign w:val="center"/>
          </w:tcPr>
          <w:p>
            <w:pPr>
              <w:pStyle w:val="TableContents"/>
              <w:bidi w:val="0"/>
              <w:spacing w:before="0" w:after="283"/>
              <w:jc w:val="right"/>
              <w:rPr/>
            </w:pPr>
            <w:r>
              <w:rPr/>
              <w:t>224,426</w:t>
            </w:r>
          </w:p>
        </w:tc>
        <w:tc>
          <w:tcPr>
            <w:tcW w:w="112" w:type="dxa"/>
            <w:tcBorders/>
            <w:shd w:fill="EEEEEE" w:val="clear"/>
            <w:vAlign w:val="center"/>
          </w:tcPr>
          <w:p>
            <w:pPr>
              <w:pStyle w:val="TableContents"/>
              <w:bidi w:val="0"/>
              <w:spacing w:before="0" w:after="283"/>
              <w:jc w:val="left"/>
              <w:rPr/>
            </w:pPr>
            <w:r>
              <w:rPr/>
              <w:t> </w:t>
            </w:r>
            <w:bookmarkStart w:id="194" w:name="xdx_405_eus-gaap--ProvisionForDoubtfulAc"/>
            <w:bookmarkEnd w:id="194"/>
          </w:p>
        </w:tc>
      </w:tr>
      <w:tr>
        <w:trPr/>
        <w:tc>
          <w:tcPr>
            <w:tcW w:w="7218" w:type="dxa"/>
            <w:tcBorders/>
            <w:shd w:fill="FFFFFF" w:val="clear"/>
            <w:vAlign w:val="center"/>
          </w:tcPr>
          <w:p>
            <w:pPr>
              <w:pStyle w:val="TableContents"/>
              <w:bidi w:val="0"/>
              <w:spacing w:before="0" w:after="283"/>
              <w:jc w:val="left"/>
              <w:rPr/>
            </w:pPr>
            <w:r>
              <w:rPr/>
              <w:t>Credit loss reserve for accounts receivable and other receivables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right"/>
              <w:rPr/>
            </w:pPr>
            <w:r>
              <w:rPr/>
              <w:t>249,128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right"/>
              <w:rPr/>
            </w:pPr>
            <w:r>
              <w:rPr/>
              <w:t>70,000</w:t>
            </w:r>
          </w:p>
        </w:tc>
        <w:tc>
          <w:tcPr>
            <w:tcW w:w="112" w:type="dxa"/>
            <w:tcBorders/>
            <w:shd w:fill="FFFFFF" w:val="clear"/>
            <w:vAlign w:val="center"/>
          </w:tcPr>
          <w:p>
            <w:pPr>
              <w:pStyle w:val="TableContents"/>
              <w:bidi w:val="0"/>
              <w:spacing w:before="0" w:after="283"/>
              <w:jc w:val="left"/>
              <w:rPr/>
            </w:pPr>
            <w:r>
              <w:rPr/>
              <w:t> </w:t>
            </w:r>
            <w:bookmarkStart w:id="195" w:name="xdx_409_eus-gaap--GainLossOnInvestments_"/>
            <w:bookmarkEnd w:id="195"/>
          </w:p>
        </w:tc>
      </w:tr>
      <w:tr>
        <w:trPr/>
        <w:tc>
          <w:tcPr>
            <w:tcW w:w="7218" w:type="dxa"/>
            <w:tcBorders/>
            <w:shd w:fill="EEEEEE" w:val="clear"/>
            <w:vAlign w:val="center"/>
          </w:tcPr>
          <w:p>
            <w:pPr>
              <w:pStyle w:val="TableContents"/>
              <w:bidi w:val="0"/>
              <w:spacing w:before="0" w:after="283"/>
              <w:jc w:val="left"/>
              <w:rPr/>
            </w:pPr>
            <w:r>
              <w:rPr/>
              <w:t>Loss on equity method investment</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 </w:t>
            </w:r>
          </w:p>
        </w:tc>
        <w:tc>
          <w:tcPr>
            <w:tcW w:w="1189" w:type="dxa"/>
            <w:tcBorders/>
            <w:shd w:fill="EEEEEE" w:val="clear"/>
            <w:vAlign w:val="center"/>
          </w:tcPr>
          <w:p>
            <w:pPr>
              <w:pStyle w:val="TableContents"/>
              <w:bidi w:val="0"/>
              <w:spacing w:before="0" w:after="283"/>
              <w:jc w:val="right"/>
              <w:rPr/>
            </w:pPr>
            <w:r>
              <w:rPr/>
              <w:t>10,001</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 </w:t>
            </w:r>
          </w:p>
        </w:tc>
        <w:tc>
          <w:tcPr>
            <w:tcW w:w="1189" w:type="dxa"/>
            <w:tcBorders/>
            <w:shd w:fill="EEEEEE" w:val="clear"/>
            <w:vAlign w:val="center"/>
          </w:tcPr>
          <w:p>
            <w:pPr>
              <w:pStyle w:val="TableContents"/>
              <w:bidi w:val="0"/>
              <w:spacing w:before="0" w:after="283"/>
              <w:jc w:val="right"/>
              <w:rPr/>
            </w:pPr>
            <w:r>
              <w:rPr/>
              <w:t>6,616</w:t>
            </w:r>
          </w:p>
        </w:tc>
        <w:tc>
          <w:tcPr>
            <w:tcW w:w="112" w:type="dxa"/>
            <w:tcBorders/>
            <w:shd w:fill="EEEEEE" w:val="clear"/>
            <w:vAlign w:val="center"/>
          </w:tcPr>
          <w:p>
            <w:pPr>
              <w:pStyle w:val="TableContents"/>
              <w:bidi w:val="0"/>
              <w:spacing w:before="0" w:after="283"/>
              <w:jc w:val="left"/>
              <w:rPr/>
            </w:pPr>
            <w:r>
              <w:rPr/>
              <w:t> </w:t>
            </w:r>
            <w:bookmarkStart w:id="196" w:name="xdx_400_eus-gaap--GoodwillImpairmentLoss"/>
            <w:bookmarkEnd w:id="196"/>
          </w:p>
        </w:tc>
      </w:tr>
      <w:tr>
        <w:trPr/>
        <w:tc>
          <w:tcPr>
            <w:tcW w:w="7218" w:type="dxa"/>
            <w:tcBorders/>
            <w:shd w:fill="FFFFFF" w:val="clear"/>
            <w:vAlign w:val="center"/>
          </w:tcPr>
          <w:p>
            <w:pPr>
              <w:pStyle w:val="TableContents"/>
              <w:bidi w:val="0"/>
              <w:spacing w:before="0" w:after="283"/>
              <w:jc w:val="left"/>
              <w:rPr/>
            </w:pPr>
            <w:r>
              <w:rPr/>
              <w:t>Impairment loss - goodwill</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right"/>
              <w:rPr/>
            </w:pPr>
            <w:r>
              <w:rPr/>
              <w:t>3,060,034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197" w:name="xdx_404_eus-gaap--ShareBasedCompensation"/>
            <w:bookmarkEnd w:id="197"/>
          </w:p>
        </w:tc>
      </w:tr>
      <w:tr>
        <w:trPr/>
        <w:tc>
          <w:tcPr>
            <w:tcW w:w="7218" w:type="dxa"/>
            <w:tcBorders/>
            <w:shd w:fill="EEEEEE" w:val="clear"/>
            <w:vAlign w:val="center"/>
          </w:tcPr>
          <w:p>
            <w:pPr>
              <w:pStyle w:val="TableContents"/>
              <w:bidi w:val="0"/>
              <w:spacing w:before="0" w:after="283"/>
              <w:jc w:val="left"/>
              <w:rPr/>
            </w:pPr>
            <w:r>
              <w:rPr/>
              <w:t>Stock-based compensation expense</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 </w:t>
            </w:r>
          </w:p>
        </w:tc>
        <w:tc>
          <w:tcPr>
            <w:tcW w:w="1189" w:type="dxa"/>
            <w:tcBorders/>
            <w:shd w:fill="EEEEEE" w:val="clear"/>
            <w:vAlign w:val="center"/>
          </w:tcPr>
          <w:p>
            <w:pPr>
              <w:pStyle w:val="TableContents"/>
              <w:bidi w:val="0"/>
              <w:spacing w:before="0" w:after="283"/>
              <w:jc w:val="right"/>
              <w:rPr/>
            </w:pPr>
            <w:r>
              <w:rPr/>
              <w:t>512,796</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 </w:t>
            </w:r>
          </w:p>
        </w:tc>
        <w:tc>
          <w:tcPr>
            <w:tcW w:w="1189" w:type="dxa"/>
            <w:tcBorders/>
            <w:shd w:fill="EEEEEE" w:val="clear"/>
            <w:vAlign w:val="center"/>
          </w:tcPr>
          <w:p>
            <w:pPr>
              <w:pStyle w:val="TableContents"/>
              <w:bidi w:val="0"/>
              <w:spacing w:before="0" w:after="283"/>
              <w:jc w:val="right"/>
              <w:rPr/>
            </w:pPr>
            <w:r>
              <w:rPr/>
              <w:t>372,351</w:t>
            </w:r>
          </w:p>
        </w:tc>
        <w:tc>
          <w:tcPr>
            <w:tcW w:w="112" w:type="dxa"/>
            <w:tcBorders/>
            <w:shd w:fill="EEEEEE" w:val="clear"/>
            <w:vAlign w:val="center"/>
          </w:tcPr>
          <w:p>
            <w:pPr>
              <w:pStyle w:val="TableContents"/>
              <w:bidi w:val="0"/>
              <w:spacing w:before="0" w:after="283"/>
              <w:jc w:val="left"/>
              <w:rPr/>
            </w:pPr>
            <w:r>
              <w:rPr/>
              <w:t> </w:t>
            </w:r>
            <w:bookmarkStart w:id="198" w:name="xdx_408_ecustom--NoncashFinancingExpense"/>
            <w:bookmarkEnd w:id="198"/>
          </w:p>
        </w:tc>
      </w:tr>
      <w:tr>
        <w:trPr/>
        <w:tc>
          <w:tcPr>
            <w:tcW w:w="7218" w:type="dxa"/>
            <w:tcBorders/>
            <w:shd w:fill="FFFFFF" w:val="clear"/>
            <w:vAlign w:val="center"/>
          </w:tcPr>
          <w:p>
            <w:pPr>
              <w:pStyle w:val="TableContents"/>
              <w:bidi w:val="0"/>
              <w:spacing w:before="0" w:after="283"/>
              <w:jc w:val="left"/>
              <w:rPr/>
            </w:pPr>
            <w:r>
              <w:rPr/>
              <w:t>Non-cash operating lease expense</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right"/>
              <w:rPr/>
            </w:pPr>
            <w:r>
              <w:rPr/>
              <w:t>32,613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right"/>
              <w:rPr/>
            </w:pPr>
            <w:r>
              <w:rPr/>
              <w:t>323,907</w:t>
            </w:r>
          </w:p>
        </w:tc>
        <w:tc>
          <w:tcPr>
            <w:tcW w:w="112" w:type="dxa"/>
            <w:tcBorders/>
            <w:shd w:fill="FFFFFF" w:val="clear"/>
            <w:vAlign w:val="center"/>
          </w:tcPr>
          <w:p>
            <w:pPr>
              <w:pStyle w:val="TableContents"/>
              <w:bidi w:val="0"/>
              <w:spacing w:before="0" w:after="283"/>
              <w:jc w:val="left"/>
              <w:rPr/>
            </w:pPr>
            <w:r>
              <w:rPr/>
              <w:t> </w:t>
            </w:r>
            <w:bookmarkStart w:id="199" w:name="xdx_408_eus-gaap--AmortizationOfDebtDisc"/>
            <w:bookmarkEnd w:id="199"/>
          </w:p>
        </w:tc>
      </w:tr>
      <w:tr>
        <w:trPr/>
        <w:tc>
          <w:tcPr>
            <w:tcW w:w="7218" w:type="dxa"/>
            <w:tcBorders/>
            <w:shd w:fill="EEEEEE" w:val="clear"/>
            <w:vAlign w:val="center"/>
          </w:tcPr>
          <w:p>
            <w:pPr>
              <w:pStyle w:val="TableContents"/>
              <w:bidi w:val="0"/>
              <w:spacing w:before="0" w:after="283"/>
              <w:jc w:val="left"/>
              <w:rPr/>
            </w:pPr>
            <w:r>
              <w:rPr/>
              <w:t>Amortization of debt premium / discount and non-cash financing costs</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 </w:t>
            </w:r>
          </w:p>
        </w:tc>
        <w:tc>
          <w:tcPr>
            <w:tcW w:w="1189" w:type="dxa"/>
            <w:tcBorders/>
            <w:shd w:fill="EEEEEE" w:val="clear"/>
            <w:vAlign w:val="center"/>
          </w:tcPr>
          <w:p>
            <w:pPr>
              <w:pStyle w:val="TableContents"/>
              <w:bidi w:val="0"/>
              <w:spacing w:before="0" w:after="283"/>
              <w:jc w:val="right"/>
              <w:rPr/>
            </w:pPr>
            <w:r>
              <w:rPr/>
              <w:t>214,800</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 </w:t>
            </w:r>
          </w:p>
        </w:tc>
        <w:tc>
          <w:tcPr>
            <w:tcW w:w="1189" w:type="dxa"/>
            <w:tcBorders/>
            <w:shd w:fill="EEEEEE" w:val="clear"/>
            <w:vAlign w:val="center"/>
          </w:tcPr>
          <w:p>
            <w:pPr>
              <w:pStyle w:val="TableContents"/>
              <w:bidi w:val="0"/>
              <w:spacing w:before="0" w:after="283"/>
              <w:jc w:val="right"/>
              <w:rPr/>
            </w:pPr>
            <w:r>
              <w:rPr/>
              <w:t>158,203</w:t>
            </w:r>
          </w:p>
        </w:tc>
        <w:tc>
          <w:tcPr>
            <w:tcW w:w="112" w:type="dxa"/>
            <w:tcBorders/>
            <w:shd w:fill="EEEEEE" w:val="clear"/>
            <w:vAlign w:val="center"/>
          </w:tcPr>
          <w:p>
            <w:pPr>
              <w:pStyle w:val="TableContents"/>
              <w:bidi w:val="0"/>
              <w:spacing w:before="0" w:after="283"/>
              <w:jc w:val="left"/>
              <w:rPr/>
            </w:pPr>
            <w:r>
              <w:rPr/>
              <w:t> </w:t>
            </w:r>
            <w:bookmarkStart w:id="200" w:name="xdx_40B_eus-gaap--IncreaseDecreaseInOper"/>
            <w:bookmarkEnd w:id="200"/>
          </w:p>
        </w:tc>
      </w:tr>
      <w:tr>
        <w:trPr/>
        <w:tc>
          <w:tcPr>
            <w:tcW w:w="7218" w:type="dxa"/>
            <w:tcBorders/>
            <w:shd w:fill="FFFFFF" w:val="clear"/>
            <w:vAlign w:val="center"/>
          </w:tcPr>
          <w:p>
            <w:pPr>
              <w:pStyle w:val="TableContents"/>
              <w:bidi w:val="0"/>
              <w:spacing w:before="0" w:after="283"/>
              <w:jc w:val="left"/>
              <w:rPr/>
            </w:pPr>
            <w:r>
              <w:rPr/>
              <w:t>Change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201" w:name="xdx_402_eus-gaap--IncreaseDecreaseInAcco"/>
            <w:bookmarkEnd w:id="201"/>
          </w:p>
        </w:tc>
      </w:tr>
      <w:tr>
        <w:trPr/>
        <w:tc>
          <w:tcPr>
            <w:tcW w:w="7218" w:type="dxa"/>
            <w:tcBorders/>
            <w:shd w:fill="EEEEEE" w:val="clear"/>
            <w:vAlign w:val="center"/>
          </w:tcPr>
          <w:p>
            <w:pPr>
              <w:pStyle w:val="TableContents"/>
              <w:bidi w:val="0"/>
              <w:spacing w:before="0" w:after="283"/>
              <w:jc w:val="left"/>
              <w:rPr/>
            </w:pPr>
            <w:r>
              <w:rPr/>
              <w:t>Accounts receivable</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 </w:t>
            </w:r>
          </w:p>
        </w:tc>
        <w:tc>
          <w:tcPr>
            <w:tcW w:w="1189" w:type="dxa"/>
            <w:tcBorders/>
            <w:shd w:fill="EEEEEE" w:val="clear"/>
            <w:vAlign w:val="center"/>
          </w:tcPr>
          <w:p>
            <w:pPr>
              <w:pStyle w:val="TableContents"/>
              <w:bidi w:val="0"/>
              <w:spacing w:before="0" w:after="283"/>
              <w:jc w:val="right"/>
              <w:rPr/>
            </w:pPr>
            <w:r>
              <w:rPr/>
              <w:t>3,333,936</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 </w:t>
            </w:r>
          </w:p>
        </w:tc>
        <w:tc>
          <w:tcPr>
            <w:tcW w:w="1189" w:type="dxa"/>
            <w:tcBorders/>
            <w:shd w:fill="EEEEEE" w:val="clear"/>
            <w:vAlign w:val="center"/>
          </w:tcPr>
          <w:p>
            <w:pPr>
              <w:pStyle w:val="TableContents"/>
              <w:bidi w:val="0"/>
              <w:spacing w:before="0" w:after="283"/>
              <w:jc w:val="right"/>
              <w:rPr/>
            </w:pPr>
            <w:r>
              <w:rPr/>
              <w:t>(9,535,940</w:t>
            </w:r>
          </w:p>
        </w:tc>
        <w:tc>
          <w:tcPr>
            <w:tcW w:w="112" w:type="dxa"/>
            <w:tcBorders/>
            <w:shd w:fill="EEEEEE" w:val="clear"/>
            <w:vAlign w:val="center"/>
          </w:tcPr>
          <w:p>
            <w:pPr>
              <w:pStyle w:val="TableContents"/>
              <w:bidi w:val="0"/>
              <w:spacing w:before="0" w:after="283"/>
              <w:jc w:val="left"/>
              <w:rPr/>
            </w:pPr>
            <w:r>
              <w:rPr/>
              <w:t>)</w:t>
            </w:r>
            <w:bookmarkStart w:id="202" w:name="xdx_400_eus-gaap--IncreaseDecreaseInInve"/>
            <w:bookmarkEnd w:id="202"/>
          </w:p>
        </w:tc>
      </w:tr>
      <w:tr>
        <w:trPr/>
        <w:tc>
          <w:tcPr>
            <w:tcW w:w="7218" w:type="dxa"/>
            <w:tcBorders/>
            <w:shd w:fill="FFFFFF" w:val="clear"/>
            <w:vAlign w:val="center"/>
          </w:tcPr>
          <w:p>
            <w:pPr>
              <w:pStyle w:val="TableContents"/>
              <w:bidi w:val="0"/>
              <w:spacing w:before="0" w:after="283"/>
              <w:jc w:val="left"/>
              <w:rPr/>
            </w:pPr>
            <w:r>
              <w:rPr/>
              <w:t>Inventories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right"/>
              <w:rPr/>
            </w:pPr>
            <w:r>
              <w:rPr/>
              <w:t>9,600,978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right"/>
              <w:rPr/>
            </w:pPr>
            <w:r>
              <w:rPr/>
              <w:t>(17,592,451</w:t>
            </w:r>
          </w:p>
        </w:tc>
        <w:tc>
          <w:tcPr>
            <w:tcW w:w="112" w:type="dxa"/>
            <w:tcBorders/>
            <w:shd w:fill="FFFFFF" w:val="clear"/>
            <w:vAlign w:val="center"/>
          </w:tcPr>
          <w:p>
            <w:pPr>
              <w:pStyle w:val="TableContents"/>
              <w:bidi w:val="0"/>
              <w:spacing w:before="0" w:after="283"/>
              <w:jc w:val="left"/>
              <w:rPr/>
            </w:pPr>
            <w:r>
              <w:rPr/>
              <w:t>)</w:t>
            </w:r>
            <w:bookmarkStart w:id="203" w:name="xdx_40C_ecustom--IncreaseDecreaseInDefer"/>
            <w:bookmarkEnd w:id="203"/>
          </w:p>
        </w:tc>
      </w:tr>
      <w:tr>
        <w:trPr/>
        <w:tc>
          <w:tcPr>
            <w:tcW w:w="7218" w:type="dxa"/>
            <w:tcBorders/>
            <w:shd w:fill="EEEEEE" w:val="clear"/>
            <w:vAlign w:val="center"/>
          </w:tcPr>
          <w:p>
            <w:pPr>
              <w:pStyle w:val="TableContents"/>
              <w:bidi w:val="0"/>
              <w:spacing w:before="0" w:after="283"/>
              <w:jc w:val="left"/>
              <w:rPr/>
            </w:pPr>
            <w:r>
              <w:rPr/>
              <w:t>Deferred tax assets/liabilities</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 </w:t>
            </w:r>
          </w:p>
        </w:tc>
        <w:tc>
          <w:tcPr>
            <w:tcW w:w="1189" w:type="dxa"/>
            <w:tcBorders/>
            <w:shd w:fill="EEEEEE" w:val="clear"/>
            <w:vAlign w:val="center"/>
          </w:tcPr>
          <w:p>
            <w:pPr>
              <w:pStyle w:val="TableContents"/>
              <w:bidi w:val="0"/>
              <w:spacing w:before="0" w:after="283"/>
              <w:jc w:val="right"/>
              <w:rPr/>
            </w:pPr>
            <w:r>
              <w:rPr/>
              <w:t>(3,094,365</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 </w:t>
            </w:r>
          </w:p>
        </w:tc>
        <w:tc>
          <w:tcPr>
            <w:tcW w:w="1189" w:type="dxa"/>
            <w:tcBorders/>
            <w:shd w:fill="EEEEEE" w:val="clear"/>
            <w:vAlign w:val="center"/>
          </w:tcPr>
          <w:p>
            <w:pPr>
              <w:pStyle w:val="TableContents"/>
              <w:bidi w:val="0"/>
              <w:spacing w:before="0" w:after="283"/>
              <w:jc w:val="right"/>
              <w:rPr/>
            </w:pPr>
            <w:r>
              <w:rPr/>
              <w:t>(449,998</w:t>
            </w:r>
          </w:p>
        </w:tc>
        <w:tc>
          <w:tcPr>
            <w:tcW w:w="112" w:type="dxa"/>
            <w:tcBorders/>
            <w:shd w:fill="EEEEEE" w:val="clear"/>
            <w:vAlign w:val="center"/>
          </w:tcPr>
          <w:p>
            <w:pPr>
              <w:pStyle w:val="TableContents"/>
              <w:bidi w:val="0"/>
              <w:spacing w:before="0" w:after="283"/>
              <w:jc w:val="left"/>
              <w:rPr/>
            </w:pPr>
            <w:r>
              <w:rPr/>
              <w:t>)</w:t>
            </w:r>
            <w:bookmarkStart w:id="204" w:name="xdx_400_eus-gaap--IncreaseDecreaseInPrep"/>
            <w:bookmarkEnd w:id="204"/>
          </w:p>
        </w:tc>
      </w:tr>
      <w:tr>
        <w:trPr/>
        <w:tc>
          <w:tcPr>
            <w:tcW w:w="7218" w:type="dxa"/>
            <w:tcBorders/>
            <w:shd w:fill="FFFFFF" w:val="clear"/>
            <w:vAlign w:val="center"/>
          </w:tcPr>
          <w:p>
            <w:pPr>
              <w:pStyle w:val="TableContents"/>
              <w:bidi w:val="0"/>
              <w:spacing w:before="0" w:after="283"/>
              <w:jc w:val="left"/>
              <w:rPr/>
            </w:pPr>
            <w:r>
              <w:rPr/>
              <w:t>Prepayments and other current assets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right"/>
              <w:rPr/>
            </w:pPr>
            <w:r>
              <w:rPr/>
              <w:t>2,380,563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right"/>
              <w:rPr/>
            </w:pPr>
            <w:r>
              <w:rPr/>
              <w:t>637,865</w:t>
            </w:r>
          </w:p>
        </w:tc>
        <w:tc>
          <w:tcPr>
            <w:tcW w:w="112" w:type="dxa"/>
            <w:tcBorders/>
            <w:shd w:fill="FFFFFF" w:val="clear"/>
            <w:vAlign w:val="center"/>
          </w:tcPr>
          <w:p>
            <w:pPr>
              <w:pStyle w:val="TableContents"/>
              <w:bidi w:val="0"/>
              <w:spacing w:before="0" w:after="283"/>
              <w:jc w:val="left"/>
              <w:rPr/>
            </w:pPr>
            <w:r>
              <w:rPr/>
              <w:t> </w:t>
            </w:r>
            <w:bookmarkStart w:id="205" w:name="xdx_408_ecustom--IncreaseDecreaseInNoncu"/>
            <w:bookmarkEnd w:id="205"/>
          </w:p>
        </w:tc>
      </w:tr>
      <w:tr>
        <w:trPr/>
        <w:tc>
          <w:tcPr>
            <w:tcW w:w="7218" w:type="dxa"/>
            <w:tcBorders/>
            <w:shd w:fill="EEEEEE" w:val="clear"/>
            <w:vAlign w:val="center"/>
          </w:tcPr>
          <w:p>
            <w:pPr>
              <w:pStyle w:val="TableContents"/>
              <w:bidi w:val="0"/>
              <w:spacing w:before="0" w:after="283"/>
              <w:jc w:val="left"/>
              <w:rPr/>
            </w:pPr>
            <w:r>
              <w:rPr/>
              <w:t>Non-current prepayments</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 </w:t>
            </w:r>
          </w:p>
        </w:tc>
        <w:tc>
          <w:tcPr>
            <w:tcW w:w="1189" w:type="dxa"/>
            <w:tcBorders/>
            <w:shd w:fill="EEEEEE" w:val="clear"/>
            <w:vAlign w:val="center"/>
          </w:tcPr>
          <w:p>
            <w:pPr>
              <w:pStyle w:val="TableContents"/>
              <w:bidi w:val="0"/>
              <w:spacing w:before="0" w:after="283"/>
              <w:jc w:val="right"/>
              <w:rPr/>
            </w:pPr>
            <w:r>
              <w:rPr/>
              <w:t>394,168</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 </w:t>
            </w:r>
          </w:p>
        </w:tc>
        <w:tc>
          <w:tcPr>
            <w:tcW w:w="1189" w:type="dxa"/>
            <w:tcBorders/>
            <w:shd w:fill="EEEEEE" w:val="clear"/>
            <w:vAlign w:val="center"/>
          </w:tcPr>
          <w:p>
            <w:pPr>
              <w:pStyle w:val="TableContents"/>
              <w:bidi w:val="0"/>
              <w:spacing w:before="0" w:after="283"/>
              <w:jc w:val="right"/>
              <w:rPr/>
            </w:pPr>
            <w:r>
              <w:rPr/>
              <w:t>431,668</w:t>
            </w:r>
          </w:p>
        </w:tc>
        <w:tc>
          <w:tcPr>
            <w:tcW w:w="112" w:type="dxa"/>
            <w:tcBorders/>
            <w:shd w:fill="EEEEEE" w:val="clear"/>
            <w:vAlign w:val="center"/>
          </w:tcPr>
          <w:p>
            <w:pPr>
              <w:pStyle w:val="TableContents"/>
              <w:bidi w:val="0"/>
              <w:spacing w:before="0" w:after="283"/>
              <w:jc w:val="left"/>
              <w:rPr/>
            </w:pPr>
            <w:r>
              <w:rPr/>
              <w:t> </w:t>
            </w:r>
            <w:bookmarkStart w:id="206" w:name="xdx_404_eus-gaap--IncreaseDecreaseInOthe"/>
            <w:bookmarkEnd w:id="206"/>
          </w:p>
        </w:tc>
      </w:tr>
      <w:tr>
        <w:trPr/>
        <w:tc>
          <w:tcPr>
            <w:tcW w:w="7218" w:type="dxa"/>
            <w:tcBorders/>
            <w:shd w:fill="FFFFFF" w:val="clear"/>
            <w:vAlign w:val="center"/>
          </w:tcPr>
          <w:p>
            <w:pPr>
              <w:pStyle w:val="TableContents"/>
              <w:bidi w:val="0"/>
              <w:spacing w:before="0" w:after="283"/>
              <w:jc w:val="left"/>
              <w:rPr/>
            </w:pPr>
            <w:r>
              <w:rPr/>
              <w:t>Other non-current assets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right"/>
              <w:rPr/>
            </w:pPr>
            <w:r>
              <w:rPr/>
              <w:t>(20,522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right"/>
              <w:rPr/>
            </w:pPr>
            <w:r>
              <w:rPr/>
              <w:t>(254,380</w:t>
            </w:r>
          </w:p>
        </w:tc>
        <w:tc>
          <w:tcPr>
            <w:tcW w:w="112" w:type="dxa"/>
            <w:tcBorders/>
            <w:shd w:fill="FFFFFF" w:val="clear"/>
            <w:vAlign w:val="center"/>
          </w:tcPr>
          <w:p>
            <w:pPr>
              <w:pStyle w:val="TableContents"/>
              <w:bidi w:val="0"/>
              <w:spacing w:before="0" w:after="283"/>
              <w:jc w:val="left"/>
              <w:rPr/>
            </w:pPr>
            <w:r>
              <w:rPr/>
              <w:t>)</w:t>
            </w:r>
            <w:bookmarkStart w:id="207" w:name="xdx_40D_eus-gaap--IncreaseDecreaseInAcco"/>
            <w:bookmarkEnd w:id="207"/>
          </w:p>
        </w:tc>
      </w:tr>
      <w:tr>
        <w:trPr/>
        <w:tc>
          <w:tcPr>
            <w:tcW w:w="7218" w:type="dxa"/>
            <w:tcBorders/>
            <w:shd w:fill="EEEEEE" w:val="clear"/>
            <w:vAlign w:val="center"/>
          </w:tcPr>
          <w:p>
            <w:pPr>
              <w:pStyle w:val="TableContents"/>
              <w:bidi w:val="0"/>
              <w:spacing w:before="0" w:after="283"/>
              <w:jc w:val="left"/>
              <w:rPr/>
            </w:pPr>
            <w:r>
              <w:rPr/>
              <w:t>Accounts payable</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 </w:t>
            </w:r>
          </w:p>
        </w:tc>
        <w:tc>
          <w:tcPr>
            <w:tcW w:w="1189" w:type="dxa"/>
            <w:tcBorders/>
            <w:shd w:fill="EEEEEE" w:val="clear"/>
            <w:vAlign w:val="center"/>
          </w:tcPr>
          <w:p>
            <w:pPr>
              <w:pStyle w:val="TableContents"/>
              <w:bidi w:val="0"/>
              <w:spacing w:before="0" w:after="283"/>
              <w:jc w:val="right"/>
              <w:rPr/>
            </w:pPr>
            <w:r>
              <w:rPr/>
              <w:t>4,121,315</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 </w:t>
            </w:r>
          </w:p>
        </w:tc>
        <w:tc>
          <w:tcPr>
            <w:tcW w:w="1189" w:type="dxa"/>
            <w:tcBorders/>
            <w:shd w:fill="EEEEEE" w:val="clear"/>
            <w:vAlign w:val="center"/>
          </w:tcPr>
          <w:p>
            <w:pPr>
              <w:pStyle w:val="TableContents"/>
              <w:bidi w:val="0"/>
              <w:spacing w:before="0" w:after="283"/>
              <w:jc w:val="right"/>
              <w:rPr/>
            </w:pPr>
            <w:r>
              <w:rPr/>
              <w:t>5,592,444</w:t>
            </w:r>
          </w:p>
        </w:tc>
        <w:tc>
          <w:tcPr>
            <w:tcW w:w="112" w:type="dxa"/>
            <w:tcBorders/>
            <w:shd w:fill="EEEEEE" w:val="clear"/>
            <w:vAlign w:val="center"/>
          </w:tcPr>
          <w:p>
            <w:pPr>
              <w:pStyle w:val="TableContents"/>
              <w:bidi w:val="0"/>
              <w:spacing w:before="0" w:after="283"/>
              <w:jc w:val="left"/>
              <w:rPr/>
            </w:pPr>
            <w:r>
              <w:rPr/>
              <w:t> </w:t>
            </w:r>
            <w:bookmarkStart w:id="208" w:name="xdx_405_eus-gaap--IncreaseDecreaseInOthe"/>
            <w:bookmarkEnd w:id="208"/>
          </w:p>
        </w:tc>
      </w:tr>
      <w:tr>
        <w:trPr/>
        <w:tc>
          <w:tcPr>
            <w:tcW w:w="7218" w:type="dxa"/>
            <w:tcBorders/>
            <w:shd w:fill="FFFFFF" w:val="clear"/>
            <w:vAlign w:val="center"/>
          </w:tcPr>
          <w:p>
            <w:pPr>
              <w:pStyle w:val="TableContents"/>
              <w:bidi w:val="0"/>
              <w:spacing w:before="0" w:after="283"/>
              <w:jc w:val="left"/>
              <w:rPr/>
            </w:pPr>
            <w:r>
              <w:rPr/>
              <w:t>Credit cards payable</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right"/>
              <w:rPr/>
            </w:pPr>
            <w:r>
              <w:rPr/>
              <w:t>(440,906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right"/>
              <w:rPr/>
            </w:pPr>
            <w:r>
              <w:rPr/>
              <w:t>223,376</w:t>
            </w:r>
          </w:p>
        </w:tc>
        <w:tc>
          <w:tcPr>
            <w:tcW w:w="112" w:type="dxa"/>
            <w:tcBorders/>
            <w:shd w:fill="FFFFFF" w:val="clear"/>
            <w:vAlign w:val="center"/>
          </w:tcPr>
          <w:p>
            <w:pPr>
              <w:pStyle w:val="TableContents"/>
              <w:bidi w:val="0"/>
              <w:spacing w:before="0" w:after="283"/>
              <w:jc w:val="left"/>
              <w:rPr/>
            </w:pPr>
            <w:r>
              <w:rPr/>
              <w:t> </w:t>
            </w:r>
            <w:bookmarkStart w:id="209" w:name="xdx_409_eus-gaap--IncreaseDecreaseInCont"/>
            <w:bookmarkEnd w:id="209"/>
          </w:p>
        </w:tc>
      </w:tr>
      <w:tr>
        <w:trPr/>
        <w:tc>
          <w:tcPr>
            <w:tcW w:w="7218" w:type="dxa"/>
            <w:tcBorders/>
            <w:shd w:fill="EEEEEE" w:val="clear"/>
            <w:vAlign w:val="center"/>
          </w:tcPr>
          <w:p>
            <w:pPr>
              <w:pStyle w:val="TableContents"/>
              <w:bidi w:val="0"/>
              <w:spacing w:before="0" w:after="283"/>
              <w:jc w:val="left"/>
              <w:rPr/>
            </w:pPr>
            <w:r>
              <w:rPr/>
              <w:t>Customer deposit</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 </w:t>
            </w:r>
          </w:p>
        </w:tc>
        <w:tc>
          <w:tcPr>
            <w:tcW w:w="1189" w:type="dxa"/>
            <w:tcBorders/>
            <w:shd w:fill="EEEEEE" w:val="clear"/>
            <w:vAlign w:val="center"/>
          </w:tcPr>
          <w:p>
            <w:pPr>
              <w:pStyle w:val="TableContents"/>
              <w:bidi w:val="0"/>
              <w:spacing w:before="0" w:after="283"/>
              <w:jc w:val="right"/>
              <w:rPr/>
            </w:pPr>
            <w:r>
              <w:rPr/>
              <w:t>77,138</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 </w:t>
            </w:r>
          </w:p>
        </w:tc>
        <w:tc>
          <w:tcPr>
            <w:tcW w:w="1189" w:type="dxa"/>
            <w:tcBorders/>
            <w:shd w:fill="EEEEEE" w:val="clear"/>
            <w:vAlign w:val="center"/>
          </w:tcPr>
          <w:p>
            <w:pPr>
              <w:pStyle w:val="TableContents"/>
              <w:bidi w:val="0"/>
              <w:spacing w:before="0" w:after="283"/>
              <w:jc w:val="right"/>
              <w:rPr/>
            </w:pPr>
            <w:r>
              <w:rPr/>
              <w:t>(23,950</w:t>
            </w:r>
          </w:p>
        </w:tc>
        <w:tc>
          <w:tcPr>
            <w:tcW w:w="112" w:type="dxa"/>
            <w:tcBorders/>
            <w:shd w:fill="EEEEEE" w:val="clear"/>
            <w:vAlign w:val="center"/>
          </w:tcPr>
          <w:p>
            <w:pPr>
              <w:pStyle w:val="TableContents"/>
              <w:bidi w:val="0"/>
              <w:spacing w:before="0" w:after="283"/>
              <w:jc w:val="left"/>
              <w:rPr/>
            </w:pPr>
            <w:r>
              <w:rPr/>
              <w:t>)</w:t>
            </w:r>
            <w:bookmarkStart w:id="210" w:name="xdx_40B_eus-gaap--IncreaseDecreaseInOthe"/>
            <w:bookmarkEnd w:id="210"/>
          </w:p>
        </w:tc>
      </w:tr>
      <w:tr>
        <w:trPr/>
        <w:tc>
          <w:tcPr>
            <w:tcW w:w="7218" w:type="dxa"/>
            <w:tcBorders/>
            <w:shd w:fill="FFFFFF" w:val="clear"/>
            <w:vAlign w:val="center"/>
          </w:tcPr>
          <w:p>
            <w:pPr>
              <w:pStyle w:val="TableContents"/>
              <w:bidi w:val="0"/>
              <w:spacing w:before="0" w:after="283"/>
              <w:jc w:val="left"/>
              <w:rPr/>
            </w:pPr>
            <w:r>
              <w:rPr/>
              <w:t>Other payables and accrued liabilities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right"/>
              <w:rPr/>
            </w:pPr>
            <w:r>
              <w:rPr/>
              <w:t>(255,729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right"/>
              <w:rPr/>
            </w:pPr>
            <w:r>
              <w:rPr/>
              <w:t>1,906,317</w:t>
            </w:r>
          </w:p>
        </w:tc>
        <w:tc>
          <w:tcPr>
            <w:tcW w:w="112" w:type="dxa"/>
            <w:tcBorders/>
            <w:shd w:fill="FFFFFF" w:val="clear"/>
            <w:vAlign w:val="center"/>
          </w:tcPr>
          <w:p>
            <w:pPr>
              <w:pStyle w:val="TableContents"/>
              <w:bidi w:val="0"/>
              <w:spacing w:before="0" w:after="283"/>
              <w:jc w:val="left"/>
              <w:rPr/>
            </w:pPr>
            <w:r>
              <w:rPr/>
              <w:t> </w:t>
            </w:r>
            <w:bookmarkStart w:id="211" w:name="xdx_400_eus-gaap--IncreaseDecreaseInAccr"/>
            <w:bookmarkEnd w:id="211"/>
          </w:p>
        </w:tc>
      </w:tr>
      <w:tr>
        <w:trPr/>
        <w:tc>
          <w:tcPr>
            <w:tcW w:w="7218" w:type="dxa"/>
            <w:tcBorders/>
            <w:shd w:fill="EEEEEE" w:val="clear"/>
            <w:vAlign w:val="center"/>
          </w:tcPr>
          <w:p>
            <w:pPr>
              <w:pStyle w:val="TableContents"/>
              <w:bidi w:val="0"/>
              <w:spacing w:before="0" w:after="283"/>
              <w:jc w:val="left"/>
              <w:rPr/>
            </w:pPr>
            <w:r>
              <w:rPr/>
              <w:t>Income taxes payable</w:t>
            </w:r>
          </w:p>
        </w:tc>
        <w:tc>
          <w:tcPr>
            <w:tcW w:w="60" w:type="dxa"/>
            <w:tcBorders/>
            <w:shd w:fill="EEEEEE" w:val="clear"/>
            <w:vAlign w:val="center"/>
          </w:tcPr>
          <w:p>
            <w:pPr>
              <w:pStyle w:val="TableContents"/>
              <w:bidi w:val="0"/>
              <w:spacing w:before="0" w:after="283"/>
              <w:jc w:val="left"/>
              <w:rPr/>
            </w:pPr>
            <w:r>
              <w:rPr/>
              <w:t> </w:t>
            </w:r>
          </w:p>
        </w:tc>
        <w:tc>
          <w:tcPr>
            <w:tcW w:w="141"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89" w:type="dxa"/>
            <w:tcBorders>
              <w:bottom w:val="single" w:sz="8" w:space="0" w:color="000000"/>
            </w:tcBorders>
            <w:shd w:fill="EEEEEE" w:val="clear"/>
            <w:tcMar>
              <w:bottom w:w="28" w:type="dxa"/>
            </w:tcMar>
            <w:vAlign w:val="center"/>
          </w:tcPr>
          <w:p>
            <w:pPr>
              <w:pStyle w:val="TableContents"/>
              <w:bidi w:val="0"/>
              <w:spacing w:before="0" w:after="283"/>
              <w:jc w:val="right"/>
              <w:rPr/>
            </w:pPr>
            <w:r>
              <w:rPr/>
              <w:t>(22,880</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41"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89" w:type="dxa"/>
            <w:tcBorders>
              <w:bottom w:val="single" w:sz="8" w:space="0" w:color="000000"/>
            </w:tcBorders>
            <w:shd w:fill="EEEEEE" w:val="clear"/>
            <w:tcMar>
              <w:bottom w:w="28" w:type="dxa"/>
            </w:tcMar>
            <w:vAlign w:val="center"/>
          </w:tcPr>
          <w:p>
            <w:pPr>
              <w:pStyle w:val="TableContents"/>
              <w:bidi w:val="0"/>
              <w:spacing w:before="0" w:after="283"/>
              <w:jc w:val="right"/>
              <w:rPr/>
            </w:pPr>
            <w:r>
              <w:rPr/>
              <w:t>(489,258</w:t>
            </w:r>
          </w:p>
        </w:tc>
        <w:tc>
          <w:tcPr>
            <w:tcW w:w="112" w:type="dxa"/>
            <w:tcBorders/>
            <w:shd w:fill="EEEEEE" w:val="clear"/>
            <w:vAlign w:val="center"/>
          </w:tcPr>
          <w:p>
            <w:pPr>
              <w:pStyle w:val="TableContents"/>
              <w:bidi w:val="0"/>
              <w:spacing w:before="0" w:after="283"/>
              <w:jc w:val="left"/>
              <w:rPr/>
            </w:pPr>
            <w:r>
              <w:rPr/>
              <w:t>)</w:t>
            </w:r>
            <w:bookmarkStart w:id="212" w:name="xdx_409_eus-gaap--NetCashProvidedByUsedI"/>
            <w:bookmarkEnd w:id="212"/>
          </w:p>
        </w:tc>
      </w:tr>
      <w:tr>
        <w:trPr/>
        <w:tc>
          <w:tcPr>
            <w:tcW w:w="7218" w:type="dxa"/>
            <w:tcBorders/>
            <w:shd w:fill="FFFFFF" w:val="clear"/>
            <w:vAlign w:val="center"/>
          </w:tcPr>
          <w:p>
            <w:pPr>
              <w:pStyle w:val="TableContents"/>
              <w:bidi w:val="0"/>
              <w:spacing w:before="0" w:after="283"/>
              <w:jc w:val="left"/>
              <w:rPr/>
            </w:pPr>
            <w:r>
              <w:rPr/>
              <w:t>Net cash provided by (used in) operating activities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right"/>
              <w:rPr/>
            </w:pPr>
            <w:r>
              <w:rPr/>
              <w:t>9,211,269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right"/>
              <w:rPr/>
            </w:pPr>
            <w:r>
              <w:rPr/>
              <w:t>(16,603,005</w:t>
            </w:r>
          </w:p>
        </w:tc>
        <w:tc>
          <w:tcPr>
            <w:tcW w:w="112" w:type="dxa"/>
            <w:tcBorders/>
            <w:shd w:fill="FFFFFF" w:val="clear"/>
            <w:vAlign w:val="center"/>
          </w:tcPr>
          <w:p>
            <w:pPr>
              <w:pStyle w:val="TableContents"/>
              <w:bidi w:val="0"/>
              <w:spacing w:before="0" w:after="283"/>
              <w:jc w:val="left"/>
              <w:rPr/>
            </w:pPr>
            <w:r>
              <w:rPr/>
              <w:t>)</w:t>
            </w:r>
          </w:p>
        </w:tc>
      </w:tr>
      <w:tr>
        <w:trPr/>
        <w:tc>
          <w:tcPr>
            <w:tcW w:w="7218"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 </w:t>
            </w:r>
          </w:p>
        </w:tc>
        <w:tc>
          <w:tcPr>
            <w:tcW w:w="1189"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 </w:t>
            </w:r>
          </w:p>
        </w:tc>
        <w:tc>
          <w:tcPr>
            <w:tcW w:w="1189" w:type="dxa"/>
            <w:tcBorders/>
            <w:shd w:fill="EEEEEE" w:val="clear"/>
            <w:vAlign w:val="center"/>
          </w:tcPr>
          <w:p>
            <w:pPr>
              <w:pStyle w:val="TableContents"/>
              <w:bidi w:val="0"/>
              <w:spacing w:before="0" w:after="283"/>
              <w:jc w:val="right"/>
              <w:rPr/>
            </w:pPr>
            <w:r>
              <w:rPr/>
              <w:t> </w:t>
            </w:r>
          </w:p>
        </w:tc>
        <w:tc>
          <w:tcPr>
            <w:tcW w:w="112" w:type="dxa"/>
            <w:tcBorders/>
            <w:shd w:fill="EEEEEE" w:val="clear"/>
            <w:vAlign w:val="center"/>
          </w:tcPr>
          <w:p>
            <w:pPr>
              <w:pStyle w:val="TableContents"/>
              <w:bidi w:val="0"/>
              <w:spacing w:before="0" w:after="283"/>
              <w:jc w:val="left"/>
              <w:rPr/>
            </w:pPr>
            <w:r>
              <w:rPr/>
              <w:t> </w:t>
            </w:r>
            <w:bookmarkStart w:id="213" w:name="xdx_402_eus-gaap--NetCashProvidedByUsedI"/>
            <w:bookmarkEnd w:id="213"/>
          </w:p>
        </w:tc>
      </w:tr>
      <w:tr>
        <w:trPr/>
        <w:tc>
          <w:tcPr>
            <w:tcW w:w="7218" w:type="dxa"/>
            <w:tcBorders/>
            <w:shd w:fill="FFFFFF" w:val="clear"/>
            <w:vAlign w:val="center"/>
          </w:tcPr>
          <w:p>
            <w:pPr>
              <w:pStyle w:val="TableContents"/>
              <w:bidi w:val="0"/>
              <w:spacing w:before="0" w:after="283"/>
              <w:jc w:val="left"/>
              <w:rPr/>
            </w:pPr>
            <w:r>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214" w:name="xdx_40D_eus-gaap--PaymentsToAcquirePrope"/>
            <w:bookmarkEnd w:id="214"/>
          </w:p>
        </w:tc>
      </w:tr>
      <w:tr>
        <w:trPr/>
        <w:tc>
          <w:tcPr>
            <w:tcW w:w="7218" w:type="dxa"/>
            <w:tcBorders/>
            <w:shd w:fill="EEEEEE" w:val="clear"/>
            <w:vAlign w:val="center"/>
          </w:tcPr>
          <w:p>
            <w:pPr>
              <w:pStyle w:val="TableContents"/>
              <w:bidi w:val="0"/>
              <w:spacing w:before="0" w:after="283"/>
              <w:jc w:val="left"/>
              <w:rPr/>
            </w:pPr>
            <w:r>
              <w:rPr/>
              <w:t>Purchase of equipment</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 </w:t>
            </w:r>
          </w:p>
        </w:tc>
        <w:tc>
          <w:tcPr>
            <w:tcW w:w="1189" w:type="dxa"/>
            <w:tcBorders/>
            <w:shd w:fill="EEEEEE" w:val="clear"/>
            <w:vAlign w:val="center"/>
          </w:tcPr>
          <w:p>
            <w:pPr>
              <w:pStyle w:val="TableContents"/>
              <w:bidi w:val="0"/>
              <w:spacing w:before="0" w:after="283"/>
              <w:jc w:val="right"/>
              <w:rPr/>
            </w:pPr>
            <w:r>
              <w:rPr/>
              <w:t>(140,813</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 </w:t>
            </w:r>
          </w:p>
        </w:tc>
        <w:tc>
          <w:tcPr>
            <w:tcW w:w="1189" w:type="dxa"/>
            <w:tcBorders/>
            <w:shd w:fill="EEEEEE" w:val="clear"/>
            <w:vAlign w:val="center"/>
          </w:tcPr>
          <w:p>
            <w:pPr>
              <w:pStyle w:val="TableContents"/>
              <w:bidi w:val="0"/>
              <w:spacing w:before="0" w:after="283"/>
              <w:jc w:val="right"/>
              <w:rPr/>
            </w:pPr>
            <w:r>
              <w:rPr/>
              <w:t>(484,172</w:t>
            </w:r>
          </w:p>
        </w:tc>
        <w:tc>
          <w:tcPr>
            <w:tcW w:w="112" w:type="dxa"/>
            <w:tcBorders/>
            <w:shd w:fill="EEEEEE" w:val="clear"/>
            <w:vAlign w:val="center"/>
          </w:tcPr>
          <w:p>
            <w:pPr>
              <w:pStyle w:val="TableContents"/>
              <w:bidi w:val="0"/>
              <w:spacing w:before="0" w:after="283"/>
              <w:jc w:val="left"/>
              <w:rPr/>
            </w:pPr>
            <w:r>
              <w:rPr/>
              <w:t>)</w:t>
            </w:r>
            <w:bookmarkStart w:id="215" w:name="xdx_405_eus-gaap--CashAcquiredFromAcquis"/>
            <w:bookmarkEnd w:id="215"/>
          </w:p>
        </w:tc>
      </w:tr>
      <w:tr>
        <w:trPr/>
        <w:tc>
          <w:tcPr>
            <w:tcW w:w="7218" w:type="dxa"/>
            <w:tcBorders/>
            <w:shd w:fill="FFFFFF" w:val="clear"/>
            <w:vAlign w:val="center"/>
          </w:tcPr>
          <w:p>
            <w:pPr>
              <w:pStyle w:val="TableContents"/>
              <w:bidi w:val="0"/>
              <w:spacing w:before="0" w:after="283"/>
              <w:jc w:val="left"/>
              <w:rPr/>
            </w:pPr>
            <w:r>
              <w:rPr/>
              <w:t>Cash acquired on acquisition</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right"/>
              <w:rPr/>
            </w:pPr>
            <w:r>
              <w:rPr/>
              <w:t>394,786</w:t>
            </w:r>
          </w:p>
        </w:tc>
        <w:tc>
          <w:tcPr>
            <w:tcW w:w="112" w:type="dxa"/>
            <w:tcBorders/>
            <w:shd w:fill="FFFFFF" w:val="clear"/>
            <w:vAlign w:val="center"/>
          </w:tcPr>
          <w:p>
            <w:pPr>
              <w:pStyle w:val="TableContents"/>
              <w:bidi w:val="0"/>
              <w:spacing w:before="0" w:after="283"/>
              <w:jc w:val="left"/>
              <w:rPr/>
            </w:pPr>
            <w:r>
              <w:rPr/>
              <w:t> </w:t>
            </w:r>
            <w:bookmarkStart w:id="216" w:name="xdx_406_eus-gaap--PaymentsToAcquireInter"/>
            <w:bookmarkEnd w:id="216"/>
          </w:p>
        </w:tc>
      </w:tr>
      <w:tr>
        <w:trPr/>
        <w:tc>
          <w:tcPr>
            <w:tcW w:w="7218" w:type="dxa"/>
            <w:tcBorders/>
            <w:shd w:fill="EEEEEE" w:val="clear"/>
            <w:vAlign w:val="center"/>
          </w:tcPr>
          <w:p>
            <w:pPr>
              <w:pStyle w:val="TableContents"/>
              <w:bidi w:val="0"/>
              <w:spacing w:before="0" w:after="283"/>
              <w:jc w:val="left"/>
              <w:rPr/>
            </w:pPr>
            <w:r>
              <w:rPr/>
              <w:t>Investment in joint venture</w:t>
            </w:r>
          </w:p>
        </w:tc>
        <w:tc>
          <w:tcPr>
            <w:tcW w:w="60" w:type="dxa"/>
            <w:tcBorders/>
            <w:shd w:fill="EEEEEE" w:val="clear"/>
            <w:vAlign w:val="center"/>
          </w:tcPr>
          <w:p>
            <w:pPr>
              <w:pStyle w:val="TableContents"/>
              <w:bidi w:val="0"/>
              <w:spacing w:before="0" w:after="283"/>
              <w:jc w:val="left"/>
              <w:rPr/>
            </w:pPr>
            <w:r>
              <w:rPr/>
              <w:t> </w:t>
            </w:r>
          </w:p>
        </w:tc>
        <w:tc>
          <w:tcPr>
            <w:tcW w:w="141"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89"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1"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89" w:type="dxa"/>
            <w:tcBorders>
              <w:bottom w:val="single" w:sz="8" w:space="0" w:color="000000"/>
            </w:tcBorders>
            <w:shd w:fill="EEEEEE" w:val="clear"/>
            <w:tcMar>
              <w:bottom w:w="28" w:type="dxa"/>
            </w:tcMar>
            <w:vAlign w:val="center"/>
          </w:tcPr>
          <w:p>
            <w:pPr>
              <w:pStyle w:val="TableContents"/>
              <w:bidi w:val="0"/>
              <w:spacing w:before="0" w:after="283"/>
              <w:jc w:val="right"/>
              <w:rPr/>
            </w:pPr>
            <w:r>
              <w:rPr/>
              <w:t>(50,000</w:t>
            </w:r>
          </w:p>
        </w:tc>
        <w:tc>
          <w:tcPr>
            <w:tcW w:w="112" w:type="dxa"/>
            <w:tcBorders/>
            <w:shd w:fill="EEEEEE" w:val="clear"/>
            <w:vAlign w:val="center"/>
          </w:tcPr>
          <w:p>
            <w:pPr>
              <w:pStyle w:val="TableContents"/>
              <w:bidi w:val="0"/>
              <w:spacing w:before="0" w:after="283"/>
              <w:jc w:val="left"/>
              <w:rPr/>
            </w:pPr>
            <w:r>
              <w:rPr/>
              <w:t>)</w:t>
            </w:r>
            <w:bookmarkStart w:id="217" w:name="xdx_40F_eus-gaap--NetCashProvidedByUsedI"/>
            <w:bookmarkEnd w:id="217"/>
          </w:p>
        </w:tc>
      </w:tr>
      <w:tr>
        <w:trPr/>
        <w:tc>
          <w:tcPr>
            <w:tcW w:w="7218" w:type="dxa"/>
            <w:tcBorders/>
            <w:shd w:fill="FFFFFF" w:val="clear"/>
            <w:vAlign w:val="center"/>
          </w:tcPr>
          <w:p>
            <w:pPr>
              <w:pStyle w:val="TableContents"/>
              <w:bidi w:val="0"/>
              <w:spacing w:before="0" w:after="283"/>
              <w:jc w:val="left"/>
              <w:rPr/>
            </w:pPr>
            <w:r>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right"/>
              <w:rPr/>
            </w:pPr>
            <w:r>
              <w:rPr/>
              <w:t>(140,813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right"/>
              <w:rPr/>
            </w:pPr>
            <w:r>
              <w:rPr/>
              <w:t>(139,386</w:t>
            </w:r>
          </w:p>
        </w:tc>
        <w:tc>
          <w:tcPr>
            <w:tcW w:w="112" w:type="dxa"/>
            <w:tcBorders/>
            <w:shd w:fill="FFFFFF" w:val="clear"/>
            <w:vAlign w:val="center"/>
          </w:tcPr>
          <w:p>
            <w:pPr>
              <w:pStyle w:val="TableContents"/>
              <w:bidi w:val="0"/>
              <w:spacing w:before="0" w:after="283"/>
              <w:jc w:val="left"/>
              <w:rPr/>
            </w:pPr>
            <w:r>
              <w:rPr/>
              <w:t>)</w:t>
            </w:r>
          </w:p>
        </w:tc>
      </w:tr>
      <w:tr>
        <w:trPr/>
        <w:tc>
          <w:tcPr>
            <w:tcW w:w="7218"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 </w:t>
            </w:r>
          </w:p>
        </w:tc>
        <w:tc>
          <w:tcPr>
            <w:tcW w:w="1189"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 </w:t>
            </w:r>
          </w:p>
        </w:tc>
        <w:tc>
          <w:tcPr>
            <w:tcW w:w="1189" w:type="dxa"/>
            <w:tcBorders/>
            <w:shd w:fill="EEEEEE" w:val="clear"/>
            <w:vAlign w:val="center"/>
          </w:tcPr>
          <w:p>
            <w:pPr>
              <w:pStyle w:val="TableContents"/>
              <w:bidi w:val="0"/>
              <w:spacing w:before="0" w:after="283"/>
              <w:jc w:val="right"/>
              <w:rPr/>
            </w:pPr>
            <w:r>
              <w:rPr/>
              <w:t> </w:t>
            </w:r>
          </w:p>
        </w:tc>
        <w:tc>
          <w:tcPr>
            <w:tcW w:w="112" w:type="dxa"/>
            <w:tcBorders/>
            <w:shd w:fill="EEEEEE" w:val="clear"/>
            <w:vAlign w:val="center"/>
          </w:tcPr>
          <w:p>
            <w:pPr>
              <w:pStyle w:val="TableContents"/>
              <w:bidi w:val="0"/>
              <w:spacing w:before="0" w:after="283"/>
              <w:jc w:val="left"/>
              <w:rPr/>
            </w:pPr>
            <w:r>
              <w:rPr/>
              <w:t> </w:t>
            </w:r>
            <w:bookmarkStart w:id="218" w:name="xdx_40D_eus-gaap--NetCashProvidedByUsedI"/>
            <w:bookmarkEnd w:id="218"/>
          </w:p>
        </w:tc>
      </w:tr>
      <w:tr>
        <w:trPr/>
        <w:tc>
          <w:tcPr>
            <w:tcW w:w="7218" w:type="dxa"/>
            <w:tcBorders/>
            <w:shd w:fill="FFFFFF" w:val="clear"/>
            <w:vAlign w:val="center"/>
          </w:tcPr>
          <w:p>
            <w:pPr>
              <w:pStyle w:val="TableContents"/>
              <w:bidi w:val="0"/>
              <w:spacing w:before="0" w:after="283"/>
              <w:jc w:val="left"/>
              <w:rPr/>
            </w:pPr>
            <w:r>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219" w:name="xdx_406_eus-gaap--ProceedsFromRelatedPar"/>
            <w:bookmarkEnd w:id="219"/>
          </w:p>
        </w:tc>
      </w:tr>
      <w:tr>
        <w:trPr/>
        <w:tc>
          <w:tcPr>
            <w:tcW w:w="7218" w:type="dxa"/>
            <w:tcBorders/>
            <w:shd w:fill="EEEEEE" w:val="clear"/>
            <w:vAlign w:val="center"/>
          </w:tcPr>
          <w:p>
            <w:pPr>
              <w:pStyle w:val="TableContents"/>
              <w:bidi w:val="0"/>
              <w:spacing w:before="0" w:after="283"/>
              <w:jc w:val="left"/>
              <w:rPr/>
            </w:pPr>
            <w:r>
              <w:rPr/>
              <w:t>Proceeds from related parties</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 </w:t>
            </w:r>
          </w:p>
        </w:tc>
        <w:tc>
          <w:tcPr>
            <w:tcW w:w="1189" w:type="dxa"/>
            <w:tcBorders/>
            <w:shd w:fill="EEEEEE" w:val="clear"/>
            <w:vAlign w:val="center"/>
          </w:tcPr>
          <w:p>
            <w:pPr>
              <w:pStyle w:val="TableContents"/>
              <w:bidi w:val="0"/>
              <w:spacing w:before="0" w:after="283"/>
              <w:jc w:val="right"/>
              <w:rPr/>
            </w:pPr>
            <w:r>
              <w:rPr/>
              <w:t>134,262</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 </w:t>
            </w:r>
          </w:p>
        </w:tc>
        <w:tc>
          <w:tcPr>
            <w:tcW w:w="1189" w:type="dxa"/>
            <w:tcBorders/>
            <w:shd w:fill="EEEEEE" w:val="clear"/>
            <w:vAlign w:val="center"/>
          </w:tcPr>
          <w:p>
            <w:pPr>
              <w:pStyle w:val="TableContents"/>
              <w:bidi w:val="0"/>
              <w:spacing w:before="0" w:after="283"/>
              <w:jc w:val="right"/>
              <w:rPr/>
            </w:pPr>
            <w:r>
              <w:rPr/>
              <w:t>–</w:t>
            </w:r>
          </w:p>
        </w:tc>
        <w:tc>
          <w:tcPr>
            <w:tcW w:w="112" w:type="dxa"/>
            <w:tcBorders/>
            <w:shd w:fill="EEEEEE" w:val="clear"/>
            <w:vAlign w:val="center"/>
          </w:tcPr>
          <w:p>
            <w:pPr>
              <w:pStyle w:val="TableContents"/>
              <w:bidi w:val="0"/>
              <w:spacing w:before="0" w:after="283"/>
              <w:jc w:val="left"/>
              <w:rPr/>
            </w:pPr>
            <w:r>
              <w:rPr/>
              <w:t> </w:t>
            </w:r>
            <w:bookmarkStart w:id="220" w:name="xdx_404_eus-gaap--RepaymentsOfRelatedPar"/>
            <w:bookmarkEnd w:id="220"/>
          </w:p>
        </w:tc>
      </w:tr>
      <w:tr>
        <w:trPr/>
        <w:tc>
          <w:tcPr>
            <w:tcW w:w="7218" w:type="dxa"/>
            <w:tcBorders/>
            <w:shd w:fill="FFFFFF" w:val="clear"/>
            <w:vAlign w:val="center"/>
          </w:tcPr>
          <w:p>
            <w:pPr>
              <w:pStyle w:val="TableContents"/>
              <w:bidi w:val="0"/>
              <w:spacing w:before="0" w:after="283"/>
              <w:jc w:val="left"/>
              <w:rPr/>
            </w:pPr>
            <w:r>
              <w:rPr/>
              <w:t>Payments to related parties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right"/>
              <w:rPr/>
            </w:pPr>
            <w:r>
              <w:rPr/>
              <w:t>(82,500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right"/>
              <w:rPr/>
            </w:pPr>
            <w:r>
              <w:rPr/>
              <w:t>(51,762</w:t>
            </w:r>
          </w:p>
        </w:tc>
        <w:tc>
          <w:tcPr>
            <w:tcW w:w="112" w:type="dxa"/>
            <w:tcBorders/>
            <w:shd w:fill="FFFFFF" w:val="clear"/>
            <w:vAlign w:val="center"/>
          </w:tcPr>
          <w:p>
            <w:pPr>
              <w:pStyle w:val="TableContents"/>
              <w:bidi w:val="0"/>
              <w:spacing w:before="0" w:after="283"/>
              <w:jc w:val="left"/>
              <w:rPr/>
            </w:pPr>
            <w:r>
              <w:rPr/>
              <w:t>)</w:t>
            </w:r>
            <w:bookmarkStart w:id="221" w:name="xdx_402_eus-gaap--ProceedsFromShortTermD"/>
            <w:bookmarkEnd w:id="221"/>
          </w:p>
        </w:tc>
      </w:tr>
      <w:tr>
        <w:trPr/>
        <w:tc>
          <w:tcPr>
            <w:tcW w:w="7218" w:type="dxa"/>
            <w:tcBorders/>
            <w:shd w:fill="EEEEEE" w:val="clear"/>
            <w:vAlign w:val="center"/>
          </w:tcPr>
          <w:p>
            <w:pPr>
              <w:pStyle w:val="TableContents"/>
              <w:bidi w:val="0"/>
              <w:spacing w:before="0" w:after="283"/>
              <w:jc w:val="left"/>
              <w:rPr/>
            </w:pPr>
            <w:r>
              <w:rPr/>
              <w:t>Proceeds from short-term loans</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 </w:t>
            </w:r>
          </w:p>
        </w:tc>
        <w:tc>
          <w:tcPr>
            <w:tcW w:w="1189" w:type="dxa"/>
            <w:tcBorders/>
            <w:shd w:fill="EEEEEE" w:val="clear"/>
            <w:vAlign w:val="center"/>
          </w:tcPr>
          <w:p>
            <w:pPr>
              <w:pStyle w:val="TableContents"/>
              <w:bidi w:val="0"/>
              <w:spacing w:before="0" w:after="283"/>
              <w:jc w:val="right"/>
              <w:rPr/>
            </w:pPr>
            <w:r>
              <w:rPr/>
              <w:t>31,385</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 </w:t>
            </w:r>
          </w:p>
        </w:tc>
        <w:tc>
          <w:tcPr>
            <w:tcW w:w="1189" w:type="dxa"/>
            <w:tcBorders/>
            <w:shd w:fill="EEEEEE" w:val="clear"/>
            <w:vAlign w:val="center"/>
          </w:tcPr>
          <w:p>
            <w:pPr>
              <w:pStyle w:val="TableContents"/>
              <w:bidi w:val="0"/>
              <w:spacing w:before="0" w:after="283"/>
              <w:jc w:val="right"/>
              <w:rPr/>
            </w:pPr>
            <w:r>
              <w:rPr/>
              <w:t>1,982,677</w:t>
            </w:r>
          </w:p>
        </w:tc>
        <w:tc>
          <w:tcPr>
            <w:tcW w:w="112" w:type="dxa"/>
            <w:tcBorders/>
            <w:shd w:fill="EEEEEE" w:val="clear"/>
            <w:vAlign w:val="center"/>
          </w:tcPr>
          <w:p>
            <w:pPr>
              <w:pStyle w:val="TableContents"/>
              <w:bidi w:val="0"/>
              <w:spacing w:before="0" w:after="283"/>
              <w:jc w:val="left"/>
              <w:rPr/>
            </w:pPr>
            <w:r>
              <w:rPr/>
              <w:t> </w:t>
            </w:r>
            <w:bookmarkStart w:id="222" w:name="xdx_405_eus-gaap--PaymentsOfFinancingCos"/>
            <w:bookmarkEnd w:id="222"/>
          </w:p>
        </w:tc>
      </w:tr>
      <w:tr>
        <w:trPr/>
        <w:tc>
          <w:tcPr>
            <w:tcW w:w="7218" w:type="dxa"/>
            <w:tcBorders/>
            <w:shd w:fill="FFFFFF" w:val="clear"/>
            <w:vAlign w:val="center"/>
          </w:tcPr>
          <w:p>
            <w:pPr>
              <w:pStyle w:val="TableContents"/>
              <w:bidi w:val="0"/>
              <w:spacing w:before="0" w:after="283"/>
              <w:jc w:val="left"/>
              <w:rPr/>
            </w:pPr>
            <w:r>
              <w:rPr/>
              <w:t>Payments of financing fees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right"/>
              <w:rPr/>
            </w:pPr>
            <w:r>
              <w:rPr/>
              <w:t>(796,035</w:t>
            </w:r>
          </w:p>
        </w:tc>
        <w:tc>
          <w:tcPr>
            <w:tcW w:w="112" w:type="dxa"/>
            <w:tcBorders/>
            <w:shd w:fill="FFFFFF" w:val="clear"/>
            <w:vAlign w:val="center"/>
          </w:tcPr>
          <w:p>
            <w:pPr>
              <w:pStyle w:val="TableContents"/>
              <w:bidi w:val="0"/>
              <w:spacing w:before="0" w:after="283"/>
              <w:jc w:val="left"/>
              <w:rPr/>
            </w:pPr>
            <w:r>
              <w:rPr/>
              <w:t>)</w:t>
            </w:r>
            <w:bookmarkStart w:id="223" w:name="xdx_40E_ecustom--PaymentOnInvestmentPaya"/>
            <w:bookmarkEnd w:id="223"/>
          </w:p>
        </w:tc>
      </w:tr>
      <w:tr>
        <w:trPr/>
        <w:tc>
          <w:tcPr>
            <w:tcW w:w="7218" w:type="dxa"/>
            <w:tcBorders/>
            <w:shd w:fill="EEEEEE" w:val="clear"/>
            <w:vAlign w:val="center"/>
          </w:tcPr>
          <w:p>
            <w:pPr>
              <w:pStyle w:val="TableContents"/>
              <w:bidi w:val="0"/>
              <w:spacing w:before="0" w:after="283"/>
              <w:jc w:val="left"/>
              <w:rPr/>
            </w:pPr>
            <w:r>
              <w:rPr/>
              <w:t>Payment on investment payable</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 </w:t>
            </w:r>
          </w:p>
        </w:tc>
        <w:tc>
          <w:tcPr>
            <w:tcW w:w="1189" w:type="dxa"/>
            <w:tcBorders/>
            <w:shd w:fill="EEEEEE" w:val="clear"/>
            <w:vAlign w:val="center"/>
          </w:tcPr>
          <w:p>
            <w:pPr>
              <w:pStyle w:val="TableContents"/>
              <w:bidi w:val="0"/>
              <w:spacing w:before="0" w:after="283"/>
              <w:jc w:val="right"/>
              <w:rPr/>
            </w:pPr>
            <w:r>
              <w:rPr/>
              <w:t>(1,500,000</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 </w:t>
            </w:r>
          </w:p>
        </w:tc>
        <w:tc>
          <w:tcPr>
            <w:tcW w:w="1189" w:type="dxa"/>
            <w:tcBorders/>
            <w:shd w:fill="EEEEEE" w:val="clear"/>
            <w:vAlign w:val="center"/>
          </w:tcPr>
          <w:p>
            <w:pPr>
              <w:pStyle w:val="TableContents"/>
              <w:bidi w:val="0"/>
              <w:spacing w:before="0" w:after="283"/>
              <w:jc w:val="right"/>
              <w:rPr/>
            </w:pPr>
            <w:r>
              <w:rPr/>
              <w:t>–</w:t>
            </w:r>
          </w:p>
        </w:tc>
        <w:tc>
          <w:tcPr>
            <w:tcW w:w="112" w:type="dxa"/>
            <w:tcBorders/>
            <w:shd w:fill="EEEEEE" w:val="clear"/>
            <w:vAlign w:val="center"/>
          </w:tcPr>
          <w:p>
            <w:pPr>
              <w:pStyle w:val="TableContents"/>
              <w:bidi w:val="0"/>
              <w:spacing w:before="0" w:after="283"/>
              <w:jc w:val="left"/>
              <w:rPr/>
            </w:pPr>
            <w:r>
              <w:rPr/>
              <w:t> </w:t>
            </w:r>
            <w:bookmarkStart w:id="224" w:name="xdx_407_eus-gaap--RepaymentsOfShortTermD"/>
            <w:bookmarkEnd w:id="224"/>
          </w:p>
        </w:tc>
      </w:tr>
      <w:tr>
        <w:trPr/>
        <w:tc>
          <w:tcPr>
            <w:tcW w:w="7218" w:type="dxa"/>
            <w:tcBorders/>
            <w:shd w:fill="FFFFFF" w:val="clear"/>
            <w:vAlign w:val="center"/>
          </w:tcPr>
          <w:p>
            <w:pPr>
              <w:pStyle w:val="TableContents"/>
              <w:bidi w:val="0"/>
              <w:spacing w:before="0" w:after="283"/>
              <w:jc w:val="left"/>
              <w:rPr/>
            </w:pPr>
            <w:r>
              <w:rPr/>
              <w:t>Payments on short-term loans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right"/>
              <w:rPr/>
            </w:pPr>
            <w:r>
              <w:rPr/>
              <w:t>(2,159,767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right"/>
              <w:rPr/>
            </w:pPr>
            <w:r>
              <w:rPr/>
              <w:t>(1,767,061</w:t>
            </w:r>
          </w:p>
        </w:tc>
        <w:tc>
          <w:tcPr>
            <w:tcW w:w="112" w:type="dxa"/>
            <w:tcBorders/>
            <w:shd w:fill="FFFFFF" w:val="clear"/>
            <w:vAlign w:val="center"/>
          </w:tcPr>
          <w:p>
            <w:pPr>
              <w:pStyle w:val="TableContents"/>
              <w:bidi w:val="0"/>
              <w:spacing w:before="0" w:after="283"/>
              <w:jc w:val="left"/>
              <w:rPr/>
            </w:pPr>
            <w:r>
              <w:rPr/>
              <w:t>)</w:t>
            </w:r>
            <w:bookmarkStart w:id="225" w:name="xdx_40D_eus-gaap--ProceedsFromIssuanceOf"/>
            <w:bookmarkEnd w:id="225"/>
          </w:p>
        </w:tc>
      </w:tr>
      <w:tr>
        <w:trPr/>
        <w:tc>
          <w:tcPr>
            <w:tcW w:w="7218" w:type="dxa"/>
            <w:tcBorders/>
            <w:shd w:fill="EEEEEE" w:val="clear"/>
            <w:vAlign w:val="center"/>
          </w:tcPr>
          <w:p>
            <w:pPr>
              <w:pStyle w:val="TableContents"/>
              <w:bidi w:val="0"/>
              <w:spacing w:before="0" w:after="283"/>
              <w:jc w:val="left"/>
              <w:rPr/>
            </w:pPr>
            <w:r>
              <w:rPr/>
              <w:t>Proceeds from long-term loans</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 </w:t>
            </w:r>
          </w:p>
        </w:tc>
        <w:tc>
          <w:tcPr>
            <w:tcW w:w="1189" w:type="dxa"/>
            <w:tcBorders/>
            <w:shd w:fill="EEEEEE" w:val="clear"/>
            <w:vAlign w:val="center"/>
          </w:tcPr>
          <w:p>
            <w:pPr>
              <w:pStyle w:val="TableContents"/>
              <w:bidi w:val="0"/>
              <w:spacing w:before="0" w:after="283"/>
              <w:jc w:val="right"/>
              <w:rPr/>
            </w:pPr>
            <w:r>
              <w:rPr/>
              <w:t>5,023,000</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 </w:t>
            </w:r>
          </w:p>
        </w:tc>
        <w:tc>
          <w:tcPr>
            <w:tcW w:w="1189" w:type="dxa"/>
            <w:tcBorders/>
            <w:shd w:fill="EEEEEE" w:val="clear"/>
            <w:vAlign w:val="center"/>
          </w:tcPr>
          <w:p>
            <w:pPr>
              <w:pStyle w:val="TableContents"/>
              <w:bidi w:val="0"/>
              <w:spacing w:before="0" w:after="283"/>
              <w:jc w:val="right"/>
              <w:rPr/>
            </w:pPr>
            <w:r>
              <w:rPr/>
              <w:t>13,031,912</w:t>
            </w:r>
          </w:p>
        </w:tc>
        <w:tc>
          <w:tcPr>
            <w:tcW w:w="112" w:type="dxa"/>
            <w:tcBorders/>
            <w:shd w:fill="EEEEEE" w:val="clear"/>
            <w:vAlign w:val="center"/>
          </w:tcPr>
          <w:p>
            <w:pPr>
              <w:pStyle w:val="TableContents"/>
              <w:bidi w:val="0"/>
              <w:spacing w:before="0" w:after="283"/>
              <w:jc w:val="left"/>
              <w:rPr/>
            </w:pPr>
            <w:r>
              <w:rPr/>
              <w:t> </w:t>
            </w:r>
            <w:bookmarkStart w:id="226" w:name="xdx_409_eus-gaap--RepaymentsOfOtherLongT"/>
            <w:bookmarkEnd w:id="226"/>
          </w:p>
        </w:tc>
      </w:tr>
      <w:tr>
        <w:trPr/>
        <w:tc>
          <w:tcPr>
            <w:tcW w:w="7218" w:type="dxa"/>
            <w:tcBorders/>
            <w:shd w:fill="FFFFFF" w:val="clear"/>
            <w:vAlign w:val="center"/>
          </w:tcPr>
          <w:p>
            <w:pPr>
              <w:pStyle w:val="TableContents"/>
              <w:bidi w:val="0"/>
              <w:spacing w:before="0" w:after="283"/>
              <w:jc w:val="left"/>
              <w:rPr/>
            </w:pPr>
            <w:r>
              <w:rPr/>
              <w:t>Payments on long-term loans</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9" w:type="dxa"/>
            <w:tcBorders>
              <w:bottom w:val="single" w:sz="8" w:space="0" w:color="000000"/>
            </w:tcBorders>
            <w:shd w:fill="FFFFFF" w:val="clear"/>
            <w:tcMar>
              <w:bottom w:w="28" w:type="dxa"/>
            </w:tcMar>
            <w:vAlign w:val="center"/>
          </w:tcPr>
          <w:p>
            <w:pPr>
              <w:pStyle w:val="TableContents"/>
              <w:bidi w:val="0"/>
              <w:spacing w:before="0" w:after="283"/>
              <w:jc w:val="right"/>
              <w:rPr/>
            </w:pPr>
            <w:r>
              <w:rPr/>
              <w:t>(8,600,000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9" w:type="dxa"/>
            <w:tcBorders>
              <w:bottom w:val="single" w:sz="8" w:space="0" w:color="000000"/>
            </w:tcBorders>
            <w:shd w:fill="FFFFFF" w:val="clear"/>
            <w:tcMar>
              <w:bottom w:w="28" w:type="dxa"/>
            </w:tcMar>
            <w:vAlign w:val="center"/>
          </w:tcPr>
          <w:p>
            <w:pPr>
              <w:pStyle w:val="TableContents"/>
              <w:bidi w:val="0"/>
              <w:spacing w:before="0" w:after="283"/>
              <w:jc w:val="right"/>
              <w:rPr/>
            </w:pPr>
            <w:r>
              <w:rPr/>
              <w:t>(487,815</w:t>
            </w:r>
          </w:p>
        </w:tc>
        <w:tc>
          <w:tcPr>
            <w:tcW w:w="112" w:type="dxa"/>
            <w:tcBorders/>
            <w:shd w:fill="FFFFFF" w:val="clear"/>
            <w:vAlign w:val="center"/>
          </w:tcPr>
          <w:p>
            <w:pPr>
              <w:pStyle w:val="TableContents"/>
              <w:bidi w:val="0"/>
              <w:spacing w:before="0" w:after="283"/>
              <w:jc w:val="left"/>
              <w:rPr/>
            </w:pPr>
            <w:r>
              <w:rPr/>
              <w:t>)</w:t>
            </w:r>
            <w:bookmarkStart w:id="227" w:name="xdx_401_eus-gaap--NetCashProvidedByUsedI"/>
            <w:bookmarkEnd w:id="227"/>
          </w:p>
        </w:tc>
      </w:tr>
      <w:tr>
        <w:trPr/>
        <w:tc>
          <w:tcPr>
            <w:tcW w:w="7218" w:type="dxa"/>
            <w:tcBorders/>
            <w:shd w:fill="EEEEEE" w:val="clear"/>
            <w:vAlign w:val="center"/>
          </w:tcPr>
          <w:p>
            <w:pPr>
              <w:pStyle w:val="TableContents"/>
              <w:bidi w:val="0"/>
              <w:spacing w:before="0" w:after="283"/>
              <w:jc w:val="left"/>
              <w:rPr/>
            </w:pPr>
            <w:r>
              <w:rPr/>
              <w:t>Net cash (used in ) provided by financing activities</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 </w:t>
            </w:r>
          </w:p>
        </w:tc>
        <w:tc>
          <w:tcPr>
            <w:tcW w:w="1189" w:type="dxa"/>
            <w:tcBorders/>
            <w:shd w:fill="EEEEEE" w:val="clear"/>
            <w:vAlign w:val="center"/>
          </w:tcPr>
          <w:p>
            <w:pPr>
              <w:pStyle w:val="TableContents"/>
              <w:bidi w:val="0"/>
              <w:spacing w:before="0" w:after="283"/>
              <w:jc w:val="right"/>
              <w:rPr/>
            </w:pPr>
            <w:r>
              <w:rPr/>
              <w:t>(7,153,620</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 </w:t>
            </w:r>
          </w:p>
        </w:tc>
        <w:tc>
          <w:tcPr>
            <w:tcW w:w="1189" w:type="dxa"/>
            <w:tcBorders/>
            <w:shd w:fill="EEEEEE" w:val="clear"/>
            <w:vAlign w:val="center"/>
          </w:tcPr>
          <w:p>
            <w:pPr>
              <w:pStyle w:val="TableContents"/>
              <w:bidi w:val="0"/>
              <w:spacing w:before="0" w:after="283"/>
              <w:jc w:val="right"/>
              <w:rPr/>
            </w:pPr>
            <w:r>
              <w:rPr/>
              <w:t>11,911,916</w:t>
            </w:r>
          </w:p>
        </w:tc>
        <w:tc>
          <w:tcPr>
            <w:tcW w:w="112" w:type="dxa"/>
            <w:tcBorders/>
            <w:shd w:fill="EEEEEE" w:val="clear"/>
            <w:vAlign w:val="center"/>
          </w:tcPr>
          <w:p>
            <w:pPr>
              <w:pStyle w:val="TableContents"/>
              <w:bidi w:val="0"/>
              <w:spacing w:before="0" w:after="283"/>
              <w:jc w:val="left"/>
              <w:rPr/>
            </w:pPr>
            <w:r>
              <w:rPr/>
              <w:t> </w:t>
            </w:r>
          </w:p>
        </w:tc>
      </w:tr>
      <w:tr>
        <w:trPr/>
        <w:tc>
          <w:tcPr>
            <w:tcW w:w="721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228" w:name="xdx_404_eus-gaap--EffectOfExchangeRateOn"/>
            <w:bookmarkEnd w:id="228"/>
          </w:p>
        </w:tc>
      </w:tr>
      <w:tr>
        <w:trPr/>
        <w:tc>
          <w:tcPr>
            <w:tcW w:w="7218" w:type="dxa"/>
            <w:tcBorders/>
            <w:shd w:fill="EEEEEE" w:val="clear"/>
            <w:vAlign w:val="center"/>
          </w:tcPr>
          <w:p>
            <w:pPr>
              <w:pStyle w:val="TableContents"/>
              <w:bidi w:val="0"/>
              <w:spacing w:before="0" w:after="283"/>
              <w:jc w:val="left"/>
              <w:rPr/>
            </w:pPr>
            <w:r>
              <w:rPr/>
              <w:t>EFFECT OF EXCHANGE RATE ON CASH</w:t>
            </w:r>
          </w:p>
        </w:tc>
        <w:tc>
          <w:tcPr>
            <w:tcW w:w="60" w:type="dxa"/>
            <w:tcBorders/>
            <w:shd w:fill="EEEEEE" w:val="clear"/>
            <w:vAlign w:val="center"/>
          </w:tcPr>
          <w:p>
            <w:pPr>
              <w:pStyle w:val="TableContents"/>
              <w:bidi w:val="0"/>
              <w:spacing w:before="0" w:after="283"/>
              <w:jc w:val="left"/>
              <w:rPr/>
            </w:pPr>
            <w:r>
              <w:rPr/>
              <w:t> </w:t>
            </w:r>
          </w:p>
        </w:tc>
        <w:tc>
          <w:tcPr>
            <w:tcW w:w="141"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89" w:type="dxa"/>
            <w:tcBorders>
              <w:bottom w:val="single" w:sz="8" w:space="0" w:color="000000"/>
            </w:tcBorders>
            <w:shd w:fill="EEEEEE" w:val="clear"/>
            <w:tcMar>
              <w:bottom w:w="28" w:type="dxa"/>
            </w:tcMar>
            <w:vAlign w:val="center"/>
          </w:tcPr>
          <w:p>
            <w:pPr>
              <w:pStyle w:val="TableContents"/>
              <w:bidi w:val="0"/>
              <w:spacing w:before="0" w:after="283"/>
              <w:jc w:val="right"/>
              <w:rPr/>
            </w:pPr>
            <w:r>
              <w:rPr/>
              <w:t>(3,141</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41"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89" w:type="dxa"/>
            <w:tcBorders>
              <w:bottom w:val="single" w:sz="8" w:space="0" w:color="000000"/>
            </w:tcBorders>
            <w:shd w:fill="EEEEEE" w:val="clear"/>
            <w:tcMar>
              <w:bottom w:w="28" w:type="dxa"/>
            </w:tcMar>
            <w:vAlign w:val="center"/>
          </w:tcPr>
          <w:p>
            <w:pPr>
              <w:pStyle w:val="TableContents"/>
              <w:bidi w:val="0"/>
              <w:spacing w:before="0" w:after="283"/>
              <w:jc w:val="right"/>
              <w:rPr/>
            </w:pPr>
            <w:r>
              <w:rPr/>
              <w:t>717</w:t>
            </w:r>
          </w:p>
        </w:tc>
        <w:tc>
          <w:tcPr>
            <w:tcW w:w="112" w:type="dxa"/>
            <w:tcBorders/>
            <w:shd w:fill="EEEEEE" w:val="clear"/>
            <w:vAlign w:val="center"/>
          </w:tcPr>
          <w:p>
            <w:pPr>
              <w:pStyle w:val="TableContents"/>
              <w:bidi w:val="0"/>
              <w:spacing w:before="0" w:after="283"/>
              <w:jc w:val="left"/>
              <w:rPr/>
            </w:pPr>
            <w:r>
              <w:rPr/>
              <w:t> </w:t>
            </w:r>
          </w:p>
        </w:tc>
      </w:tr>
      <w:tr>
        <w:trPr/>
        <w:tc>
          <w:tcPr>
            <w:tcW w:w="721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229" w:name="xdx_404_eus-gaap--CashCashEquivalentsRes"/>
            <w:bookmarkEnd w:id="229"/>
          </w:p>
        </w:tc>
      </w:tr>
      <w:tr>
        <w:trPr/>
        <w:tc>
          <w:tcPr>
            <w:tcW w:w="7218" w:type="dxa"/>
            <w:tcBorders/>
            <w:shd w:fill="EEEEEE" w:val="clear"/>
            <w:vAlign w:val="center"/>
          </w:tcPr>
          <w:p>
            <w:pPr>
              <w:pStyle w:val="TableContents"/>
              <w:bidi w:val="0"/>
              <w:spacing w:before="0" w:after="283"/>
              <w:jc w:val="left"/>
              <w:rPr/>
            </w:pPr>
            <w:r>
              <w:rPr/>
              <w:t>CHANGES IN CASH</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 </w:t>
            </w:r>
          </w:p>
        </w:tc>
        <w:tc>
          <w:tcPr>
            <w:tcW w:w="1189" w:type="dxa"/>
            <w:tcBorders/>
            <w:shd w:fill="EEEEEE" w:val="clear"/>
            <w:vAlign w:val="center"/>
          </w:tcPr>
          <w:p>
            <w:pPr>
              <w:pStyle w:val="TableContents"/>
              <w:bidi w:val="0"/>
              <w:spacing w:before="0" w:after="283"/>
              <w:jc w:val="right"/>
              <w:rPr/>
            </w:pPr>
            <w:r>
              <w:rPr/>
              <w:t>1,913,695</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 </w:t>
            </w:r>
          </w:p>
        </w:tc>
        <w:tc>
          <w:tcPr>
            <w:tcW w:w="1189" w:type="dxa"/>
            <w:tcBorders/>
            <w:shd w:fill="EEEEEE" w:val="clear"/>
            <w:vAlign w:val="center"/>
          </w:tcPr>
          <w:p>
            <w:pPr>
              <w:pStyle w:val="TableContents"/>
              <w:bidi w:val="0"/>
              <w:spacing w:before="0" w:after="283"/>
              <w:jc w:val="right"/>
              <w:rPr/>
            </w:pPr>
            <w:r>
              <w:rPr/>
              <w:t>(4,829,758</w:t>
            </w:r>
          </w:p>
        </w:tc>
        <w:tc>
          <w:tcPr>
            <w:tcW w:w="112" w:type="dxa"/>
            <w:tcBorders/>
            <w:shd w:fill="EEEEEE" w:val="clear"/>
            <w:vAlign w:val="center"/>
          </w:tcPr>
          <w:p>
            <w:pPr>
              <w:pStyle w:val="TableContents"/>
              <w:bidi w:val="0"/>
              <w:spacing w:before="0" w:after="283"/>
              <w:jc w:val="left"/>
              <w:rPr/>
            </w:pPr>
            <w:r>
              <w:rPr/>
              <w:t>)</w:t>
            </w:r>
          </w:p>
        </w:tc>
      </w:tr>
      <w:tr>
        <w:trPr/>
        <w:tc>
          <w:tcPr>
            <w:tcW w:w="721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230" w:name="xdx_40D_eus-gaap--CashCashEquivalentsRes"/>
            <w:bookmarkEnd w:id="230"/>
          </w:p>
        </w:tc>
      </w:tr>
      <w:tr>
        <w:trPr/>
        <w:tc>
          <w:tcPr>
            <w:tcW w:w="7218" w:type="dxa"/>
            <w:tcBorders/>
            <w:shd w:fill="EEEEEE" w:val="clear"/>
            <w:vAlign w:val="center"/>
          </w:tcPr>
          <w:p>
            <w:pPr>
              <w:pStyle w:val="TableContents"/>
              <w:bidi w:val="0"/>
              <w:spacing w:before="0" w:after="283"/>
              <w:jc w:val="left"/>
              <w:rPr/>
            </w:pPr>
            <w:r>
              <w:rPr/>
              <w:t>CASH AND CASH EQUIVALENT, beginning of period</w:t>
            </w:r>
          </w:p>
        </w:tc>
        <w:tc>
          <w:tcPr>
            <w:tcW w:w="60" w:type="dxa"/>
            <w:tcBorders/>
            <w:shd w:fill="EEEEEE" w:val="clear"/>
            <w:vAlign w:val="center"/>
          </w:tcPr>
          <w:p>
            <w:pPr>
              <w:pStyle w:val="TableContents"/>
              <w:bidi w:val="0"/>
              <w:spacing w:before="0" w:after="283"/>
              <w:jc w:val="left"/>
              <w:rPr/>
            </w:pPr>
            <w:r>
              <w:rPr/>
              <w:t> </w:t>
            </w:r>
          </w:p>
        </w:tc>
        <w:tc>
          <w:tcPr>
            <w:tcW w:w="141"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89" w:type="dxa"/>
            <w:tcBorders>
              <w:bottom w:val="single" w:sz="8" w:space="0" w:color="000000"/>
            </w:tcBorders>
            <w:shd w:fill="EEEEEE" w:val="clear"/>
            <w:tcMar>
              <w:bottom w:w="28" w:type="dxa"/>
            </w:tcMar>
            <w:vAlign w:val="center"/>
          </w:tcPr>
          <w:p>
            <w:pPr>
              <w:pStyle w:val="TableContents"/>
              <w:bidi w:val="0"/>
              <w:spacing w:before="0" w:after="283"/>
              <w:jc w:val="right"/>
              <w:rPr/>
            </w:pPr>
            <w:r>
              <w:rPr/>
              <w:t>1,821,947</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1"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89" w:type="dxa"/>
            <w:tcBorders>
              <w:bottom w:val="single" w:sz="8" w:space="0" w:color="000000"/>
            </w:tcBorders>
            <w:shd w:fill="EEEEEE" w:val="clear"/>
            <w:tcMar>
              <w:bottom w:w="28" w:type="dxa"/>
            </w:tcMar>
            <w:vAlign w:val="center"/>
          </w:tcPr>
          <w:p>
            <w:pPr>
              <w:pStyle w:val="TableContents"/>
              <w:bidi w:val="0"/>
              <w:spacing w:before="0" w:after="283"/>
              <w:jc w:val="right"/>
              <w:rPr/>
            </w:pPr>
            <w:r>
              <w:rPr/>
              <w:t>6,651,705</w:t>
            </w:r>
          </w:p>
        </w:tc>
        <w:tc>
          <w:tcPr>
            <w:tcW w:w="112" w:type="dxa"/>
            <w:tcBorders/>
            <w:shd w:fill="EEEEEE" w:val="clear"/>
            <w:vAlign w:val="center"/>
          </w:tcPr>
          <w:p>
            <w:pPr>
              <w:pStyle w:val="TableContents"/>
              <w:bidi w:val="0"/>
              <w:spacing w:before="0" w:after="283"/>
              <w:jc w:val="left"/>
              <w:rPr/>
            </w:pPr>
            <w:r>
              <w:rPr/>
              <w:t> </w:t>
            </w:r>
          </w:p>
        </w:tc>
      </w:tr>
      <w:tr>
        <w:trPr/>
        <w:tc>
          <w:tcPr>
            <w:tcW w:w="721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231" w:name="xdx_408_eus-gaap--CashCashEquivalentsRes"/>
            <w:bookmarkEnd w:id="231"/>
          </w:p>
        </w:tc>
      </w:tr>
      <w:tr>
        <w:trPr/>
        <w:tc>
          <w:tcPr>
            <w:tcW w:w="7218" w:type="dxa"/>
            <w:tcBorders/>
            <w:shd w:fill="EEEEEE" w:val="clear"/>
            <w:vAlign w:val="center"/>
          </w:tcPr>
          <w:p>
            <w:pPr>
              <w:pStyle w:val="TableContents"/>
              <w:bidi w:val="0"/>
              <w:spacing w:before="0" w:after="283"/>
              <w:jc w:val="left"/>
              <w:rPr/>
            </w:pPr>
            <w:r>
              <w:rPr/>
              <w:t>CASH AND CASH EQUIVALENT, end of period</w:t>
            </w:r>
          </w:p>
        </w:tc>
        <w:tc>
          <w:tcPr>
            <w:tcW w:w="60" w:type="dxa"/>
            <w:tcBorders/>
            <w:shd w:fill="EEEEEE" w:val="clear"/>
            <w:vAlign w:val="center"/>
          </w:tcPr>
          <w:p>
            <w:pPr>
              <w:pStyle w:val="TableContents"/>
              <w:bidi w:val="0"/>
              <w:spacing w:before="0" w:after="283"/>
              <w:jc w:val="left"/>
              <w:rPr/>
            </w:pPr>
            <w:r>
              <w:rPr/>
              <w:t> </w:t>
            </w:r>
          </w:p>
        </w:tc>
        <w:tc>
          <w:tcPr>
            <w:tcW w:w="141"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189" w:type="dxa"/>
            <w:tcBorders>
              <w:bottom w:val="double" w:sz="6" w:space="0" w:color="000000"/>
            </w:tcBorders>
            <w:shd w:fill="EEEEEE" w:val="clear"/>
            <w:tcMar>
              <w:bottom w:w="28" w:type="dxa"/>
            </w:tcMar>
            <w:vAlign w:val="center"/>
          </w:tcPr>
          <w:p>
            <w:pPr>
              <w:pStyle w:val="TableContents"/>
              <w:bidi w:val="0"/>
              <w:spacing w:before="0" w:after="283"/>
              <w:jc w:val="right"/>
              <w:rPr/>
            </w:pPr>
            <w:r>
              <w:rPr/>
              <w:t>3,735,642</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1"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189" w:type="dxa"/>
            <w:tcBorders>
              <w:bottom w:val="double" w:sz="6" w:space="0" w:color="000000"/>
            </w:tcBorders>
            <w:shd w:fill="EEEEEE" w:val="clear"/>
            <w:tcMar>
              <w:bottom w:w="28" w:type="dxa"/>
            </w:tcMar>
            <w:vAlign w:val="center"/>
          </w:tcPr>
          <w:p>
            <w:pPr>
              <w:pStyle w:val="TableContents"/>
              <w:bidi w:val="0"/>
              <w:spacing w:before="0" w:after="283"/>
              <w:jc w:val="right"/>
              <w:rPr/>
            </w:pPr>
            <w:r>
              <w:rPr/>
              <w:t>1,821,947</w:t>
            </w:r>
          </w:p>
        </w:tc>
        <w:tc>
          <w:tcPr>
            <w:tcW w:w="112" w:type="dxa"/>
            <w:tcBorders/>
            <w:shd w:fill="EEEEEE" w:val="clear"/>
            <w:vAlign w:val="center"/>
          </w:tcPr>
          <w:p>
            <w:pPr>
              <w:pStyle w:val="TableContents"/>
              <w:bidi w:val="0"/>
              <w:spacing w:before="0" w:after="283"/>
              <w:jc w:val="left"/>
              <w:rPr/>
            </w:pPr>
            <w:r>
              <w:rPr/>
              <w:t> </w:t>
            </w:r>
          </w:p>
        </w:tc>
      </w:tr>
      <w:tr>
        <w:trPr/>
        <w:tc>
          <w:tcPr>
            <w:tcW w:w="721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232" w:name="xdx_40C_eus-gaap--SupplementalCashFlowIn"/>
            <w:bookmarkEnd w:id="232"/>
          </w:p>
        </w:tc>
      </w:tr>
      <w:tr>
        <w:trPr/>
        <w:tc>
          <w:tcPr>
            <w:tcW w:w="7218" w:type="dxa"/>
            <w:tcBorders/>
            <w:shd w:fill="EEEEEE" w:val="clear"/>
            <w:vAlign w:val="center"/>
          </w:tcPr>
          <w:p>
            <w:pPr>
              <w:pStyle w:val="TableContents"/>
              <w:bidi w:val="0"/>
              <w:spacing w:before="0" w:after="283"/>
              <w:jc w:val="left"/>
              <w:rPr/>
            </w:pPr>
            <w:r>
              <w:rPr/>
              <w:t>SUPPLEMENTAL CASH FLOW INFORMATION:</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 </w:t>
            </w:r>
          </w:p>
        </w:tc>
        <w:tc>
          <w:tcPr>
            <w:tcW w:w="1189"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 </w:t>
            </w:r>
          </w:p>
        </w:tc>
        <w:tc>
          <w:tcPr>
            <w:tcW w:w="1189" w:type="dxa"/>
            <w:tcBorders/>
            <w:shd w:fill="EEEEEE" w:val="clear"/>
            <w:vAlign w:val="center"/>
          </w:tcPr>
          <w:p>
            <w:pPr>
              <w:pStyle w:val="TableContents"/>
              <w:bidi w:val="0"/>
              <w:spacing w:before="0" w:after="283"/>
              <w:jc w:val="right"/>
              <w:rPr/>
            </w:pPr>
            <w:r>
              <w:rPr/>
              <w:t> </w:t>
            </w:r>
          </w:p>
        </w:tc>
        <w:tc>
          <w:tcPr>
            <w:tcW w:w="112" w:type="dxa"/>
            <w:tcBorders/>
            <w:shd w:fill="EEEEEE" w:val="clear"/>
            <w:vAlign w:val="center"/>
          </w:tcPr>
          <w:p>
            <w:pPr>
              <w:pStyle w:val="TableContents"/>
              <w:bidi w:val="0"/>
              <w:spacing w:before="0" w:after="283"/>
              <w:jc w:val="left"/>
              <w:rPr/>
            </w:pPr>
            <w:r>
              <w:rPr/>
              <w:t> </w:t>
            </w:r>
            <w:bookmarkStart w:id="233" w:name="xdx_408_eus-gaap--IncomeTaxesPaidNet_i01"/>
            <w:bookmarkEnd w:id="233"/>
          </w:p>
        </w:tc>
      </w:tr>
      <w:tr>
        <w:trPr/>
        <w:tc>
          <w:tcPr>
            <w:tcW w:w="7218" w:type="dxa"/>
            <w:tcBorders/>
            <w:shd w:fill="FFFFFF" w:val="clear"/>
            <w:vAlign w:val="center"/>
          </w:tcPr>
          <w:p>
            <w:pPr>
              <w:pStyle w:val="TableContents"/>
              <w:bidi w:val="0"/>
              <w:spacing w:before="0" w:after="283"/>
              <w:jc w:val="left"/>
              <w:rPr/>
            </w:pPr>
            <w:r>
              <w:rPr/>
              <w:t>Cash paid for income tax</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89" w:type="dxa"/>
            <w:tcBorders>
              <w:bottom w:val="double" w:sz="6" w:space="0" w:color="000000"/>
            </w:tcBorders>
            <w:shd w:fill="FFFFFF" w:val="clear"/>
            <w:tcMar>
              <w:bottom w:w="28" w:type="dxa"/>
            </w:tcMar>
            <w:vAlign w:val="center"/>
          </w:tcPr>
          <w:p>
            <w:pPr>
              <w:pStyle w:val="TableContents"/>
              <w:bidi w:val="0"/>
              <w:spacing w:before="0" w:after="283"/>
              <w:jc w:val="right"/>
              <w:rPr/>
            </w:pPr>
            <w:r>
              <w:rPr/>
              <w:t>55,000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89" w:type="dxa"/>
            <w:tcBorders>
              <w:bottom w:val="double" w:sz="6" w:space="0" w:color="000000"/>
            </w:tcBorders>
            <w:shd w:fill="FFFFFF" w:val="clear"/>
            <w:tcMar>
              <w:bottom w:w="28" w:type="dxa"/>
            </w:tcMar>
            <w:vAlign w:val="center"/>
          </w:tcPr>
          <w:p>
            <w:pPr>
              <w:pStyle w:val="TableContents"/>
              <w:bidi w:val="0"/>
              <w:spacing w:before="0" w:after="283"/>
              <w:jc w:val="right"/>
              <w:rPr/>
            </w:pPr>
            <w:r>
              <w:rPr/>
              <w:t>1,851,652</w:t>
            </w:r>
          </w:p>
        </w:tc>
        <w:tc>
          <w:tcPr>
            <w:tcW w:w="112" w:type="dxa"/>
            <w:tcBorders/>
            <w:shd w:fill="FFFFFF" w:val="clear"/>
            <w:vAlign w:val="center"/>
          </w:tcPr>
          <w:p>
            <w:pPr>
              <w:pStyle w:val="TableContents"/>
              <w:bidi w:val="0"/>
              <w:spacing w:before="0" w:after="283"/>
              <w:jc w:val="left"/>
              <w:rPr/>
            </w:pPr>
            <w:r>
              <w:rPr/>
              <w:t> </w:t>
            </w:r>
            <w:bookmarkStart w:id="234" w:name="xdx_40B_eus-gaap--InterestPaidNet_i01_d0"/>
            <w:bookmarkEnd w:id="234"/>
          </w:p>
        </w:tc>
      </w:tr>
      <w:tr>
        <w:trPr/>
        <w:tc>
          <w:tcPr>
            <w:tcW w:w="7218" w:type="dxa"/>
            <w:tcBorders/>
            <w:shd w:fill="EEEEEE" w:val="clear"/>
            <w:vAlign w:val="center"/>
          </w:tcPr>
          <w:p>
            <w:pPr>
              <w:pStyle w:val="TableContents"/>
              <w:bidi w:val="0"/>
              <w:spacing w:before="0" w:after="283"/>
              <w:jc w:val="left"/>
              <w:rPr/>
            </w:pPr>
            <w:r>
              <w:rPr/>
              <w:t>Cash paid for interest</w:t>
            </w:r>
          </w:p>
        </w:tc>
        <w:tc>
          <w:tcPr>
            <w:tcW w:w="60" w:type="dxa"/>
            <w:tcBorders/>
            <w:shd w:fill="EEEEEE" w:val="clear"/>
            <w:vAlign w:val="center"/>
          </w:tcPr>
          <w:p>
            <w:pPr>
              <w:pStyle w:val="TableContents"/>
              <w:bidi w:val="0"/>
              <w:spacing w:before="0" w:after="283"/>
              <w:jc w:val="left"/>
              <w:rPr/>
            </w:pPr>
            <w:r>
              <w:rPr/>
              <w:t> </w:t>
            </w:r>
          </w:p>
        </w:tc>
        <w:tc>
          <w:tcPr>
            <w:tcW w:w="141"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189" w:type="dxa"/>
            <w:tcBorders>
              <w:bottom w:val="double" w:sz="6" w:space="0" w:color="000000"/>
            </w:tcBorders>
            <w:shd w:fill="EEEEEE" w:val="clear"/>
            <w:tcMar>
              <w:bottom w:w="28" w:type="dxa"/>
            </w:tcM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1"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189" w:type="dxa"/>
            <w:tcBorders>
              <w:bottom w:val="double" w:sz="6" w:space="0" w:color="000000"/>
            </w:tcBorders>
            <w:shd w:fill="EEEEEE" w:val="clear"/>
            <w:tcMar>
              <w:bottom w:w="28" w:type="dxa"/>
            </w:tcMar>
            <w:vAlign w:val="center"/>
          </w:tcPr>
          <w:p>
            <w:pPr>
              <w:pStyle w:val="TableContents"/>
              <w:bidi w:val="0"/>
              <w:spacing w:before="0" w:after="283"/>
              <w:jc w:val="right"/>
              <w:rPr/>
            </w:pPr>
            <w:r>
              <w:rPr/>
              <w:t>–</w:t>
            </w:r>
          </w:p>
        </w:tc>
        <w:tc>
          <w:tcPr>
            <w:tcW w:w="112" w:type="dxa"/>
            <w:tcBorders/>
            <w:shd w:fill="EEEEEE" w:val="clear"/>
            <w:vAlign w:val="center"/>
          </w:tcPr>
          <w:p>
            <w:pPr>
              <w:pStyle w:val="TableContents"/>
              <w:bidi w:val="0"/>
              <w:spacing w:before="0" w:after="283"/>
              <w:jc w:val="left"/>
              <w:rPr/>
            </w:pPr>
            <w:r>
              <w:rPr/>
              <w:t> </w:t>
            </w:r>
          </w:p>
        </w:tc>
      </w:tr>
      <w:tr>
        <w:trPr/>
        <w:tc>
          <w:tcPr>
            <w:tcW w:w="721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235" w:name="xdx_40B_eus-gaap--NoncashInvestingAndFin"/>
            <w:bookmarkEnd w:id="235"/>
          </w:p>
        </w:tc>
      </w:tr>
      <w:tr>
        <w:trPr/>
        <w:tc>
          <w:tcPr>
            <w:tcW w:w="7218" w:type="dxa"/>
            <w:tcBorders/>
            <w:shd w:fill="EEEEEE" w:val="clear"/>
            <w:vAlign w:val="center"/>
          </w:tcPr>
          <w:p>
            <w:pPr>
              <w:pStyle w:val="TableContents"/>
              <w:bidi w:val="0"/>
              <w:spacing w:before="0" w:after="283"/>
              <w:jc w:val="left"/>
              <w:rPr/>
            </w:pPr>
            <w:r>
              <w:rPr/>
              <w:t>SUPPLEMENTAL DISCLOSURE OF NON-CASH INVESTING AND FINANCING TRANSACTIONS:</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 </w:t>
            </w:r>
          </w:p>
        </w:tc>
        <w:tc>
          <w:tcPr>
            <w:tcW w:w="1189"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 </w:t>
            </w:r>
          </w:p>
        </w:tc>
        <w:tc>
          <w:tcPr>
            <w:tcW w:w="1189" w:type="dxa"/>
            <w:tcBorders/>
            <w:shd w:fill="EEEEEE" w:val="clear"/>
            <w:vAlign w:val="center"/>
          </w:tcPr>
          <w:p>
            <w:pPr>
              <w:pStyle w:val="TableContents"/>
              <w:bidi w:val="0"/>
              <w:spacing w:before="0" w:after="283"/>
              <w:jc w:val="right"/>
              <w:rPr/>
            </w:pPr>
            <w:r>
              <w:rPr/>
              <w:t> </w:t>
            </w:r>
          </w:p>
        </w:tc>
        <w:tc>
          <w:tcPr>
            <w:tcW w:w="112" w:type="dxa"/>
            <w:tcBorders/>
            <w:shd w:fill="EEEEEE" w:val="clear"/>
            <w:vAlign w:val="center"/>
          </w:tcPr>
          <w:p>
            <w:pPr>
              <w:pStyle w:val="TableContents"/>
              <w:bidi w:val="0"/>
              <w:spacing w:before="0" w:after="283"/>
              <w:jc w:val="left"/>
              <w:rPr/>
            </w:pPr>
            <w:r>
              <w:rPr/>
              <w:t> </w:t>
            </w:r>
            <w:bookmarkStart w:id="236" w:name="xdx_400_eus-gaap--StockIssued1_i01_d0_zy"/>
            <w:bookmarkEnd w:id="236"/>
          </w:p>
        </w:tc>
      </w:tr>
      <w:tr>
        <w:trPr/>
        <w:tc>
          <w:tcPr>
            <w:tcW w:w="7218" w:type="dxa"/>
            <w:tcBorders/>
            <w:shd w:fill="FFFFFF" w:val="clear"/>
            <w:vAlign w:val="center"/>
          </w:tcPr>
          <w:p>
            <w:pPr>
              <w:pStyle w:val="TableContents"/>
              <w:bidi w:val="0"/>
              <w:spacing w:before="0" w:after="283"/>
              <w:jc w:val="left"/>
              <w:rPr/>
            </w:pPr>
            <w:r>
              <w:rPr/>
              <w:t>Shares issued for acquisition</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118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1189" w:type="dxa"/>
            <w:tcBorders/>
            <w:shd w:fill="FFFFFF" w:val="clear"/>
            <w:vAlign w:val="center"/>
          </w:tcPr>
          <w:p>
            <w:pPr>
              <w:pStyle w:val="TableContents"/>
              <w:bidi w:val="0"/>
              <w:spacing w:before="0" w:after="283"/>
              <w:jc w:val="right"/>
              <w:rPr/>
            </w:pPr>
            <w:r>
              <w:rPr/>
              <w:t>5,528,373</w:t>
            </w:r>
          </w:p>
        </w:tc>
        <w:tc>
          <w:tcPr>
            <w:tcW w:w="112" w:type="dxa"/>
            <w:tcBorders/>
            <w:shd w:fill="FFFFFF" w:val="clear"/>
            <w:vAlign w:val="center"/>
          </w:tcPr>
          <w:p>
            <w:pPr>
              <w:pStyle w:val="TableContents"/>
              <w:bidi w:val="0"/>
              <w:spacing w:before="0" w:after="283"/>
              <w:jc w:val="left"/>
              <w:rPr/>
            </w:pPr>
            <w:r>
              <w:rPr/>
              <w:t> </w:t>
            </w:r>
            <w:bookmarkStart w:id="237" w:name="xdx_407_eus-gaap--NotesIssued1_i01_d0_z7"/>
            <w:bookmarkEnd w:id="237"/>
          </w:p>
        </w:tc>
      </w:tr>
      <w:tr>
        <w:trPr/>
        <w:tc>
          <w:tcPr>
            <w:tcW w:w="7218" w:type="dxa"/>
            <w:tcBorders/>
            <w:shd w:fill="EEEEEE" w:val="clear"/>
            <w:vAlign w:val="center"/>
          </w:tcPr>
          <w:p>
            <w:pPr>
              <w:pStyle w:val="TableContents"/>
              <w:bidi w:val="0"/>
              <w:spacing w:before="0" w:after="283"/>
              <w:jc w:val="left"/>
              <w:rPr/>
            </w:pPr>
            <w:r>
              <w:rPr/>
              <w:t>Promissory note issued for acquisition</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w:t>
            </w:r>
          </w:p>
        </w:tc>
        <w:tc>
          <w:tcPr>
            <w:tcW w:w="1189" w:type="dxa"/>
            <w:tcBorders/>
            <w:shd w:fill="EEEEEE" w:val="cle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w:t>
            </w:r>
          </w:p>
        </w:tc>
        <w:tc>
          <w:tcPr>
            <w:tcW w:w="1189" w:type="dxa"/>
            <w:tcBorders/>
            <w:shd w:fill="EEEEEE" w:val="clear"/>
            <w:vAlign w:val="center"/>
          </w:tcPr>
          <w:p>
            <w:pPr>
              <w:pStyle w:val="TableContents"/>
              <w:bidi w:val="0"/>
              <w:spacing w:before="0" w:after="283"/>
              <w:jc w:val="right"/>
              <w:rPr/>
            </w:pPr>
            <w:r>
              <w:rPr/>
              <w:t>3,600,627</w:t>
            </w:r>
          </w:p>
        </w:tc>
        <w:tc>
          <w:tcPr>
            <w:tcW w:w="112" w:type="dxa"/>
            <w:tcBorders/>
            <w:shd w:fill="EEEEEE" w:val="clear"/>
            <w:vAlign w:val="center"/>
          </w:tcPr>
          <w:p>
            <w:pPr>
              <w:pStyle w:val="TableContents"/>
              <w:bidi w:val="0"/>
              <w:spacing w:before="0" w:after="283"/>
              <w:jc w:val="left"/>
              <w:rPr/>
            </w:pPr>
            <w:r>
              <w:rPr/>
              <w:t> </w:t>
            </w:r>
            <w:bookmarkStart w:id="238" w:name="xdx_40B_ecustom--InvestmentPayableForAcq"/>
            <w:bookmarkEnd w:id="238"/>
          </w:p>
        </w:tc>
      </w:tr>
      <w:tr>
        <w:trPr/>
        <w:tc>
          <w:tcPr>
            <w:tcW w:w="7218" w:type="dxa"/>
            <w:tcBorders/>
            <w:shd w:fill="FFFFFF" w:val="clear"/>
            <w:vAlign w:val="center"/>
          </w:tcPr>
          <w:p>
            <w:pPr>
              <w:pStyle w:val="TableContents"/>
              <w:bidi w:val="0"/>
              <w:spacing w:before="0" w:after="283"/>
              <w:jc w:val="left"/>
              <w:rPr/>
            </w:pPr>
            <w:r>
              <w:rPr/>
              <w:t>Investment payable for acquisition</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118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1189" w:type="dxa"/>
            <w:tcBorders/>
            <w:shd w:fill="FFFFFF" w:val="clear"/>
            <w:vAlign w:val="center"/>
          </w:tcPr>
          <w:p>
            <w:pPr>
              <w:pStyle w:val="TableContents"/>
              <w:bidi w:val="0"/>
              <w:spacing w:before="0" w:after="283"/>
              <w:jc w:val="right"/>
              <w:rPr/>
            </w:pPr>
            <w:r>
              <w:rPr/>
              <w:t>1,500,000</w:t>
            </w:r>
          </w:p>
        </w:tc>
        <w:tc>
          <w:tcPr>
            <w:tcW w:w="112" w:type="dxa"/>
            <w:tcBorders/>
            <w:shd w:fill="FFFFFF" w:val="clear"/>
            <w:vAlign w:val="center"/>
          </w:tcPr>
          <w:p>
            <w:pPr>
              <w:pStyle w:val="TableContents"/>
              <w:bidi w:val="0"/>
              <w:spacing w:before="0" w:after="283"/>
              <w:jc w:val="left"/>
              <w:rPr/>
            </w:pPr>
            <w:r>
              <w:rPr/>
              <w:t> </w:t>
            </w:r>
            <w:bookmarkStart w:id="239" w:name="xdx_40A_ecustom--GoodwillAcquiredInBusin"/>
            <w:bookmarkEnd w:id="239"/>
          </w:p>
        </w:tc>
      </w:tr>
      <w:tr>
        <w:trPr/>
        <w:tc>
          <w:tcPr>
            <w:tcW w:w="7218" w:type="dxa"/>
            <w:tcBorders/>
            <w:shd w:fill="EEEEEE" w:val="clear"/>
            <w:vAlign w:val="center"/>
          </w:tcPr>
          <w:p>
            <w:pPr>
              <w:pStyle w:val="TableContents"/>
              <w:bidi w:val="0"/>
              <w:spacing w:before="0" w:after="283"/>
              <w:jc w:val="left"/>
              <w:rPr/>
            </w:pPr>
            <w:r>
              <w:rPr/>
              <w:t>Goodwill acquired in business acquisition</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w:t>
            </w:r>
          </w:p>
        </w:tc>
        <w:tc>
          <w:tcPr>
            <w:tcW w:w="1189" w:type="dxa"/>
            <w:tcBorders/>
            <w:shd w:fill="EEEEEE" w:val="cle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w:t>
            </w:r>
          </w:p>
        </w:tc>
        <w:tc>
          <w:tcPr>
            <w:tcW w:w="1189" w:type="dxa"/>
            <w:tcBorders/>
            <w:shd w:fill="EEEEEE" w:val="clear"/>
            <w:vAlign w:val="center"/>
          </w:tcPr>
          <w:p>
            <w:pPr>
              <w:pStyle w:val="TableContents"/>
              <w:bidi w:val="0"/>
              <w:spacing w:before="0" w:after="283"/>
              <w:jc w:val="right"/>
              <w:rPr/>
            </w:pPr>
            <w:r>
              <w:rPr/>
              <w:t>6,094,144</w:t>
            </w:r>
          </w:p>
        </w:tc>
        <w:tc>
          <w:tcPr>
            <w:tcW w:w="112" w:type="dxa"/>
            <w:tcBorders/>
            <w:shd w:fill="EEEEEE" w:val="clear"/>
            <w:vAlign w:val="center"/>
          </w:tcPr>
          <w:p>
            <w:pPr>
              <w:pStyle w:val="TableContents"/>
              <w:bidi w:val="0"/>
              <w:spacing w:before="0" w:after="283"/>
              <w:jc w:val="left"/>
              <w:rPr/>
            </w:pPr>
            <w:r>
              <w:rPr/>
              <w:t> </w:t>
            </w:r>
            <w:bookmarkStart w:id="240" w:name="xdx_406_ecustom--IdentifiableIntangibleA"/>
            <w:bookmarkEnd w:id="240"/>
          </w:p>
        </w:tc>
      </w:tr>
      <w:tr>
        <w:trPr/>
        <w:tc>
          <w:tcPr>
            <w:tcW w:w="7218" w:type="dxa"/>
            <w:tcBorders/>
            <w:shd w:fill="FFFFFF" w:val="clear"/>
            <w:vAlign w:val="center"/>
          </w:tcPr>
          <w:p>
            <w:pPr>
              <w:pStyle w:val="TableContents"/>
              <w:bidi w:val="0"/>
              <w:spacing w:before="0" w:after="283"/>
              <w:jc w:val="left"/>
              <w:rPr/>
            </w:pPr>
            <w:r>
              <w:rPr/>
              <w:t>Identifiable intangible assets acquired in business acquisition</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118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1189" w:type="dxa"/>
            <w:tcBorders/>
            <w:shd w:fill="FFFFFF" w:val="clear"/>
            <w:vAlign w:val="center"/>
          </w:tcPr>
          <w:p>
            <w:pPr>
              <w:pStyle w:val="TableContents"/>
              <w:bidi w:val="0"/>
              <w:spacing w:before="0" w:after="283"/>
              <w:jc w:val="right"/>
              <w:rPr/>
            </w:pPr>
            <w:r>
              <w:rPr/>
              <w:t>5,172,956</w:t>
            </w:r>
          </w:p>
        </w:tc>
        <w:tc>
          <w:tcPr>
            <w:tcW w:w="112" w:type="dxa"/>
            <w:tcBorders/>
            <w:shd w:fill="FFFFFF" w:val="clear"/>
            <w:vAlign w:val="center"/>
          </w:tcPr>
          <w:p>
            <w:pPr>
              <w:pStyle w:val="TableContents"/>
              <w:bidi w:val="0"/>
              <w:spacing w:before="0" w:after="283"/>
              <w:jc w:val="left"/>
              <w:rPr/>
            </w:pPr>
            <w:r>
              <w:rPr/>
              <w:t> </w:t>
            </w:r>
            <w:bookmarkStart w:id="241" w:name="xdx_404_ecustom--NetAssetsAcquiredInBusi"/>
            <w:bookmarkEnd w:id="241"/>
          </w:p>
        </w:tc>
      </w:tr>
      <w:tr>
        <w:trPr/>
        <w:tc>
          <w:tcPr>
            <w:tcW w:w="7218" w:type="dxa"/>
            <w:tcBorders/>
            <w:shd w:fill="EEEEEE" w:val="clear"/>
            <w:vAlign w:val="center"/>
          </w:tcPr>
          <w:p>
            <w:pPr>
              <w:pStyle w:val="TableContents"/>
              <w:bidi w:val="0"/>
              <w:spacing w:before="0" w:after="283"/>
              <w:jc w:val="left"/>
              <w:rPr/>
            </w:pPr>
            <w:r>
              <w:rPr/>
              <w:t>Net assets acquired in business acquisition</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w:t>
            </w:r>
          </w:p>
        </w:tc>
        <w:tc>
          <w:tcPr>
            <w:tcW w:w="1189" w:type="dxa"/>
            <w:tcBorders/>
            <w:shd w:fill="EEEEEE" w:val="cle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w:t>
            </w:r>
          </w:p>
        </w:tc>
        <w:tc>
          <w:tcPr>
            <w:tcW w:w="1189" w:type="dxa"/>
            <w:tcBorders/>
            <w:shd w:fill="EEEEEE" w:val="clear"/>
            <w:vAlign w:val="center"/>
          </w:tcPr>
          <w:p>
            <w:pPr>
              <w:pStyle w:val="TableContents"/>
              <w:bidi w:val="0"/>
              <w:spacing w:before="0" w:after="283"/>
              <w:jc w:val="right"/>
              <w:rPr/>
            </w:pPr>
            <w:r>
              <w:rPr/>
              <w:t>(638,101</w:t>
            </w:r>
          </w:p>
        </w:tc>
        <w:tc>
          <w:tcPr>
            <w:tcW w:w="112" w:type="dxa"/>
            <w:tcBorders/>
            <w:shd w:fill="EEEEEE" w:val="clear"/>
            <w:vAlign w:val="center"/>
          </w:tcPr>
          <w:p>
            <w:pPr>
              <w:pStyle w:val="TableContents"/>
              <w:bidi w:val="0"/>
              <w:spacing w:before="0" w:after="283"/>
              <w:jc w:val="left"/>
              <w:rPr/>
            </w:pPr>
            <w:r>
              <w:rPr/>
              <w:t>)</w:t>
            </w:r>
            <w:bookmarkStart w:id="242" w:name="xdx_400_ecustom--RightOfUseAssetsAcquire"/>
            <w:bookmarkEnd w:id="242"/>
          </w:p>
        </w:tc>
      </w:tr>
      <w:tr>
        <w:trPr/>
        <w:tc>
          <w:tcPr>
            <w:tcW w:w="7218" w:type="dxa"/>
            <w:tcBorders/>
            <w:shd w:fill="FFFFFF" w:val="clear"/>
            <w:vAlign w:val="center"/>
          </w:tcPr>
          <w:p>
            <w:pPr>
              <w:pStyle w:val="TableContents"/>
              <w:bidi w:val="0"/>
              <w:spacing w:before="0" w:after="283"/>
              <w:jc w:val="left"/>
              <w:rPr/>
            </w:pPr>
            <w:r>
              <w:rPr/>
              <w:t>Right of use assets acquired under new operating leases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118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1189" w:type="dxa"/>
            <w:tcBorders/>
            <w:shd w:fill="FFFFFF" w:val="clear"/>
            <w:vAlign w:val="center"/>
          </w:tcPr>
          <w:p>
            <w:pPr>
              <w:pStyle w:val="TableContents"/>
              <w:bidi w:val="0"/>
              <w:spacing w:before="0" w:after="283"/>
              <w:jc w:val="right"/>
              <w:rPr/>
            </w:pPr>
            <w:r>
              <w:rPr/>
              <w:t>10,094,669</w:t>
            </w:r>
          </w:p>
        </w:tc>
        <w:tc>
          <w:tcPr>
            <w:tcW w:w="112"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F-5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iPower Inc.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243" w:name="k_006"/>
      <w:bookmarkEnd w:id="243"/>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2023 and 2022 and for the Years Ended June 30, 2023 and 2022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44" w:name="xdx_808_eus-gaap--OrganizationConsolidat"/>
      <w:bookmarkEnd w:id="244"/>
      <w:r>
        <w:rPr>
          <w:rFonts w:ascii="Times New Roman;Times;Serif" w:hAnsi="Times New Roman;Times;Serif"/>
          <w:b/>
          <w:i w:val="false"/>
          <w:caps w:val="false"/>
          <w:smallCaps w:val="false"/>
          <w:sz w:val="20"/>
        </w:rPr>
        <w:t xml:space="preserve">Note 1 - </w:t>
      </w:r>
      <w:bookmarkStart w:id="245" w:name="xdx_821_z3xJXHE76Xlj"/>
      <w:bookmarkEnd w:id="245"/>
      <w:r>
        <w:rPr>
          <w:rFonts w:ascii="Times New Roman;Times;Serif" w:hAnsi="Times New Roman;Times;Serif"/>
          <w:b/>
          <w:i w:val="false"/>
          <w:caps w:val="false"/>
          <w:smallCaps w:val="false"/>
          <w:sz w:val="20"/>
        </w:rPr>
        <w:t>Nature of business and organization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iPower Inc., formerly known as BZRTH Inc., a Nevada corporation (the “Company”), was incorporated on April 11, 2018. The Company is principally engaged in the marketing and sale of consumer home, garden and other products and accessories mainly in the North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on March 1, 2020, as amended and restated pursuant to an agreement dated October 26, 2020, the Company entered into an agreement with E Marketing Solution Inc. (“E Marketing”), an entity incorporated in California and owned by one of the shareholders of the Company. Pursuant to the terms of the agreement, the Company agreed to provide technical support, management services and other services on an exclusive basis in relation to E Marketing’s business during the term of the agreement. The Company also agreed to fund E Marketing for operational cash flow needs and bear the risk of E Marketing’s losses from operations and E Marketing agreed that iPower has rights to E Marketing’s net profits, if any. Under the terms of the agreement, the Company may at any time, at its option, acquire for nominal consideration 100% of either the equity of E Marketing or its assets subject to iPower’s assumption of all of its liabilities. At that time, E Marketing was considered a variable interest entity (“VIE”). On May 18, 2021, the Company acquired 100% equity ownership of E Marketing. As a result, E Marketing has become the Company’s wholly owned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4, 2020, the Company entered into an agreement with Global Product Marketing Inc. (“GPM”), an entity incorporated in the State of Nevada on September 4, 2020. GPM was then wholly owned by Chenlong Tan, the Chairman, CEO and President and one of the majority shareholders of the Company. Pursuant to the terms of the agreement, the Company was to provide technical support, management services and other services on an exclusive basis in relation to GPM’s business during the term of the Agreement. In addition, the Company agreed to fund GPM for operational cash flow needs and bear the risk of GPM’s losses from operations and GPM agreed that the Company has the right to GPM’s net profits, if any. Under the terms of the agreement, the Company may at any time, at its option, acquire for nominal consideration 100% of either the equity of GPM or its assets subject to assumption of all of its liabilities. At that time, GPM was considered a VIE. On May 18, 2021, the Company acquired 100% equity ownership of GPM. As a result, GPM has become the Company’s wholly owned subsidiary.</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13, 2022, the Company entered into a joint venture agreement and formed a Nevada limited liability company, Box Harmony, LLC (“Box Harmony”), for the principal purpose of providing logistics services primarily for foreign-based manufacturers or distributors who desire to sell their products online in the United States, with such logistics services to include, without limitation, receiving, storing and transporting such products. The Company owns 40% of the equity interest in Box Harmony, retaining significant influence, but does not own a majority equity interest in or otherwise control Box Harmony. See details at Note 3 below.</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10, 2022, the Company entered into another joint venture agreement and formed a Nevada limited liability company, Global Social Media, LLC (“GSM”), for the principal purpose of providing a social media platform, content and services to assist businesses, including the Company and other businesses, in marketing their products. The Company owns 60% of the equity interest in GSM and controls its operations. See details at Note 3 below.</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15, 2022, the Company acquired 100% of the ordinary shares of Anivia Limited (“Anivia”), a corporation organized under the laws of the British Virgin Islands (“BVI”), in accordance with the terms of a share transfer framework agreement (the “Transfer Agreement”), dated February 15, 2022, by and between the Company, White Cherry Limited, a BVI company (“White Cherry”), White Cherry’s equity holders, Li Zanyu and Xie Jing (together with White Cherry, the “Sellers”), Anivia, Fly Elephant Limited, a Hong Kong company, Dayourenzai (Shenzhen) Technology Co., Ltd., and Daheshou (Shenzhen) Information Technology Co., Ltd. Anivia owns 100% of the equity of Fly Elephant Limited, which in turn owns 100% of the equity of Dayourenzai (Shenzhen) Technology Co., Ltd., a corporation located in the People’s Republic of China (“PRC”) and which is a wholly foreign-owned enterprise (“WFOE”) of Fly Elephant Limited. The WFOE controls, through contractual arrangements summarized in Note 4 below, the business, revenues and profits of Daheshou (Shenzhen) Information Technology Co., Ltd., a company organized under the Laws of the PRC (“DHS”) and located in Shenzhen, China. See details on Note 4 below.</w:t>
      </w:r>
    </w:p>
    <w:p>
      <w:pPr>
        <w:pStyle w:val="TextBody"/>
        <w:bidi w:val="0"/>
        <w:spacing w:before="0" w:after="0"/>
        <w:ind w:left="0" w:right="0" w:hanging="0"/>
        <w:jc w:val="both"/>
        <w:rPr>
          <w:caps w:val="false"/>
          <w:smallCaps w:val="false"/>
        </w:rPr>
      </w:pPr>
      <w:bookmarkStart w:id="246" w:name="xdx_23C_zismwdbirSo"/>
      <w:bookmarkEnd w:id="246"/>
      <w:r>
        <w:rPr>
          <w:caps w:val="false"/>
          <w:smallCaps w:val="false"/>
        </w:rPr>
        <w:t> </w:t>
      </w:r>
    </w:p>
    <w:p>
      <w:pPr>
        <w:pStyle w:val="TextBody"/>
        <w:bidi w:val="0"/>
        <w:spacing w:before="0" w:after="0"/>
        <w:ind w:left="0" w:right="0" w:hanging="0"/>
        <w:jc w:val="both"/>
        <w:rPr>
          <w:caps w:val="false"/>
          <w:smallCaps w:val="false"/>
        </w:rPr>
      </w:pPr>
      <w:bookmarkStart w:id="247" w:name="xdx_23C_zwMIxfOIHnZk"/>
      <w:bookmarkEnd w:id="247"/>
      <w:r>
        <w:rPr>
          <w:caps w:val="false"/>
          <w:smallCaps w:val="false"/>
        </w:rPr>
        <w:t> </w:t>
      </w:r>
    </w:p>
    <w:p>
      <w:pPr>
        <w:pStyle w:val="TextBody"/>
        <w:bidi w:val="0"/>
        <w:spacing w:before="0" w:after="0"/>
        <w:ind w:left="0" w:right="0" w:hanging="0"/>
        <w:jc w:val="both"/>
        <w:rPr>
          <w:caps w:val="false"/>
          <w:smallCaps w:val="false"/>
        </w:rPr>
      </w:pPr>
      <w:bookmarkStart w:id="248" w:name="xdx_23B_zGfFHFvj6xz6"/>
      <w:bookmarkEnd w:id="248"/>
      <w:r>
        <w:rPr>
          <w:caps w:val="false"/>
          <w:smallCaps w:val="false"/>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F-6</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249" w:name="xdx_237_zhrUJ6Nep39d"/>
      <w:bookmarkEnd w:id="249"/>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50" w:name="xdx_802_eus-gaap--SignificantAccountingP"/>
      <w:bookmarkEnd w:id="250"/>
      <w:r>
        <w:rPr>
          <w:rFonts w:ascii="Times New Roman;Times;Serif" w:hAnsi="Times New Roman;Times;Serif"/>
          <w:b/>
          <w:i w:val="false"/>
          <w:caps w:val="false"/>
          <w:smallCaps w:val="false"/>
          <w:sz w:val="20"/>
        </w:rPr>
        <w:t xml:space="preserve">Note 2 – </w:t>
      </w:r>
      <w:bookmarkStart w:id="251" w:name="xdx_82A_zKdArt1dUZvg"/>
      <w:bookmarkEnd w:id="251"/>
      <w:r>
        <w:rPr>
          <w:rFonts w:ascii="Times New Roman;Times;Serif" w:hAnsi="Times New Roman;Times;Serif"/>
          <w:b/>
          <w:i w:val="false"/>
          <w:caps w:val="false"/>
          <w:smallCaps w:val="false"/>
          <w:sz w:val="20"/>
        </w:rPr>
        <w:t>Basis of Presentation and Summary of significant accounting policies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bookmarkStart w:id="252" w:name="xdx_86B_zBEnRbhjApea"/>
      <w:bookmarkStart w:id="253" w:name="xdx_845_eus-gaap--BasisOfAccountingPolic"/>
      <w:bookmarkEnd w:id="252"/>
      <w:bookmarkEnd w:id="253"/>
      <w:r>
        <w:rPr>
          <w:rFonts w:ascii="Times New Roman;Times;Serif" w:hAnsi="Times New Roman;Times;Serif"/>
          <w:b w:val="false"/>
          <w:i w:val="false"/>
          <w:caps w:val="false"/>
          <w:smallCaps w:val="false"/>
          <w:sz w:val="20"/>
          <w:u w:val="single"/>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financial statements have been prepared in accordance with the generally accepted accounting principles in the United States of America (“U.S. GAAP”) and pursuant to the rules and regulations of the Securities Exchange Commission (“SEC”). The Company’s fiscal year end date is June 30.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bookmarkStart w:id="254" w:name="xdx_86F_zO794aytJXx5"/>
      <w:bookmarkStart w:id="255" w:name="xdx_843_eus-gaap--ConsolidationPolicyTex"/>
      <w:bookmarkEnd w:id="254"/>
      <w:bookmarkEnd w:id="255"/>
      <w:r>
        <w:rPr>
          <w:rFonts w:ascii="Times New Roman;Times;Serif" w:hAnsi="Times New Roman;Times;Serif"/>
          <w:b w:val="false"/>
          <w:i w:val="false"/>
          <w:caps w:val="false"/>
          <w:smallCaps w:val="false"/>
          <w:sz w:val="20"/>
          <w:u w:val="single"/>
        </w:rPr>
        <w:t>Principles of Consolidation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include the accounts of the Company and its subsidiaries, E Marketing Solution Inc., Global Product Marketing Inc., Global Social Media, LLC, and Anivia Limited and its subsidiaries and VIE, including Fly Elephant Limited, Dayourenzai (Shenzhen) Technology Co., Ltd., and Daheshou (Shenzhen) Information Technology Co., Ltd. All inter-company balances and transactions have been eliminated.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bookmarkStart w:id="256" w:name="xdx_869_zhjTZJLXObhi"/>
      <w:bookmarkStart w:id="257" w:name="xdx_84A_ecustom--EmergingGrowthCompanySt"/>
      <w:bookmarkEnd w:id="256"/>
      <w:bookmarkEnd w:id="257"/>
      <w:r>
        <w:rPr>
          <w:rFonts w:ascii="Times New Roman;Times;Serif" w:hAnsi="Times New Roman;Times;Serif"/>
          <w:b w:val="false"/>
          <w:i w:val="false"/>
          <w:caps w:val="false"/>
          <w:smallCaps w:val="false"/>
          <w:sz w:val="20"/>
          <w:u w:val="single"/>
        </w:rPr>
        <w:t>Emerging Growth Company Status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utilizing the emerging growth company reduced reporting requirements difficult.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bookmarkStart w:id="258" w:name="xdx_86C_zKGG1l4E0dt1"/>
      <w:bookmarkStart w:id="259" w:name="xdx_845_eus-gaap--UseOfEstimates_zFo88JS"/>
      <w:bookmarkEnd w:id="258"/>
      <w:bookmarkEnd w:id="259"/>
      <w:r>
        <w:rPr>
          <w:rFonts w:ascii="Times New Roman;Times;Serif" w:hAnsi="Times New Roman;Times;Serif"/>
          <w:b w:val="false"/>
          <w:i w:val="false"/>
          <w:caps w:val="false"/>
          <w:smallCaps w:val="false"/>
          <w:sz w:val="20"/>
          <w:u w:val="single"/>
        </w:rPr>
        <w:t>Use of estimates and assumptions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U.S. GAAP requires management to make estimates and assumptions that affect the amounts of assets and liabilities reported and disclosures of contingent assets and liabilities as of the date of the financial statements and the reported amounts of revenues and expenses during the periods presented.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pStyle w:val="TextBody"/>
        <w:bidi w:val="0"/>
        <w:spacing w:before="0" w:after="0"/>
        <w:ind w:left="0" w:right="0" w:hanging="0"/>
        <w:jc w:val="both"/>
        <w:rPr>
          <w:caps w:val="false"/>
          <w:smallCaps w:val="false"/>
        </w:rPr>
      </w:pPr>
      <w:bookmarkStart w:id="260" w:name="xdx_238_zOiqvtumQFRg"/>
      <w:bookmarkEnd w:id="260"/>
      <w:r>
        <w:rPr>
          <w:caps w:val="false"/>
          <w:smallCaps w:val="false"/>
        </w:rPr>
        <w:t> </w:t>
      </w:r>
    </w:p>
    <w:p>
      <w:pPr>
        <w:pStyle w:val="TextBody"/>
        <w:bidi w:val="0"/>
        <w:spacing w:before="0" w:after="0"/>
        <w:ind w:left="0" w:right="0" w:hanging="0"/>
        <w:jc w:val="both"/>
        <w:rPr>
          <w:caps w:val="false"/>
          <w:smallCaps w:val="false"/>
        </w:rPr>
      </w:pPr>
      <w:bookmarkStart w:id="261" w:name="xdx_23F_znSi5kvtxtea"/>
      <w:bookmarkEnd w:id="261"/>
      <w:r>
        <w:rPr>
          <w:caps w:val="false"/>
          <w:smallCaps w:val="false"/>
        </w:rPr>
        <w:t> </w:t>
      </w:r>
    </w:p>
    <w:p>
      <w:pPr>
        <w:pStyle w:val="TextBody"/>
        <w:bidi w:val="0"/>
        <w:spacing w:before="0" w:after="0"/>
        <w:ind w:left="0" w:right="0" w:hanging="0"/>
        <w:jc w:val="both"/>
        <w:rPr>
          <w:caps w:val="false"/>
          <w:smallCaps w:val="false"/>
        </w:rPr>
      </w:pPr>
      <w:bookmarkStart w:id="262" w:name="xdx_237_z50h0wq4Vnnh"/>
      <w:bookmarkEnd w:id="262"/>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F-7</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263" w:name="xdx_23A_zpndENUNaDka"/>
      <w:bookmarkEnd w:id="263"/>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bookmarkStart w:id="264" w:name="xdx_866_zc2AHK1Z3Z5k"/>
      <w:bookmarkStart w:id="265" w:name="xdx_840_eus-gaap--ForeignCurrencyTransac"/>
      <w:bookmarkEnd w:id="264"/>
      <w:bookmarkEnd w:id="265"/>
      <w:r>
        <w:rPr>
          <w:rFonts w:ascii="Times New Roman;Times;Serif" w:hAnsi="Times New Roman;Times;Serif"/>
          <w:b w:val="false"/>
          <w:i w:val="false"/>
          <w:caps w:val="false"/>
          <w:smallCaps w:val="false"/>
          <w:sz w:val="20"/>
          <w:u w:val="single"/>
        </w:rPr>
        <w:t>Foreign currency translation and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reporting and functional currency of iPower and subsidiaries is the U.S. dollar (USD). iPower’s WFOE and VIE in China uses the local currency, Renminbi (“RMB”), as its functional currency. Assets and liabilities of the VIE are translated at the current exchange rate as quoted by the People’s Bank of China (the “PBOC”) at the end of the period. Income and expense accounts are translated at the average translation rates and the equity accounts are translated at historical rates. Translation adjustments resulting from this process are included in accumulated other comprehensive income (loss) in the statement of changes in stockholders’ equity. Transaction gains and losses that arise from exchange rate fluctuations on transactions denominated in a currency other than the functional currency are included in the results of operations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balance sheet amounts of the VIE, with the exception of equity, on June 30, 2023, were translated at </w:t>
      </w:r>
      <w:bookmarkStart w:id="266" w:name="xdx_90D_eus-gaap--ForeignCurrencyExchang"/>
      <w:bookmarkEnd w:id="266"/>
      <w:r>
        <w:rPr>
          <w:rFonts w:ascii="Times New Roman;Times;Serif" w:hAnsi="Times New Roman;Times;Serif"/>
          <w:b w:val="false"/>
          <w:i w:val="false"/>
          <w:caps w:val="false"/>
          <w:smallCaps w:val="false"/>
          <w:sz w:val="20"/>
        </w:rPr>
        <w:t xml:space="preserve">7.2535 RMB to $1.00. The equity accounts were stated at their historical rates. The average translation rates applied to statements of operations and comprehensive income (loss) accounts for the year ended June 30, 2023 was </w:t>
      </w:r>
      <w:bookmarkStart w:id="267" w:name="xdx_90A_ecustom--ForeignCurrencyExchange"/>
      <w:bookmarkEnd w:id="267"/>
      <w:r>
        <w:rPr>
          <w:rFonts w:ascii="Times New Roman;Times;Serif" w:hAnsi="Times New Roman;Times;Serif"/>
          <w:b w:val="false"/>
          <w:i w:val="false"/>
          <w:caps w:val="false"/>
          <w:smallCaps w:val="false"/>
          <w:sz w:val="20"/>
        </w:rPr>
        <w:t>6.9536 RMB to $1.00. Cash flows were also translated at average translation rates for the period and, therefore, amounts reported on the statement of cash flows would not necessarily agree with changes in the corresponding balances on the consolidated balance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bookmarkStart w:id="268" w:name="xdx_861_znJ2St3mwEuf"/>
      <w:bookmarkStart w:id="269" w:name="xdx_848_eus-gaap--CashAndCashEquivalents"/>
      <w:bookmarkEnd w:id="268"/>
      <w:bookmarkEnd w:id="269"/>
      <w:r>
        <w:rPr>
          <w:rFonts w:ascii="Times New Roman;Times;Serif" w:hAnsi="Times New Roman;Times;Serif"/>
          <w:b w:val="false"/>
          <w:i w:val="false"/>
          <w:caps w:val="false"/>
          <w:smallCaps w:val="false"/>
          <w:sz w:val="20"/>
          <w:u w:val="single"/>
        </w:rPr>
        <w:t>Cash and cash equivalents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consist of amounts held as cash on hand and bank deposits.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may maintain bank balances in interest bearing accounts in excess of the $250,000, which is currently the maximum amount insured by the FDIC for interest bearing accounts (there is currently no insurance limit for deposits in noninterest bearing accounts). The Company has not experienced any losses with respect to cash. Management believes our Company is not exposed to any significant credit risk with respect to its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270" w:name="xdx_863_zAA1g7KYbgb1"/>
      <w:bookmarkStart w:id="271" w:name="xdx_84C_eus-gaap--ReceivablesPolicyTextB"/>
      <w:bookmarkEnd w:id="270"/>
      <w:bookmarkEnd w:id="271"/>
      <w:r>
        <w:rPr>
          <w:rFonts w:ascii="Times New Roman;Times;Serif" w:hAnsi="Times New Roman;Times;Serif"/>
          <w:b w:val="false"/>
          <w:i w:val="false"/>
          <w:caps w:val="false"/>
          <w:smallCaps w:val="false"/>
          <w:sz w:val="20"/>
          <w:u w:val="single"/>
        </w:rPr>
        <w:t>Accounts receivable, net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ordinary course of business, the Company extends unsecured credit to its customers. Accounts receivable are stated at the amount the Company expects to collect from customers. Management reviews its accounts receivable balances each reporting period to determine if an allowance for credit loss is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the creditworthiness of all of its customers individually before accepting them and continuously monitors the recoverability of accounts receivable. If there are any indicators that a customer may not make payment, the Company may consider making provision for non-collectability for that particular customer. At the same time, the Company may cease further sales or services to such customer. The following are some of the factors that the Company develops allowance for credit losses:</w:t>
      </w:r>
    </w:p>
    <w:p>
      <w:pPr>
        <w:pStyle w:val="TextBody"/>
        <w:bidi w:val="0"/>
        <w:spacing w:before="0" w:after="0"/>
        <w:ind w:left="0" w:right="0" w:hanging="0"/>
        <w:jc w:val="both"/>
        <w:rPr>
          <w:caps w:val="false"/>
          <w:smallCaps w:val="false"/>
        </w:rPr>
      </w:pPr>
      <w:r>
        <w:rPr>
          <w:caps w:val="false"/>
          <w:smallCaps w:val="false"/>
        </w:rPr>
        <w:t> </w:t>
      </w:r>
    </w:p>
    <w:tbl>
      <w:tblPr>
        <w:tblW w:w="7630" w:type="dxa"/>
        <w:jc w:val="left"/>
        <w:tblInd w:w="0" w:type="dxa"/>
        <w:tblLayout w:type="fixed"/>
        <w:tblCellMar>
          <w:top w:w="0" w:type="dxa"/>
          <w:left w:w="0" w:type="dxa"/>
          <w:bottom w:w="0" w:type="dxa"/>
          <w:right w:w="0" w:type="dxa"/>
        </w:tblCellMar>
      </w:tblPr>
      <w:tblGrid>
        <w:gridCol w:w="75"/>
        <w:gridCol w:w="95"/>
        <w:gridCol w:w="7460"/>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4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customer fails to comply with its payment schedule;</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74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4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customer is in serious financial difficulty;</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74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4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significant dispute with the customer has occurred regarding job progress or other matters;</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74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4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customer breaches any of its contractual obligations;</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74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4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customer appears to be financially distressed due to economic or legal factors;</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74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4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business between the customer and the Company is not active; and</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74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4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objective evidence indicates non-collectability of the accounts receivable.</w:t>
            </w:r>
          </w:p>
        </w:tc>
      </w:tr>
    </w:tbl>
    <w:p>
      <w:pPr>
        <w:pStyle w:val="TextBody"/>
        <w:bidi w:val="0"/>
        <w:spacing w:before="0" w:after="0"/>
        <w:ind w:left="0" w:right="0" w:hanging="0"/>
        <w:jc w:val="both"/>
        <w:rPr>
          <w:caps w:val="false"/>
          <w:smallCaps w:val="false"/>
        </w:rPr>
      </w:pPr>
      <w:bookmarkStart w:id="272" w:name="xdx_230_zrKr6Fs0cVh8"/>
      <w:bookmarkEnd w:id="272"/>
      <w:r>
        <w:rPr>
          <w:caps w:val="false"/>
          <w:smallCaps w:val="false"/>
        </w:rPr>
        <w:t> </w:t>
      </w:r>
    </w:p>
    <w:p>
      <w:pPr>
        <w:pStyle w:val="TextBody"/>
        <w:bidi w:val="0"/>
        <w:spacing w:before="0" w:after="0"/>
        <w:ind w:left="0" w:right="0" w:hanging="0"/>
        <w:jc w:val="both"/>
        <w:rPr>
          <w:caps w:val="false"/>
          <w:smallCaps w:val="false"/>
        </w:rPr>
      </w:pPr>
      <w:bookmarkStart w:id="273" w:name="xdx_232_zuJBZnqPL3If"/>
      <w:bookmarkEnd w:id="273"/>
      <w:r>
        <w:rPr>
          <w:caps w:val="false"/>
          <w:smallCaps w:val="false"/>
        </w:rPr>
        <w:t> </w:t>
      </w:r>
    </w:p>
    <w:p>
      <w:pPr>
        <w:pStyle w:val="TextBody"/>
        <w:bidi w:val="0"/>
        <w:spacing w:before="0" w:after="0"/>
        <w:ind w:left="0" w:right="0" w:hanging="0"/>
        <w:jc w:val="both"/>
        <w:rPr>
          <w:caps w:val="false"/>
          <w:smallCaps w:val="false"/>
        </w:rPr>
      </w:pPr>
      <w:bookmarkStart w:id="274" w:name="xdx_23B_zWfyucixXYEl"/>
      <w:bookmarkEnd w:id="274"/>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F-8</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275" w:name="xdx_233_zliM5qKdMaUh"/>
      <w:bookmarkEnd w:id="275"/>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are recognized and carried at carrying amount less an allowance for credit losses, if any. The Company maintains an allowance for credit losses resulting from the inability of its customers to make required payments based on contractual terms. The Company reviews the collectability of its receivables on a regular and ongoing basis. The Company has also included in calculation of allowance for credit losses the potential impact of the COVID-19 pandemic on our customers’ businesses and their ability to pay their accounts receivable. After all attempts to collect a receivable have failed, the receivable is written off against the allowance. The Company also considers external factors to the specific customer, including current conditions and forecasts of economic conditions, including the potential impact of the COVID-19 pandemic. In the event we recover amounts previously written off, we will reduce the specific allowance for credit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276" w:name="xdx_86F_z4Fd5kHV1Tt8"/>
      <w:bookmarkStart w:id="277" w:name="xdx_847_eus-gaap--EquityMethodInvestment"/>
      <w:bookmarkEnd w:id="276"/>
      <w:bookmarkEnd w:id="277"/>
      <w:r>
        <w:rPr>
          <w:rFonts w:ascii="Times New Roman;Times;Serif" w:hAnsi="Times New Roman;Times;Serif"/>
          <w:b w:val="false"/>
          <w:i w:val="false"/>
          <w:caps w:val="false"/>
          <w:smallCaps w:val="false"/>
          <w:sz w:val="20"/>
          <w:u w:val="single"/>
        </w:rPr>
        <w:t xml:space="preserve">Equity method investment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its ownership interest in Box Harmony, a </w:t>
      </w:r>
      <w:bookmarkStart w:id="278" w:name="xdx_90C_eus-gaap--EquityMethodInvestment"/>
      <w:bookmarkEnd w:id="278"/>
      <w:r>
        <w:rPr>
          <w:rFonts w:ascii="Times New Roman;Times;Serif" w:hAnsi="Times New Roman;Times;Serif"/>
          <w:b w:val="false"/>
          <w:i w:val="false"/>
          <w:caps w:val="false"/>
          <w:smallCaps w:val="false"/>
          <w:sz w:val="20"/>
        </w:rPr>
        <w:t>40% owned joint venture, following the equity method of accounting, in accordance with ASC 323, Investments — Equity Method and Joint Ventures. Under this method, the carrying cost is initially recorded at cost and then increased or decreased by recording its percentage of gain or loss in Box Harmony’s statement of operations and a corresponding charge or credit to the carrying value of the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279" w:name="xdx_861_zTqRP8TlTk11"/>
      <w:bookmarkStart w:id="280" w:name="xdx_84C_eus-gaap--BusinessCombinationsPo"/>
      <w:bookmarkEnd w:id="279"/>
      <w:bookmarkEnd w:id="280"/>
      <w:r>
        <w:rPr>
          <w:rFonts w:ascii="Times New Roman;Times;Serif" w:hAnsi="Times New Roman;Times;Serif"/>
          <w:b w:val="false"/>
          <w:i w:val="false"/>
          <w:caps w:val="false"/>
          <w:smallCaps w:val="false"/>
          <w:sz w:val="20"/>
          <w:u w:val="single"/>
        </w:rPr>
        <w:t>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15, 2022, the Company acquired 100% of the ordinary shares of Anivia and its subsidiaries, including the VIE. The Company applies the acquisition method of accounting for business combinations. Under the acquisition method, the acquiring entity in a business combination recognizes 100% of the assets acquired and liabilities assumed at their acquisition date fair values. Management utilizes valuation techniques appropriate for the asset or liability being measured in determining these fair values. Any excess of the purchase price over amounts allocated to assets acquired, including identifiable intangible assets, and liabilities assumed is recorded as goodwill. Where amounts allocated to assets acquired and liabilities assumed is greater than the purchase price, a bargain purchase gain is recognized. Acquisition-related costs are expensed as incurred. See Note 4 for details regarding the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281" w:name="xdx_86C_zzKcKgMEvUl4"/>
      <w:bookmarkStart w:id="282" w:name="xdx_844_ecustom--VariableInterestEntitie"/>
      <w:bookmarkEnd w:id="281"/>
      <w:bookmarkEnd w:id="282"/>
      <w:r>
        <w:rPr>
          <w:rFonts w:ascii="Times New Roman;Times;Serif" w:hAnsi="Times New Roman;Times;Serif"/>
          <w:b w:val="false"/>
          <w:i w:val="false"/>
          <w:caps w:val="false"/>
          <w:smallCaps w:val="false"/>
          <w:sz w:val="20"/>
          <w:u w:val="single"/>
        </w:rPr>
        <w:t>Variable interest entities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15, 2022, the Company acquired 100% of the ordinary shares of Anivia and its subsidiaries, including Daheshou (Shenzhen) Information Technology Co., Ltd., a company organized under the Laws of the PRC (“DHS”). Pursuant to the terms of the Agreements, the Company does not have direct ownership in DHS but is actively involved in DHS’s operations as the sole manager to direct the activities and significantly impact DHS’s economic performance. DHS’s operational funding has been provided by the Company following the February 15, 2022 acquisition. During the term of the Agreements, the Company bears all the risk of loss and has the right to receive all of the benefits from DHS. As such, based on the determination that the Company is the primary beneficiary of DHS, in accordance with ASC 810-10-25-38A through 25-38J, DHS is considered a VIE of the Company and the financial statements of DHS have been consolidated from the date such control existed, February 15, 2022. See Note 4 and Note 5 for details regarding the acquisition.</w:t>
      </w:r>
    </w:p>
    <w:p>
      <w:pPr>
        <w:pStyle w:val="TextBody"/>
        <w:bidi w:val="0"/>
        <w:spacing w:before="0" w:after="0"/>
        <w:ind w:left="0" w:right="0" w:hanging="0"/>
        <w:jc w:val="both"/>
        <w:rPr>
          <w:caps w:val="false"/>
          <w:smallCaps w:val="false"/>
        </w:rPr>
      </w:pPr>
      <w:bookmarkStart w:id="283" w:name="xdx_231_zt18d9n8SO94"/>
      <w:bookmarkEnd w:id="283"/>
      <w:r>
        <w:rPr>
          <w:caps w:val="false"/>
          <w:smallCaps w:val="false"/>
        </w:rPr>
        <w:t> </w:t>
      </w:r>
    </w:p>
    <w:p>
      <w:pPr>
        <w:pStyle w:val="TextBody"/>
        <w:bidi w:val="0"/>
        <w:spacing w:before="0" w:after="0"/>
        <w:ind w:left="0" w:right="0" w:hanging="0"/>
        <w:jc w:val="both"/>
        <w:rPr>
          <w:caps w:val="false"/>
          <w:smallCaps w:val="false"/>
        </w:rPr>
      </w:pPr>
      <w:bookmarkStart w:id="284" w:name="xdx_230_zuBIE47Cs9G9"/>
      <w:bookmarkEnd w:id="284"/>
      <w:r>
        <w:rPr>
          <w:caps w:val="false"/>
          <w:smallCaps w:val="false"/>
        </w:rPr>
        <w:t> </w:t>
      </w:r>
    </w:p>
    <w:p>
      <w:pPr>
        <w:pStyle w:val="TextBody"/>
        <w:bidi w:val="0"/>
        <w:spacing w:before="0" w:after="0"/>
        <w:ind w:left="0" w:right="0" w:hanging="0"/>
        <w:jc w:val="both"/>
        <w:rPr>
          <w:caps w:val="false"/>
          <w:smallCaps w:val="false"/>
        </w:rPr>
      </w:pPr>
      <w:bookmarkStart w:id="285" w:name="xdx_23D_zcp7JitkrCJ"/>
      <w:bookmarkEnd w:id="285"/>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F-9</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286" w:name="xdx_235_zOAo3vzICVYe"/>
      <w:bookmarkEnd w:id="286"/>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287" w:name="xdx_864_zqhU3vpeEgl8"/>
      <w:bookmarkStart w:id="288" w:name="xdx_846_eus-gaap--GoodwillAndIntangibleA"/>
      <w:bookmarkEnd w:id="287"/>
      <w:bookmarkEnd w:id="288"/>
      <w:r>
        <w:rPr>
          <w:rFonts w:ascii="Times New Roman;Times;Serif" w:hAnsi="Times New Roman;Times;Serif"/>
          <w:b w:val="false"/>
          <w:i w:val="false"/>
          <w:caps w:val="false"/>
          <w:smallCaps w:val="false"/>
          <w:sz w:val="20"/>
          <w:u w:val="single"/>
        </w:rPr>
        <w:t>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Goodwill represents the excess of the purchase price over the fair value of assets acquired and liabilities assumed. The Company accounts for goodwill under </w:t>
      </w:r>
      <w:r>
        <w:rPr>
          <w:rFonts w:ascii="Times New Roman;Times;Serif" w:hAnsi="Times New Roman;Times;Serif"/>
          <w:b w:val="false"/>
          <w:i/>
          <w:caps w:val="false"/>
          <w:smallCaps w:val="false"/>
          <w:sz w:val="20"/>
        </w:rPr>
        <w:t>ASC Topic 350, Intangibles-Goodwill and Other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is not amortized but is reviewed for potential impairment on an annual basis, or if events or circumstances indicate a potential impairment, at the reporting unit level. The Company’s review for impairment includes an assessment of qualitative factors to determine whether it is more likely than not that the fair value of a reporting unit is less than its carrying value, including goodwill. If it is determined that it is more likely than not that the fair value of a reporting unit is less than its carrying value, including goodwill, a quantitative goodwill impairment test is performed, which compares the fair value of the reporting unit with its carrying amounts, including goodwill. If the fair value of the reporting unit exceeds its carrying amount, goodwill of the reporting unit is considered not impaired. However, if the carrying amount of the reporting unit exceeds its fair value, an impairment loss will be recognized in an amount equal to that excess, limited to the total amount of goodwill allocated to that reporting unit. The Company engaged an independent third-party valuation firm in August 2022 to conduct an evaluation of goodwill impairment for the Company as a whole at the consolidated reporting unit level as of June 30, 2022, which evaluation was conducted prior to the Company’s filing of its Annual Report on Form 10-K for the period ended June 30, 2022. Due to the decrease in the Company’s share price subsequent to the filing of the June 30, 2022 Form 10-K and the net loss incurred during the quarter ended September 30, 2022, the Company engaged the same valuation firm to review goodwill for impairment. Based on this review, the Company concluded an impairment loss of $3,060,034 as of September 30, 2022 was required. The impairment amount was determined based on the discounted cash flows with the revised projections reflecting the increase in freight and storage costs in the current interim quarter. The Company also considered the Market Capital Method, which is an alternative market approach, suggested the Company’s goodwill is partially impaired.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the quarter ended September 30, 2022, during the period ended June 30, 2023, the Company performed a qualitative and quantitative goodwill impairment analysis following the steps laid out in ASC 350-20-35-3C and noted no goodwill impairment. As of June 30, 2023 and 2022, the goodwill balance amounted to $</w:t>
      </w:r>
      <w:bookmarkStart w:id="289" w:name="xdx_901_eus-gaap--Goodwill_iI_c20230630_"/>
      <w:bookmarkEnd w:id="289"/>
      <w:r>
        <w:rPr>
          <w:rFonts w:ascii="Times New Roman;Times;Serif" w:hAnsi="Times New Roman;Times;Serif"/>
          <w:b w:val="false"/>
          <w:i w:val="false"/>
          <w:caps w:val="false"/>
          <w:smallCaps w:val="false"/>
          <w:sz w:val="20"/>
        </w:rPr>
        <w:t>3,034,110 and $</w:t>
      </w:r>
      <w:bookmarkStart w:id="290" w:name="xdx_90C_eus-gaap--Goodwill_iI_c20220630_"/>
      <w:bookmarkEnd w:id="290"/>
      <w:r>
        <w:rPr>
          <w:rFonts w:ascii="Times New Roman;Times;Serif" w:hAnsi="Times New Roman;Times;Serif"/>
          <w:b w:val="false"/>
          <w:i w:val="false"/>
          <w:caps w:val="false"/>
          <w:smallCaps w:val="false"/>
          <w:sz w:val="20"/>
        </w:rPr>
        <w:t>6,094,144,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291" w:name="xdx_860_zOqysjNO2D2a"/>
      <w:bookmarkStart w:id="292" w:name="xdx_84A_eus-gaap--IntangibleAssetsFinite"/>
      <w:bookmarkEnd w:id="291"/>
      <w:bookmarkEnd w:id="292"/>
      <w:r>
        <w:rPr>
          <w:rFonts w:ascii="Times New Roman;Times;Serif" w:hAnsi="Times New Roman;Times;Serif"/>
          <w:b w:val="false"/>
          <w:i w:val="false"/>
          <w:caps w:val="false"/>
          <w:smallCaps w:val="false"/>
          <w:sz w:val="20"/>
          <w:u w:val="single"/>
        </w:rPr>
        <w:t>Intangible Assets,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Finite life intangible assets at June 30, 2023 include covenant not to compete, supplier relationship, and software recognized as part of the acquisition of Anivia. Intangible assets are recorded at the estimated fair value of these items at the date of acquisition, February 15, 2022. Intangible assets are amortized on a straight-line basis over their estimated useful life as followings:</w:t>
      </w:r>
    </w:p>
    <w:p>
      <w:pPr>
        <w:pStyle w:val="Normal"/>
        <w:bidi w:val="0"/>
        <w:spacing w:before="0" w:after="0"/>
        <w:jc w:val="left"/>
        <w:rPr>
          <w:sz w:val="4"/>
          <w:szCs w:val="4"/>
        </w:rPr>
      </w:pPr>
      <w:r>
        <w:rPr>
          <w:sz w:val="4"/>
          <w:szCs w:val="4"/>
        </w:rPr>
      </w:r>
      <w:bookmarkStart w:id="293" w:name="xdx_88D_ecustom--IntangibleAssetsUsefulL"/>
      <w:bookmarkStart w:id="294" w:name="xdx_88D_ecustom--IntangibleAssetsUsefulL"/>
      <w:bookmarkEnd w:id="294"/>
    </w:p>
    <w:tbl>
      <w:tblPr>
        <w:tblW w:w="4330" w:type="dxa"/>
        <w:jc w:val="left"/>
        <w:tblInd w:w="0" w:type="dxa"/>
        <w:tblLayout w:type="fixed"/>
        <w:tblCellMar>
          <w:top w:w="0" w:type="dxa"/>
          <w:left w:w="0" w:type="dxa"/>
          <w:bottom w:w="0" w:type="dxa"/>
          <w:right w:w="0" w:type="dxa"/>
        </w:tblCellMar>
      </w:tblPr>
      <w:tblGrid>
        <w:gridCol w:w="3155"/>
        <w:gridCol w:w="60"/>
        <w:gridCol w:w="1115"/>
      </w:tblGrid>
      <w:tr>
        <w:trPr/>
        <w:tc>
          <w:tcPr>
            <w:tcW w:w="3155" w:type="dxa"/>
            <w:tcBorders/>
            <w:vAlign w:val="center"/>
          </w:tcPr>
          <w:p>
            <w:pPr>
              <w:pStyle w:val="TableContents"/>
              <w:bidi w:val="0"/>
              <w:spacing w:before="0" w:after="283"/>
              <w:jc w:val="left"/>
              <w:rPr/>
            </w:pPr>
            <w:r>
              <w:rPr/>
              <w:t> </w:t>
            </w:r>
            <w:bookmarkStart w:id="295" w:name="xdx_8BD_zD6gYWtTiKbl"/>
            <w:bookmarkEnd w:id="295"/>
            <w:r>
              <w:rPr/>
              <w:t>Schedule of estimated useful life</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 </w:t>
            </w:r>
          </w:p>
        </w:tc>
      </w:tr>
      <w:tr>
        <w:trPr/>
        <w:tc>
          <w:tcPr>
            <w:tcW w:w="3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tcBorders>
              <w:bottom w:val="single" w:sz="8" w:space="0" w:color="000000"/>
            </w:tcBorders>
            <w:tcMar>
              <w:bottom w:w="28" w:type="dxa"/>
            </w:tcMar>
            <w:vAlign w:val="center"/>
          </w:tcPr>
          <w:p>
            <w:pPr>
              <w:pStyle w:val="TableContents"/>
              <w:bidi w:val="0"/>
              <w:spacing w:before="0" w:after="283"/>
              <w:jc w:val="center"/>
              <w:rPr/>
            </w:pPr>
            <w:r>
              <w:rPr/>
              <w:t>Useful Life</w:t>
            </w:r>
          </w:p>
        </w:tc>
      </w:tr>
      <w:tr>
        <w:trPr/>
        <w:tc>
          <w:tcPr>
            <w:tcW w:w="3155" w:type="dxa"/>
            <w:tcBorders/>
            <w:shd w:fill="EEEEEE" w:val="clear"/>
            <w:vAlign w:val="center"/>
          </w:tcPr>
          <w:p>
            <w:pPr>
              <w:pStyle w:val="TableContents"/>
              <w:bidi w:val="0"/>
              <w:spacing w:before="0" w:after="283"/>
              <w:jc w:val="left"/>
              <w:rPr/>
            </w:pPr>
            <w:r>
              <w:rPr/>
              <w:t>Covenant Not to Compete</w:t>
            </w:r>
          </w:p>
        </w:tc>
        <w:tc>
          <w:tcPr>
            <w:tcW w:w="60" w:type="dxa"/>
            <w:tcBorders/>
            <w:shd w:fill="EEEEEE" w:val="clear"/>
            <w:vAlign w:val="center"/>
          </w:tcPr>
          <w:p>
            <w:pPr>
              <w:pStyle w:val="TableContents"/>
              <w:bidi w:val="0"/>
              <w:spacing w:before="0" w:after="283"/>
              <w:jc w:val="left"/>
              <w:rPr/>
            </w:pPr>
            <w:r>
              <w:rPr/>
              <w:t> </w:t>
            </w:r>
          </w:p>
        </w:tc>
        <w:tc>
          <w:tcPr>
            <w:tcW w:w="1115" w:type="dxa"/>
            <w:tcBorders/>
            <w:shd w:fill="EEEEEE" w:val="clear"/>
            <w:vAlign w:val="center"/>
          </w:tcPr>
          <w:p>
            <w:pPr>
              <w:pStyle w:val="TableContents"/>
              <w:bidi w:val="0"/>
              <w:spacing w:before="0" w:after="283"/>
              <w:jc w:val="center"/>
              <w:rPr/>
            </w:pPr>
            <w:bookmarkStart w:id="296" w:name="xdx_907_eus-gaap--FiniteLivedIntangibleA"/>
            <w:bookmarkEnd w:id="296"/>
            <w:r>
              <w:rPr/>
              <w:t>10 years</w:t>
            </w:r>
          </w:p>
        </w:tc>
      </w:tr>
      <w:tr>
        <w:trPr/>
        <w:tc>
          <w:tcPr>
            <w:tcW w:w="3155" w:type="dxa"/>
            <w:tcBorders/>
            <w:shd w:fill="FFFFFF" w:val="clear"/>
            <w:vAlign w:val="center"/>
          </w:tcPr>
          <w:p>
            <w:pPr>
              <w:pStyle w:val="TableContents"/>
              <w:bidi w:val="0"/>
              <w:spacing w:before="0" w:after="283"/>
              <w:jc w:val="left"/>
              <w:rPr/>
            </w:pPr>
            <w:r>
              <w:rPr/>
              <w:t>Supplier relationship</w:t>
            </w:r>
          </w:p>
        </w:tc>
        <w:tc>
          <w:tcPr>
            <w:tcW w:w="60"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center"/>
              <w:rPr/>
            </w:pPr>
            <w:bookmarkStart w:id="297" w:name="xdx_909_eus-gaap--FiniteLivedIntangibleA"/>
            <w:bookmarkEnd w:id="297"/>
            <w:r>
              <w:rPr/>
              <w:t>6 years</w:t>
            </w:r>
          </w:p>
        </w:tc>
      </w:tr>
      <w:tr>
        <w:trPr/>
        <w:tc>
          <w:tcPr>
            <w:tcW w:w="3155" w:type="dxa"/>
            <w:tcBorders/>
            <w:shd w:fill="EEEEEE" w:val="clear"/>
            <w:vAlign w:val="center"/>
          </w:tcPr>
          <w:p>
            <w:pPr>
              <w:pStyle w:val="TableContents"/>
              <w:bidi w:val="0"/>
              <w:spacing w:before="0" w:after="283"/>
              <w:jc w:val="left"/>
              <w:rPr/>
            </w:pPr>
            <w:r>
              <w:rPr/>
              <w:t>Software</w:t>
            </w:r>
          </w:p>
        </w:tc>
        <w:tc>
          <w:tcPr>
            <w:tcW w:w="60" w:type="dxa"/>
            <w:tcBorders/>
            <w:shd w:fill="EEEEEE" w:val="clear"/>
            <w:vAlign w:val="center"/>
          </w:tcPr>
          <w:p>
            <w:pPr>
              <w:pStyle w:val="TableContents"/>
              <w:bidi w:val="0"/>
              <w:spacing w:before="0" w:after="283"/>
              <w:jc w:val="left"/>
              <w:rPr/>
            </w:pPr>
            <w:r>
              <w:rPr/>
              <w:t> </w:t>
            </w:r>
          </w:p>
        </w:tc>
        <w:tc>
          <w:tcPr>
            <w:tcW w:w="1115" w:type="dxa"/>
            <w:tcBorders/>
            <w:shd w:fill="EEEEEE" w:val="clear"/>
            <w:vAlign w:val="center"/>
          </w:tcPr>
          <w:p>
            <w:pPr>
              <w:pStyle w:val="TableContents"/>
              <w:bidi w:val="0"/>
              <w:spacing w:before="0" w:after="283"/>
              <w:jc w:val="center"/>
              <w:rPr/>
            </w:pPr>
            <w:bookmarkStart w:id="298" w:name="xdx_904_eus-gaap--FiniteLivedIntangibleA"/>
            <w:bookmarkEnd w:id="298"/>
            <w:r>
              <w:rPr/>
              <w:t>5 years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reviews the recoverability of long-lived assets, including the intangible assets, when events or changes in circumstances occur that indicate the carrying value of the asset may not be recoverable. The assessment of possible impairment is based on the ability to recover the carrying value of the asset from the expected future pretax cash flows (undiscounted and without interest charges) of the related operations. If these cash flows are less than the carrying value of such asset, an impairment loss is recognized for the difference between estimated fair value and carrying value. The measurement of impairment requires management to make estimates of these cash flows related to long-lived assets, as well as other fair value determinations. As of June 30, 2023, there were no indicators of impairment.</w:t>
      </w:r>
    </w:p>
    <w:p>
      <w:pPr>
        <w:pStyle w:val="TextBody"/>
        <w:bidi w:val="0"/>
        <w:spacing w:before="0" w:after="0"/>
        <w:ind w:left="0" w:right="0" w:hanging="0"/>
        <w:jc w:val="both"/>
        <w:rPr>
          <w:caps w:val="false"/>
          <w:smallCaps w:val="false"/>
        </w:rPr>
      </w:pPr>
      <w:bookmarkStart w:id="299" w:name="xdx_231_zg8JwdGqky0a"/>
      <w:bookmarkEnd w:id="299"/>
      <w:r>
        <w:rPr>
          <w:caps w:val="false"/>
          <w:smallCaps w:val="false"/>
        </w:rPr>
        <w:t> </w:t>
      </w:r>
    </w:p>
    <w:p>
      <w:pPr>
        <w:pStyle w:val="TextBody"/>
        <w:bidi w:val="0"/>
        <w:spacing w:before="0" w:after="0"/>
        <w:ind w:left="0" w:right="0" w:hanging="0"/>
        <w:jc w:val="both"/>
        <w:rPr>
          <w:caps w:val="false"/>
          <w:smallCaps w:val="false"/>
        </w:rPr>
      </w:pPr>
      <w:bookmarkStart w:id="300" w:name="xdx_234_ziI2eazIDFBj"/>
      <w:bookmarkEnd w:id="300"/>
      <w:r>
        <w:rPr>
          <w:caps w:val="false"/>
          <w:smallCaps w:val="false"/>
        </w:rPr>
        <w:t> </w:t>
      </w:r>
    </w:p>
    <w:p>
      <w:pPr>
        <w:pStyle w:val="TextBody"/>
        <w:bidi w:val="0"/>
        <w:spacing w:before="0" w:after="0"/>
        <w:ind w:left="0" w:right="0" w:hanging="0"/>
        <w:jc w:val="both"/>
        <w:rPr>
          <w:caps w:val="false"/>
          <w:smallCaps w:val="false"/>
        </w:rPr>
      </w:pPr>
      <w:bookmarkStart w:id="301" w:name="xdx_236_zn9zrl6rRFCc"/>
      <w:bookmarkEnd w:id="301"/>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F-10</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302" w:name="xdx_232_zWpHnuN49WOe"/>
      <w:bookmarkEnd w:id="302"/>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303" w:name="xdx_862_zPwoTUVkZRll"/>
      <w:bookmarkStart w:id="304" w:name="xdx_841_eus-gaap--FairValueOfFinancialIn"/>
      <w:bookmarkEnd w:id="303"/>
      <w:bookmarkEnd w:id="304"/>
      <w:r>
        <w:rPr>
          <w:rFonts w:ascii="Times New Roman;Times;Serif" w:hAnsi="Times New Roman;Times;Serif"/>
          <w:b w:val="false"/>
          <w:i w:val="false"/>
          <w:caps w:val="false"/>
          <w:smallCaps w:val="false"/>
          <w:sz w:val="20"/>
          <w:u w:val="single"/>
        </w:rPr>
        <w:t xml:space="preserve">Fair values of financial instruments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825, “Disclosures about Fair Value of Financial Instruments,” requires disclosure of fair value information about financial instruments. ASC 820, “Fair Value Measurements” defines fair value, establishes a framework for measuring fair value in generally accepted accounting principles, and expands disclosures about 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cash and cash equivalents, accounts receivable, accounts payable and all other current assets and liabilities approximate fair values due to their short-term 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15, 2022, as part of the consideration for the acquisition of Anivia, the Company issued a two-year unsecured 6% subordinated promissory note, payable in equal semi-annual installments commencing August 15, 2022 (the “Purchase Note”). The principal amount of the Purchase Note was $</w:t>
      </w:r>
      <w:bookmarkStart w:id="305" w:name="xdx_90C_eus-gaap--DebtInstrumentFaceAmou"/>
      <w:bookmarkEnd w:id="305"/>
      <w:r>
        <w:rPr>
          <w:rFonts w:ascii="Times New Roman;Times;Serif" w:hAnsi="Times New Roman;Times;Serif"/>
          <w:b w:val="false"/>
          <w:i w:val="false"/>
          <w:caps w:val="false"/>
          <w:smallCaps w:val="false"/>
          <w:sz w:val="20"/>
        </w:rPr>
        <w:t>3.5 million. On February 15, 2022, the Company evaluated the fair value of the Purchase Note to be $</w:t>
      </w:r>
      <w:bookmarkStart w:id="306" w:name="xdx_90B_eus-gaap--DebtInstrumentFairValu"/>
      <w:bookmarkEnd w:id="306"/>
      <w:r>
        <w:rPr>
          <w:rFonts w:ascii="Times New Roman;Times;Serif" w:hAnsi="Times New Roman;Times;Serif"/>
          <w:b w:val="false"/>
          <w:i w:val="false"/>
          <w:caps w:val="false"/>
          <w:smallCaps w:val="false"/>
          <w:sz w:val="20"/>
        </w:rPr>
        <w:t>3.6 million using the following inputs:</w:t>
      </w:r>
    </w:p>
    <w:p>
      <w:pPr>
        <w:pStyle w:val="Normal"/>
        <w:bidi w:val="0"/>
        <w:spacing w:before="0" w:after="0"/>
        <w:jc w:val="left"/>
        <w:rPr>
          <w:sz w:val="4"/>
          <w:szCs w:val="4"/>
        </w:rPr>
      </w:pPr>
      <w:r>
        <w:rPr>
          <w:sz w:val="4"/>
          <w:szCs w:val="4"/>
        </w:rPr>
      </w:r>
      <w:bookmarkStart w:id="307" w:name="xdx_889_ecustom--FairValueAssumptionsTab"/>
      <w:bookmarkStart w:id="308" w:name="xdx_889_ecustom--FairValueAssumptionsTab"/>
      <w:bookmarkEnd w:id="308"/>
    </w:p>
    <w:tbl>
      <w:tblPr>
        <w:tblW w:w="5245" w:type="dxa"/>
        <w:jc w:val="left"/>
        <w:tblInd w:w="0" w:type="dxa"/>
        <w:tblLayout w:type="fixed"/>
        <w:tblCellMar>
          <w:top w:w="0" w:type="dxa"/>
          <w:left w:w="0" w:type="dxa"/>
          <w:bottom w:w="0" w:type="dxa"/>
          <w:right w:w="0" w:type="dxa"/>
        </w:tblCellMar>
      </w:tblPr>
      <w:tblGrid>
        <w:gridCol w:w="4715"/>
        <w:gridCol w:w="530"/>
      </w:tblGrid>
      <w:tr>
        <w:trPr/>
        <w:tc>
          <w:tcPr>
            <w:tcW w:w="4715" w:type="dxa"/>
            <w:tcBorders/>
            <w:vAlign w:val="center"/>
          </w:tcPr>
          <w:p>
            <w:pPr>
              <w:pStyle w:val="TableContents"/>
              <w:bidi w:val="0"/>
              <w:spacing w:before="0" w:after="283"/>
              <w:jc w:val="left"/>
              <w:rPr/>
            </w:pPr>
            <w:bookmarkStart w:id="309" w:name="xdx_8BC_zvNtodIYeBEf"/>
            <w:bookmarkEnd w:id="309"/>
            <w:r>
              <w:rPr/>
              <w:t>Schedule of assumptions for financial instruments</w:t>
            </w:r>
          </w:p>
        </w:tc>
        <w:tc>
          <w:tcPr>
            <w:tcW w:w="530" w:type="dxa"/>
            <w:tcBorders/>
            <w:vAlign w:val="center"/>
          </w:tcPr>
          <w:p>
            <w:pPr>
              <w:pStyle w:val="TableContents"/>
              <w:bidi w:val="0"/>
              <w:spacing w:before="0" w:after="283"/>
              <w:jc w:val="left"/>
              <w:rPr/>
            </w:pPr>
            <w:r>
              <w:rPr/>
              <w:t> </w:t>
            </w:r>
          </w:p>
        </w:tc>
      </w:tr>
      <w:tr>
        <w:trPr/>
        <w:tc>
          <w:tcPr>
            <w:tcW w:w="4715" w:type="dxa"/>
            <w:tcBorders/>
            <w:shd w:fill="EEEEEE" w:val="clear"/>
            <w:vAlign w:val="center"/>
          </w:tcPr>
          <w:p>
            <w:pPr>
              <w:pStyle w:val="TableContents"/>
              <w:bidi w:val="0"/>
              <w:spacing w:before="0" w:after="283"/>
              <w:jc w:val="left"/>
              <w:rPr/>
            </w:pPr>
            <w:r>
              <w:rPr/>
              <w:t>Corporate bond yield</w:t>
            </w:r>
          </w:p>
        </w:tc>
        <w:tc>
          <w:tcPr>
            <w:tcW w:w="530" w:type="dxa"/>
            <w:tcBorders/>
            <w:shd w:fill="EEEEEE" w:val="clear"/>
            <w:vAlign w:val="center"/>
          </w:tcPr>
          <w:p>
            <w:pPr>
              <w:pStyle w:val="TableContents"/>
              <w:bidi w:val="0"/>
              <w:spacing w:before="0" w:after="283"/>
              <w:jc w:val="left"/>
              <w:rPr/>
            </w:pPr>
            <w:bookmarkStart w:id="310" w:name="xdx_90E_eus-gaap--DerivativesBasisAndUse"/>
            <w:bookmarkEnd w:id="310"/>
            <w:r>
              <w:rPr/>
              <w:t>3.1%</w:t>
            </w:r>
          </w:p>
        </w:tc>
      </w:tr>
      <w:tr>
        <w:trPr/>
        <w:tc>
          <w:tcPr>
            <w:tcW w:w="4715" w:type="dxa"/>
            <w:tcBorders/>
            <w:shd w:fill="FFFFFF" w:val="clear"/>
            <w:vAlign w:val="center"/>
          </w:tcPr>
          <w:p>
            <w:pPr>
              <w:pStyle w:val="TableContents"/>
              <w:bidi w:val="0"/>
              <w:spacing w:before="0" w:after="283"/>
              <w:jc w:val="left"/>
              <w:rPr/>
            </w:pPr>
            <w:r>
              <w:rPr/>
              <w:t>Risk-free rate</w:t>
            </w:r>
          </w:p>
        </w:tc>
        <w:tc>
          <w:tcPr>
            <w:tcW w:w="530" w:type="dxa"/>
            <w:tcBorders/>
            <w:shd w:fill="FFFFFF" w:val="clear"/>
            <w:vAlign w:val="center"/>
          </w:tcPr>
          <w:p>
            <w:pPr>
              <w:pStyle w:val="TableContents"/>
              <w:bidi w:val="0"/>
              <w:spacing w:before="0" w:after="283"/>
              <w:jc w:val="left"/>
              <w:rPr/>
            </w:pPr>
            <w:bookmarkStart w:id="311" w:name="xdx_903_eus-gaap--DerivativesBasisAndUse"/>
            <w:bookmarkEnd w:id="311"/>
            <w:r>
              <w:rPr/>
              <w:t>1.6%</w:t>
            </w:r>
          </w:p>
        </w:tc>
      </w:tr>
      <w:tr>
        <w:trPr/>
        <w:tc>
          <w:tcPr>
            <w:tcW w:w="4715" w:type="dxa"/>
            <w:tcBorders/>
            <w:shd w:fill="EEEEEE" w:val="clear"/>
            <w:vAlign w:val="center"/>
          </w:tcPr>
          <w:p>
            <w:pPr>
              <w:pStyle w:val="TableContents"/>
              <w:bidi w:val="0"/>
              <w:spacing w:before="0" w:after="283"/>
              <w:jc w:val="left"/>
              <w:rPr/>
            </w:pPr>
            <w:r>
              <w:rPr/>
              <w:t>Liquidity premium</w:t>
            </w:r>
          </w:p>
        </w:tc>
        <w:tc>
          <w:tcPr>
            <w:tcW w:w="530" w:type="dxa"/>
            <w:tcBorders/>
            <w:shd w:fill="EEEEEE" w:val="clear"/>
            <w:vAlign w:val="center"/>
          </w:tcPr>
          <w:p>
            <w:pPr>
              <w:pStyle w:val="TableContents"/>
              <w:bidi w:val="0"/>
              <w:spacing w:before="0" w:after="283"/>
              <w:jc w:val="left"/>
              <w:rPr/>
            </w:pPr>
            <w:bookmarkStart w:id="312" w:name="xdx_907_eus-gaap--DerivativesBasisAndUse"/>
            <w:bookmarkEnd w:id="312"/>
            <w:r>
              <w:rPr/>
              <w:t>0.4%</w:t>
            </w:r>
          </w:p>
        </w:tc>
      </w:tr>
      <w:tr>
        <w:trPr/>
        <w:tc>
          <w:tcPr>
            <w:tcW w:w="4715" w:type="dxa"/>
            <w:tcBorders/>
            <w:shd w:fill="FFFFFF" w:val="clear"/>
            <w:vAlign w:val="center"/>
          </w:tcPr>
          <w:p>
            <w:pPr>
              <w:pStyle w:val="TableContents"/>
              <w:bidi w:val="0"/>
              <w:spacing w:before="0" w:after="283"/>
              <w:jc w:val="left"/>
              <w:rPr/>
            </w:pPr>
            <w:r>
              <w:rPr/>
              <w:t>Discount rate</w:t>
            </w:r>
          </w:p>
        </w:tc>
        <w:tc>
          <w:tcPr>
            <w:tcW w:w="530" w:type="dxa"/>
            <w:tcBorders/>
            <w:shd w:fill="FFFFFF" w:val="clear"/>
            <w:vAlign w:val="center"/>
          </w:tcPr>
          <w:p>
            <w:pPr>
              <w:pStyle w:val="TableContents"/>
              <w:bidi w:val="0"/>
              <w:spacing w:before="0" w:after="283"/>
              <w:jc w:val="left"/>
              <w:rPr/>
            </w:pPr>
            <w:bookmarkStart w:id="313" w:name="xdx_90A_eus-gaap--DerivativesBasisAndUse"/>
            <w:bookmarkEnd w:id="313"/>
            <w:r>
              <w:rPr/>
              <w:t>3.5%</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2023, the outstanding principal balance of the Purchase Note was $</w:t>
      </w:r>
      <w:bookmarkStart w:id="314" w:name="xdx_902_eus-gaap--LongTermDebt_iI_c20230"/>
      <w:bookmarkEnd w:id="314"/>
      <w:r>
        <w:rPr>
          <w:rFonts w:ascii="Times New Roman;Times;Serif" w:hAnsi="Times New Roman;Times;Serif"/>
          <w:b w:val="false"/>
          <w:i w:val="false"/>
          <w:caps w:val="false"/>
          <w:smallCaps w:val="false"/>
          <w:sz w:val="20"/>
        </w:rPr>
        <w:t>2,017,852, including a premium of $</w:t>
      </w:r>
      <w:bookmarkStart w:id="315" w:name="xdx_905_eus-gaap--DebtInstrumentUnamorti"/>
      <w:bookmarkEnd w:id="315"/>
      <w:r>
        <w:rPr>
          <w:rFonts w:ascii="Times New Roman;Times;Serif" w:hAnsi="Times New Roman;Times;Serif"/>
          <w:b w:val="false"/>
          <w:i w:val="false"/>
          <w:caps w:val="false"/>
          <w:smallCaps w:val="false"/>
          <w:sz w:val="20"/>
        </w:rPr>
        <w:t>31,602 and $</w:t>
      </w:r>
      <w:bookmarkStart w:id="316" w:name="xdx_908_eus-gaap--InterestPayableCurrent"/>
      <w:bookmarkEnd w:id="316"/>
      <w:r>
        <w:rPr>
          <w:rFonts w:ascii="Times New Roman;Times;Serif" w:hAnsi="Times New Roman;Times;Serif"/>
          <w:b w:val="false"/>
          <w:i w:val="false"/>
          <w:caps w:val="false"/>
          <w:smallCaps w:val="false"/>
          <w:sz w:val="20"/>
        </w:rPr>
        <w:t>236,250 of accrued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other financial instruments to be reported at fair value, the Company utilizes valuation techniques that maximize the use of observable inputs and minimize the use of unobservable inputs to the extent possible. The Company determines the fair value of its financial instruments based on assumptions that market participants would use in pricing an asset or liability in the principal or most advantageous market. When considering market participant assumptions in fair value measurements, the following fair value hierarchy distinguishes between observable and unobservable inputs, which are categorized in one of the following levels: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Inputs are unadjusted, quoted prices in active markets for identical assets or liabilities at the measurement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Unobservable inputs that are significant to the measurement of the fair value of the assets or liabilities that are supported by little or no market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have any assets or liabilities measured at fair value on a recurring basis. We measure certain non-financial assets on a non-recurring basis, including goodwill. As a result of those measurements, we recognized an impairment charge of $3.1 million during the year ended June 30, 2023 as follows:</w:t>
      </w:r>
    </w:p>
    <w:p>
      <w:pPr>
        <w:pStyle w:val="Normal"/>
        <w:bidi w:val="0"/>
        <w:spacing w:before="0" w:after="0"/>
        <w:jc w:val="left"/>
        <w:rPr>
          <w:sz w:val="4"/>
          <w:szCs w:val="4"/>
        </w:rPr>
      </w:pPr>
      <w:r>
        <w:rPr>
          <w:sz w:val="4"/>
          <w:szCs w:val="4"/>
        </w:rPr>
      </w:r>
      <w:bookmarkStart w:id="317" w:name="xdx_88E_eus-gaap--FairValueAssetsMeasure"/>
      <w:bookmarkStart w:id="318" w:name="xdx_88E_eus-gaap--FairValueAssetsMeasure"/>
      <w:bookmarkEnd w:id="318"/>
    </w:p>
    <w:tbl>
      <w:tblPr>
        <w:tblW w:w="9720" w:type="dxa"/>
        <w:jc w:val="left"/>
        <w:tblInd w:w="0" w:type="dxa"/>
        <w:tblLayout w:type="fixed"/>
        <w:tblCellMar>
          <w:top w:w="0" w:type="dxa"/>
          <w:left w:w="0" w:type="dxa"/>
          <w:bottom w:w="0" w:type="dxa"/>
          <w:right w:w="0" w:type="dxa"/>
        </w:tblCellMar>
      </w:tblPr>
      <w:tblGrid>
        <w:gridCol w:w="4205"/>
        <w:gridCol w:w="60"/>
        <w:gridCol w:w="60"/>
        <w:gridCol w:w="140"/>
        <w:gridCol w:w="980"/>
        <w:gridCol w:w="60"/>
        <w:gridCol w:w="60"/>
        <w:gridCol w:w="370"/>
        <w:gridCol w:w="370"/>
        <w:gridCol w:w="60"/>
        <w:gridCol w:w="60"/>
        <w:gridCol w:w="370"/>
        <w:gridCol w:w="370"/>
        <w:gridCol w:w="60"/>
        <w:gridCol w:w="60"/>
        <w:gridCol w:w="140"/>
        <w:gridCol w:w="980"/>
        <w:gridCol w:w="60"/>
        <w:gridCol w:w="60"/>
        <w:gridCol w:w="140"/>
        <w:gridCol w:w="980"/>
        <w:gridCol w:w="75"/>
      </w:tblGrid>
      <w:tr>
        <w:trPr/>
        <w:tc>
          <w:tcPr>
            <w:tcW w:w="4205" w:type="dxa"/>
            <w:tcBorders/>
            <w:vAlign w:val="center"/>
          </w:tcPr>
          <w:p>
            <w:pPr>
              <w:pStyle w:val="TableContents"/>
              <w:bidi w:val="0"/>
              <w:spacing w:before="0" w:after="283"/>
              <w:jc w:val="left"/>
              <w:rPr/>
            </w:pPr>
            <w:bookmarkStart w:id="319" w:name="xdx_8BE_zBMshVaQInm3"/>
            <w:bookmarkEnd w:id="319"/>
            <w:r>
              <w:rPr/>
              <w:t>Schedule of fair value on nonrecurring basis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2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jc w:val="center"/>
              <w:rPr/>
            </w:pPr>
            <w:r>
              <w:rPr/>
              <w:t>Total Fair</w:t>
            </w:r>
          </w:p>
          <w:p>
            <w:pPr>
              <w:pStyle w:val="TableContents"/>
              <w:bidi w:val="0"/>
              <w:spacing w:before="0" w:after="283"/>
              <w:jc w:val="center"/>
              <w:rPr/>
            </w:pPr>
            <w:r>
              <w:rP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pPr>
            <w:r>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pPr>
            <w:r>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pPr>
            <w:r>
              <w:rPr/>
              <w:t>Level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jc w:val="center"/>
              <w:rPr/>
            </w:pPr>
            <w:r>
              <w:rPr/>
              <w:t>Total</w:t>
            </w:r>
          </w:p>
          <w:p>
            <w:pPr>
              <w:pStyle w:val="TableContents"/>
              <w:bidi w:val="0"/>
              <w:jc w:val="center"/>
              <w:rPr/>
            </w:pPr>
            <w:r>
              <w:rPr/>
              <w:t>Impairment</w:t>
            </w:r>
          </w:p>
          <w:p>
            <w:pPr>
              <w:pStyle w:val="TableContents"/>
              <w:bidi w:val="0"/>
              <w:spacing w:before="0" w:after="283"/>
              <w:jc w:val="center"/>
              <w:rPr/>
            </w:pPr>
            <w:r>
              <w:rPr/>
              <w:t>Loss</w:t>
            </w:r>
          </w:p>
        </w:tc>
        <w:tc>
          <w:tcPr>
            <w:tcW w:w="75" w:type="dxa"/>
            <w:tcBorders/>
            <w:vAlign w:val="center"/>
          </w:tcPr>
          <w:p>
            <w:pPr>
              <w:pStyle w:val="TableContents"/>
              <w:bidi w:val="0"/>
              <w:spacing w:before="0" w:after="283"/>
              <w:jc w:val="left"/>
              <w:rPr/>
            </w:pPr>
            <w:r>
              <w:rPr/>
              <w:t> </w:t>
            </w:r>
          </w:p>
        </w:tc>
      </w:tr>
      <w:tr>
        <w:trPr/>
        <w:tc>
          <w:tcPr>
            <w:tcW w:w="4205" w:type="dxa"/>
            <w:tcBorders/>
            <w:shd w:fill="EEEEEE"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Goodwill</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w:t>
            </w:r>
            <w:bookmarkStart w:id="320" w:name="xdx_982_eus-gaap--AssetsFairValueDisclos"/>
            <w:bookmarkEnd w:id="320"/>
          </w:p>
        </w:tc>
        <w:tc>
          <w:tcPr>
            <w:tcW w:w="980" w:type="dxa"/>
            <w:tcBorders>
              <w:bottom w:val="single" w:sz="8" w:space="0" w:color="000000"/>
            </w:tcBorders>
            <w:shd w:fill="EEEEEE" w:val="clear"/>
            <w:tcMar>
              <w:bottom w:w="28" w:type="dxa"/>
            </w:tcMar>
            <w:vAlign w:val="center"/>
          </w:tcPr>
          <w:p>
            <w:pPr>
              <w:pStyle w:val="TableContents"/>
              <w:bidi w:val="0"/>
              <w:spacing w:before="0" w:after="283"/>
              <w:jc w:val="right"/>
              <w:rPr/>
            </w:pPr>
            <w:r>
              <w:rPr/>
              <w:t>3,034,110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370" w:type="dxa"/>
            <w:tcBorders>
              <w:bottom w:val="single" w:sz="8" w:space="0" w:color="000000"/>
            </w:tcBorders>
            <w:shd w:fill="EEEEEE" w:val="clear"/>
            <w:tcMar>
              <w:bottom w:w="28" w:type="dxa"/>
            </w:tcMar>
            <w:vAlign w:val="center"/>
          </w:tcPr>
          <w:p>
            <w:pPr>
              <w:pStyle w:val="TableContents"/>
              <w:bidi w:val="0"/>
              <w:spacing w:before="0" w:after="283"/>
              <w:jc w:val="left"/>
              <w:rPr/>
            </w:pPr>
            <w:r>
              <w:rPr/>
              <w:t>$</w:t>
            </w:r>
            <w:bookmarkStart w:id="321" w:name="xdx_98F_eus-gaap--AssetsFairValueDisclos"/>
            <w:bookmarkEnd w:id="321"/>
          </w:p>
        </w:tc>
        <w:tc>
          <w:tcPr>
            <w:tcW w:w="370"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370" w:type="dxa"/>
            <w:tcBorders>
              <w:bottom w:val="single" w:sz="8" w:space="0" w:color="000000"/>
            </w:tcBorders>
            <w:shd w:fill="EEEEEE" w:val="clear"/>
            <w:tcMar>
              <w:bottom w:w="28" w:type="dxa"/>
            </w:tcMar>
            <w:vAlign w:val="center"/>
          </w:tcPr>
          <w:p>
            <w:pPr>
              <w:pStyle w:val="TableContents"/>
              <w:bidi w:val="0"/>
              <w:spacing w:before="0" w:after="283"/>
              <w:jc w:val="left"/>
              <w:rPr/>
            </w:pPr>
            <w:r>
              <w:rPr/>
              <w:t>$</w:t>
            </w:r>
            <w:bookmarkStart w:id="322" w:name="xdx_981_eus-gaap--AssetsFairValueDisclos"/>
            <w:bookmarkEnd w:id="322"/>
          </w:p>
        </w:tc>
        <w:tc>
          <w:tcPr>
            <w:tcW w:w="370"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w:t>
            </w:r>
            <w:bookmarkStart w:id="323" w:name="xdx_98D_eus-gaap--AssetsFairValueDisclos"/>
            <w:bookmarkEnd w:id="323"/>
          </w:p>
        </w:tc>
        <w:tc>
          <w:tcPr>
            <w:tcW w:w="980" w:type="dxa"/>
            <w:tcBorders>
              <w:bottom w:val="single" w:sz="8" w:space="0" w:color="000000"/>
            </w:tcBorders>
            <w:shd w:fill="EEEEEE" w:val="clear"/>
            <w:tcMar>
              <w:bottom w:w="28" w:type="dxa"/>
            </w:tcMar>
            <w:vAlign w:val="center"/>
          </w:tcPr>
          <w:p>
            <w:pPr>
              <w:pStyle w:val="TableContents"/>
              <w:bidi w:val="0"/>
              <w:spacing w:before="0" w:after="283"/>
              <w:jc w:val="right"/>
              <w:rPr/>
            </w:pPr>
            <w:r>
              <w:rPr/>
              <w:t>3,034,110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w:t>
            </w:r>
            <w:bookmarkStart w:id="324" w:name="xdx_987_eus-gaap--GoodwillImpairmentLoss"/>
            <w:bookmarkEnd w:id="324"/>
          </w:p>
        </w:tc>
        <w:tc>
          <w:tcPr>
            <w:tcW w:w="980" w:type="dxa"/>
            <w:tcBorders>
              <w:bottom w:val="single" w:sz="8" w:space="0" w:color="000000"/>
            </w:tcBorders>
            <w:shd w:fill="EEEEEE" w:val="clear"/>
            <w:tcMar>
              <w:bottom w:w="28" w:type="dxa"/>
            </w:tcMar>
            <w:vAlign w:val="center"/>
          </w:tcPr>
          <w:p>
            <w:pPr>
              <w:pStyle w:val="TableContents"/>
              <w:bidi w:val="0"/>
              <w:spacing w:before="0" w:after="283"/>
              <w:jc w:val="right"/>
              <w:rPr/>
            </w:pPr>
            <w:r>
              <w:rPr/>
              <w:t>3,060,034</w:t>
            </w:r>
          </w:p>
        </w:tc>
        <w:tc>
          <w:tcPr>
            <w:tcW w:w="75" w:type="dxa"/>
            <w:tcBorders/>
            <w:shd w:fill="EEEEEE" w:val="clear"/>
            <w:vAlign w:val="center"/>
          </w:tcPr>
          <w:p>
            <w:pPr>
              <w:pStyle w:val="TableContents"/>
              <w:bidi w:val="0"/>
              <w:spacing w:before="0" w:after="283"/>
              <w:jc w:val="left"/>
              <w:rPr/>
            </w:pPr>
            <w:r>
              <w:rPr/>
              <w:t> </w:t>
            </w:r>
          </w:p>
        </w:tc>
      </w:tr>
      <w:tr>
        <w:trPr/>
        <w:tc>
          <w:tcPr>
            <w:tcW w:w="42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325" w:name="xdx_983_eus-gaap--AssetsFairValueDisclos"/>
            <w:bookmarkEnd w:id="325"/>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3,034,110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326" w:name="xdx_98C_eus-gaap--AssetsFairValueDisclos"/>
            <w:bookmarkEnd w:id="326"/>
          </w:p>
        </w:tc>
        <w:tc>
          <w:tcPr>
            <w:tcW w:w="37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327" w:name="xdx_98F_eus-gaap--AssetsFairValueDisclos"/>
            <w:bookmarkEnd w:id="327"/>
          </w:p>
        </w:tc>
        <w:tc>
          <w:tcPr>
            <w:tcW w:w="37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328" w:name="xdx_98D_eus-gaap--AssetsFairValueDisclos"/>
            <w:bookmarkEnd w:id="328"/>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3,034,110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329" w:name="xdx_98B_eus-gaap--GoodwillImpairmentLoss"/>
            <w:bookmarkEnd w:id="329"/>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3,060,034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with a total carrying value of $</w:t>
      </w:r>
      <w:bookmarkStart w:id="330" w:name="xdx_900_eus-gaap--Goodwill_iI_dm_c202202"/>
      <w:bookmarkEnd w:id="330"/>
      <w:r>
        <w:rPr>
          <w:rFonts w:ascii="Times New Roman;Times;Serif" w:hAnsi="Times New Roman;Times;Serif"/>
          <w:b w:val="false"/>
          <w:i w:val="false"/>
          <w:caps w:val="false"/>
          <w:smallCaps w:val="false"/>
          <w:sz w:val="20"/>
        </w:rPr>
        <w:t>6.1 million, was written down to its fair value of $3.0 million, resulting in an impairment charge of $</w:t>
      </w:r>
      <w:bookmarkStart w:id="331" w:name="xdx_908_eus-gaap--GoodwillImpairmentLoss"/>
      <w:bookmarkEnd w:id="331"/>
      <w:r>
        <w:rPr>
          <w:rFonts w:ascii="Times New Roman;Times;Serif" w:hAnsi="Times New Roman;Times;Serif"/>
          <w:b w:val="false"/>
          <w:i w:val="false"/>
          <w:caps w:val="false"/>
          <w:smallCaps w:val="false"/>
          <w:sz w:val="20"/>
        </w:rPr>
        <w:t>3,060,034, which was recorded in earnings for the year ended June 30, 2023. The fair value of goodwill was determined based on the discounted cash flow method, which is an income approach, which required the use of inputs that were unobservable in the marketplace (Level 3), including a discount rate that would be used by a market participant, projections of revenues and cash flows with the revised projections reflecting the increase in freight and storage costs in the current interim quarter, among others.</w:t>
      </w:r>
    </w:p>
    <w:p>
      <w:pPr>
        <w:pStyle w:val="TextBody"/>
        <w:bidi w:val="0"/>
        <w:spacing w:before="0" w:after="0"/>
        <w:ind w:left="720" w:right="0" w:hanging="0"/>
        <w:jc w:val="left"/>
        <w:rPr>
          <w:caps w:val="false"/>
          <w:smallCaps w:val="false"/>
        </w:rPr>
      </w:pPr>
      <w:bookmarkStart w:id="332" w:name="xdx_238_zJ0mjAACLcx4"/>
      <w:bookmarkEnd w:id="332"/>
      <w:r>
        <w:rPr>
          <w:caps w:val="false"/>
          <w:smallCaps w:val="false"/>
        </w:rPr>
        <w:t> </w:t>
      </w:r>
    </w:p>
    <w:p>
      <w:pPr>
        <w:pStyle w:val="TextBody"/>
        <w:bidi w:val="0"/>
        <w:spacing w:before="0" w:after="0"/>
        <w:ind w:left="720" w:right="0" w:hanging="0"/>
        <w:jc w:val="left"/>
        <w:rPr>
          <w:caps w:val="false"/>
          <w:smallCaps w:val="false"/>
        </w:rPr>
      </w:pPr>
      <w:bookmarkStart w:id="333" w:name="xdx_23E_z5ZMxqcGqB42"/>
      <w:bookmarkEnd w:id="333"/>
      <w:r>
        <w:rPr>
          <w:caps w:val="false"/>
          <w:smallCaps w:val="false"/>
        </w:rPr>
        <w:t> </w:t>
      </w:r>
    </w:p>
    <w:p>
      <w:pPr>
        <w:pStyle w:val="TextBody"/>
        <w:bidi w:val="0"/>
        <w:spacing w:before="0" w:after="0"/>
        <w:ind w:left="720" w:right="0" w:hanging="0"/>
        <w:jc w:val="left"/>
        <w:rPr>
          <w:caps w:val="false"/>
          <w:smallCaps w:val="false"/>
        </w:rPr>
      </w:pPr>
      <w:bookmarkStart w:id="334" w:name="xdx_23E_zmp8MzK3RIAd"/>
      <w:bookmarkEnd w:id="334"/>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F-11</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720" w:right="0" w:hanging="0"/>
        <w:jc w:val="left"/>
        <w:rPr>
          <w:caps w:val="false"/>
          <w:smallCaps w:val="false"/>
        </w:rPr>
      </w:pPr>
      <w:bookmarkStart w:id="335" w:name="xdx_234_zHfXzfGzWzHk"/>
      <w:bookmarkEnd w:id="335"/>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336" w:name="xdx_868_zqAgek0vMzRg"/>
      <w:bookmarkStart w:id="337" w:name="xdx_84E_eus-gaap--RevenueFromContractWit"/>
      <w:bookmarkEnd w:id="336"/>
      <w:bookmarkEnd w:id="337"/>
      <w:r>
        <w:rPr>
          <w:rFonts w:ascii="Times New Roman;Times;Serif" w:hAnsi="Times New Roman;Times;Serif"/>
          <w:b w:val="false"/>
          <w:i w:val="false"/>
          <w:caps w:val="false"/>
          <w:smallCaps w:val="false"/>
          <w:sz w:val="20"/>
          <w:u w:val="single"/>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from product sales revenues, net of promotional discounts and return allowances, when the following revenue recognition criteria are met: a contract has been identified, separate performance obligations are identified, the transaction price is determined, the transaction price is allocated to separate performance obligations and revenue is recognized upon satisfying each performance obligation. The Company transfers the risk of loss or damage upon shipment, therefore, revenue from product sales is recognized when it is shipped to the customer. Return allowances, which reduce product revenue by the Company’s best estimate of expected product returns, are estimated using historical experience.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the criteria of ASC 606 - Revenue Recognition Principal Agent Considerations in determining whether it is appropriate to record the gross amount of product sales and related costs or the net amount earned as commissions. Generally, when the Company is primarily responsible for fulfilling the promise to provide a specified good or service, the Company is subject to inventory risk before the good or service has been transferred to a customer and the Company has discretion in establishing the price, revenue is recorded at gross.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received prior to the delivery of goods to customers are recorded as customer deposits.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periodically provides incentive offers to its customers to encourage purchases. Such offers include current discount offers, such as percentage discounts off current purchases and other similar offers. Current discount offers, when accepted by the Company’s customers, are treated as a reduction to the purchase price of the related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discounts are recorded in the period in which the related sale is recognized. Sales return allowances are estimated based on historical amounts and are recorded upon recognizing the related sales. Shipping and handling costs are recorded as selling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338" w:name="xdx_86B_zukH7ZfcjI0b"/>
      <w:bookmarkStart w:id="339" w:name="xdx_847_eus-gaap--AdvertisingCostsPolicy"/>
      <w:bookmarkEnd w:id="338"/>
      <w:bookmarkEnd w:id="339"/>
      <w:r>
        <w:rPr>
          <w:rFonts w:ascii="Times New Roman;Times;Serif" w:hAnsi="Times New Roman;Times;Serif"/>
          <w:b w:val="false"/>
          <w:i w:val="false"/>
          <w:caps w:val="false"/>
          <w:smallCaps w:val="false"/>
          <w:sz w:val="20"/>
          <w:u w:val="single"/>
        </w:rPr>
        <w:t>Advertising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Advertising costs are expensed as incurred. Total advertising and promotional costs included in selling and fulfillment expenses for the years ended June 30, 2023 and 2022 were $</w:t>
      </w:r>
      <w:bookmarkStart w:id="340" w:name="xdx_905_eus-gaap--AdvertisingExpense_c20"/>
      <w:bookmarkEnd w:id="340"/>
      <w:r>
        <w:rPr>
          <w:rFonts w:ascii="Times New Roman;Times;Serif" w:hAnsi="Times New Roman;Times;Serif"/>
          <w:b w:val="false"/>
          <w:i w:val="false"/>
          <w:caps w:val="false"/>
          <w:smallCaps w:val="false"/>
          <w:sz w:val="20"/>
        </w:rPr>
        <w:t>5,331,152 and $</w:t>
      </w:r>
      <w:bookmarkStart w:id="341" w:name="xdx_907_eus-gaap--AdvertisingExpense_c20"/>
      <w:bookmarkEnd w:id="341"/>
      <w:r>
        <w:rPr>
          <w:rFonts w:ascii="Times New Roman;Times;Serif" w:hAnsi="Times New Roman;Times;Serif"/>
          <w:b w:val="false"/>
          <w:i w:val="false"/>
          <w:caps w:val="false"/>
          <w:smallCaps w:val="false"/>
          <w:sz w:val="20"/>
        </w:rPr>
        <w:t>2,718,082,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342" w:name="xdx_86C_zzm5LLgq4vj7"/>
      <w:bookmarkStart w:id="343" w:name="xdx_84B_ecustom--CostOfRevenuePolicyText"/>
      <w:bookmarkEnd w:id="342"/>
      <w:bookmarkEnd w:id="343"/>
      <w:r>
        <w:rPr>
          <w:rFonts w:ascii="Times New Roman;Times;Serif" w:hAnsi="Times New Roman;Times;Serif"/>
          <w:b w:val="false"/>
          <w:i w:val="false"/>
          <w:caps w:val="false"/>
          <w:smallCaps w:val="false"/>
          <w:sz w:val="20"/>
          <w:u w:val="single"/>
        </w:rPr>
        <w:t>Cost of revenue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mainly consists of costs for purchases of products and related inbound freight and delivery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344" w:name="xdx_868_znKYEx2NRJ88"/>
      <w:bookmarkStart w:id="345" w:name="xdx_849_ecustom--OperatingExpensesPolicy"/>
      <w:bookmarkEnd w:id="344"/>
      <w:bookmarkEnd w:id="345"/>
      <w:r>
        <w:rPr>
          <w:rFonts w:ascii="Times New Roman;Times;Serif" w:hAnsi="Times New Roman;Times;Serif"/>
          <w:b w:val="false"/>
          <w:i w:val="false"/>
          <w:caps w:val="false"/>
          <w:smallCaps w:val="false"/>
          <w:sz w:val="20"/>
          <w:u w:val="single"/>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 which consist of selling and fulfillment and general and administrative expenses, are expensed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346" w:name="xdx_869_zA2zTU99TElk"/>
      <w:bookmarkStart w:id="347" w:name="xdx_84D_eus-gaap--InventoryPolicyTextBlo"/>
      <w:bookmarkEnd w:id="346"/>
      <w:bookmarkEnd w:id="347"/>
      <w:r>
        <w:rPr>
          <w:rFonts w:ascii="Times New Roman;Times;Serif" w:hAnsi="Times New Roman;Times;Serif"/>
          <w:b w:val="false"/>
          <w:i w:val="false"/>
          <w:caps w:val="false"/>
          <w:smallCaps w:val="false"/>
          <w:sz w:val="20"/>
          <w:u w:val="single"/>
        </w:rPr>
        <w:t>Inventory,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consists of finished goods ready for sale and is stated at the lower of cost or market. The Company values its inventory using the weighted average costing method. The Company’s policy is to include as a part of inventory and cost of goods sold any freight incurred to ship the product from its vendors to warehouses. Outbound freight costs related to shipping costs to customers are considered periodic costs and are reflected in selling and fulfillment expenses. The Company regularly reviews inventory and considers forecasts of future demand, market conditions and product obsolescence.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estimated realizable value of the inventory is less than cost, the Company makes provisions in order to reduce its carrying value to its estimated market value. The Company also reviews inventory for slow moving inventory and obsolescence and records allowance for obsolescence.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348" w:name="xdx_23C_zgYysPXndyn"/>
      <w:bookmarkEnd w:id="348"/>
      <w:r>
        <w:rPr>
          <w:caps w:val="false"/>
          <w:smallCaps w:val="false"/>
        </w:rPr>
        <w:t> </w:t>
      </w:r>
    </w:p>
    <w:p>
      <w:pPr>
        <w:pStyle w:val="TextBody"/>
        <w:bidi w:val="0"/>
        <w:spacing w:before="0" w:after="0"/>
        <w:ind w:left="0" w:right="0" w:hanging="0"/>
        <w:jc w:val="both"/>
        <w:rPr>
          <w:caps w:val="false"/>
          <w:smallCaps w:val="false"/>
        </w:rPr>
      </w:pPr>
      <w:bookmarkStart w:id="349" w:name="xdx_238_zfbEHnlUNmTg"/>
      <w:bookmarkEnd w:id="349"/>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F-12</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350" w:name="xdx_23A_zP80GNLn77Gj"/>
      <w:bookmarkEnd w:id="350"/>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351" w:name="xdx_863_zl9w8PHyw5Sd"/>
      <w:bookmarkStart w:id="352" w:name="xdx_84F_ecustom--DebtIssuanceCostsPolicy"/>
      <w:bookmarkEnd w:id="351"/>
      <w:bookmarkEnd w:id="352"/>
      <w:r>
        <w:rPr>
          <w:rFonts w:ascii="Times New Roman;Times;Serif" w:hAnsi="Times New Roman;Times;Serif"/>
          <w:b w:val="false"/>
          <w:i w:val="false"/>
          <w:caps w:val="false"/>
          <w:smallCaps w:val="false"/>
          <w:sz w:val="20"/>
          <w:u w:val="single"/>
        </w:rPr>
        <w:t>Debt Issuance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incurred in connection with the issuance of debt are deferred and amortized as interest expense over the term of the related debt using the effective interest method. To the extent that the debt is outstanding, these amounts are reflected in the consolidated balance sheets as direct deductions from the carrying amount of the outstanding borrowings.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353" w:name="xdx_86E_zUozlweCaOn1"/>
      <w:bookmarkStart w:id="354" w:name="xdx_844_eus-gaap--SegmentReportingPolicy"/>
      <w:bookmarkEnd w:id="353"/>
      <w:bookmarkEnd w:id="354"/>
      <w:r>
        <w:rPr>
          <w:rFonts w:ascii="Times New Roman;Times;Serif" w:hAnsi="Times New Roman;Times;Serif"/>
          <w:b w:val="false"/>
          <w:i w:val="false"/>
          <w:caps w:val="false"/>
          <w:smallCaps w:val="false"/>
          <w:sz w:val="20"/>
          <w:u w:val="single"/>
        </w:rPr>
        <w:t>Segment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follows ASC 280, Segment Reporting. The Company’s chief operating decision maker, the Chief Executive Officer, reviews the consolidated results of operations when making decisions about allocating resources and assessing the performance of the Company as a whole and, hence, the Company has only one reportable segment. The Company does not distinguish between markets or segments for the purpose of internal reporting. For the years ended June 30, 2023 and 2022, sales through Amazon to Canada and other foreign countries were approximately </w:t>
      </w:r>
      <w:bookmarkStart w:id="355" w:name="xdx_90D_eus-gaap--ConcentrationRiskPerce"/>
      <w:bookmarkEnd w:id="355"/>
      <w:r>
        <w:rPr>
          <w:rFonts w:ascii="Times New Roman;Times;Serif" w:hAnsi="Times New Roman;Times;Serif"/>
          <w:b w:val="false"/>
          <w:i w:val="false"/>
          <w:caps w:val="false"/>
          <w:smallCaps w:val="false"/>
          <w:sz w:val="20"/>
        </w:rPr>
        <w:t xml:space="preserve">10% and </w:t>
      </w:r>
      <w:bookmarkStart w:id="356" w:name="xdx_903_eus-gaap--ConcentrationRiskPerce"/>
      <w:bookmarkEnd w:id="356"/>
      <w:r>
        <w:rPr>
          <w:rFonts w:ascii="Times New Roman;Times;Serif" w:hAnsi="Times New Roman;Times;Serif"/>
          <w:b w:val="false"/>
          <w:i w:val="false"/>
          <w:caps w:val="false"/>
          <w:smallCaps w:val="false"/>
          <w:sz w:val="20"/>
        </w:rPr>
        <w:t xml:space="preserve">7.2% of the Company’s total sales. Sales of hydroponic products, including ventilation and grow light systems, was approximately </w:t>
      </w:r>
      <w:bookmarkStart w:id="357" w:name="xdx_900_eus-gaap--ConcentrationRiskPerce"/>
      <w:bookmarkEnd w:id="357"/>
      <w:r>
        <w:rPr>
          <w:rFonts w:ascii="Times New Roman;Times;Serif" w:hAnsi="Times New Roman;Times;Serif"/>
          <w:b w:val="false"/>
          <w:i w:val="false"/>
          <w:caps w:val="false"/>
          <w:smallCaps w:val="false"/>
          <w:sz w:val="20"/>
        </w:rPr>
        <w:t xml:space="preserve">23% of the Company’s total sales and the remaining </w:t>
      </w:r>
      <w:bookmarkStart w:id="358" w:name="xdx_90F_eus-gaap--ConcentrationRiskPerce"/>
      <w:bookmarkEnd w:id="358"/>
      <w:r>
        <w:rPr>
          <w:rFonts w:ascii="Times New Roman;Times;Serif" w:hAnsi="Times New Roman;Times;Serif"/>
          <w:b w:val="false"/>
          <w:i w:val="false"/>
          <w:caps w:val="false"/>
          <w:smallCaps w:val="false"/>
          <w:sz w:val="20"/>
        </w:rPr>
        <w:t>77% consisted of general gardening, home goods, and other products and accessories. As of June 30, 2023, the Company had approximately $</w:t>
      </w:r>
      <w:bookmarkStart w:id="359" w:name="xdx_90B_eus-gaap--InventoryGross_iI_dm_c"/>
      <w:bookmarkEnd w:id="359"/>
      <w:r>
        <w:rPr>
          <w:rFonts w:ascii="Times New Roman;Times;Serif" w:hAnsi="Times New Roman;Times;Serif"/>
          <w:b w:val="false"/>
          <w:i w:val="false"/>
          <w:caps w:val="false"/>
          <w:smallCaps w:val="false"/>
          <w:sz w:val="20"/>
        </w:rPr>
        <w:t>1.6 million of inventory stored in China. The Company’s majority of long-lived assets are located in California, United States, majority of the deferred tax assets are US related, and a majority of the Company’s revenues are derived from within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360" w:name="xdx_86C_zBUmy5tbk4C8"/>
      <w:bookmarkStart w:id="361" w:name="xdx_849_eus-gaap--LesseeLeasesPolicyText"/>
      <w:bookmarkEnd w:id="360"/>
      <w:bookmarkEnd w:id="361"/>
      <w:r>
        <w:rPr>
          <w:rFonts w:ascii="Times New Roman;Times;Serif" w:hAnsi="Times New Roman;Times;Serif"/>
          <w:b w:val="false"/>
          <w:i w:val="false"/>
          <w:caps w:val="false"/>
          <w:smallCaps w:val="false"/>
          <w:sz w:val="20"/>
          <w:u w:val="single"/>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right-of-use (“ROU”) assets and related lease obligations on the balance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ROU assets represent our right to use an underlying asset for the lease terms and lease liabilities represent our obligation to make lease payments arising from the lease. Operating lease ROU assets and liabilities are recognized at commencement date based on the present value of lease payments over the lease term. As the Company’s leases do not provide an implicit rate, the Company generally uses its incremental borrowing rate based on the estimated rate of interest for collateralized borrowing over a similar term of the lease payments at commencement date. The operating lease ROU asset also includes any lease payments made and excludes lease incentives. Lease expense for lease payments is recognized on a straight-line basis over the lease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362" w:name="xdx_86D_zS4oN8qzgMDb"/>
      <w:bookmarkStart w:id="363" w:name="xdx_844_eus-gaap--ShareBasedCompensation"/>
      <w:bookmarkEnd w:id="362"/>
      <w:bookmarkEnd w:id="363"/>
      <w:r>
        <w:rPr>
          <w:rFonts w:ascii="Times New Roman;Times;Serif" w:hAnsi="Times New Roman;Times;Serif"/>
          <w:b w:val="false"/>
          <w:i w:val="false"/>
          <w:caps w:val="false"/>
          <w:smallCaps w:val="false"/>
          <w:sz w:val="20"/>
          <w:u w:val="single"/>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applies ASC No. 718, “Compensation-Stock Compensation,” which requires that share-based payment transactions with employees and nonemployees upon adoption of ASU 2018-07, be measured based on the grant date fair value of the equity instrument and recognized as compensation expense over the requisite service period, with a corresponding addition to equity. Under this method, compensation cost related to employee share options or similar equity instruments is measured at the grant date based on the fair value of the award and is recognized over the period during which an employee is required to provide service in exchange for the award, which generally is the vesting period. In addition to requisite service period, the Company also evaluates the performance condition and market condition under ASC 718-10-20. For an award which contains both a performance and a market condition, and where both conditions must be satisfied for the award to vest, the market condition is incorporated into the fair value of the award, and that fair value is recognized over the employee’s requisite service period or nonemployee’s vesting period if it is probable the performance condition will be met. If the performance condition is ultimately not met, compensation cost related to the award should not be recognized (or should be reversed) because the vesting condition in the award has not been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recognize forfeitures of such equity-based compensation as they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364" w:name="xdx_232_zAcqR85zZ5Nk"/>
      <w:bookmarkEnd w:id="364"/>
      <w:r>
        <w:rPr>
          <w:caps w:val="false"/>
          <w:smallCaps w:val="false"/>
        </w:rPr>
        <w:t> </w:t>
      </w:r>
    </w:p>
    <w:p>
      <w:pPr>
        <w:pStyle w:val="TextBody"/>
        <w:bidi w:val="0"/>
        <w:spacing w:before="0" w:after="0"/>
        <w:ind w:left="0" w:right="0" w:hanging="0"/>
        <w:jc w:val="both"/>
        <w:rPr>
          <w:caps w:val="false"/>
          <w:smallCaps w:val="false"/>
        </w:rPr>
      </w:pPr>
      <w:bookmarkStart w:id="365" w:name="xdx_230_zY7k2kFgZSc5"/>
      <w:bookmarkEnd w:id="365"/>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F-13</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366" w:name="xdx_238_zFFsLDYqiAZa"/>
      <w:bookmarkEnd w:id="366"/>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367" w:name="xdx_869_zJ2MOW7sExM7"/>
      <w:bookmarkStart w:id="368" w:name="xdx_84C_eus-gaap--IncomeTaxPolicyTextBlo"/>
      <w:bookmarkEnd w:id="367"/>
      <w:bookmarkEnd w:id="368"/>
      <w:r>
        <w:rPr>
          <w:rFonts w:ascii="Times New Roman;Times;Serif" w:hAnsi="Times New Roman;Times;Serif"/>
          <w:b w:val="false"/>
          <w:i w:val="false"/>
          <w:caps w:val="false"/>
          <w:smallCaps w:val="false"/>
          <w:sz w:val="20"/>
          <w:u w:val="single"/>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income taxes under the asset and liability method. Deferred tax assets and liabilities are recognized for future tax consequences attributable to differences between the financial statement carrying amounts of existing assets and liabilities and their perspective tax bases. Deferred tax assets and liabilities are measured using enacted tax rates expected to apply to taxable income in the years in which the temporary differences are expected to be recovered or settled. The effect on deferred tax assets and liabilities of a change in tax rates is recognized in income in the period that includes the enactment date. Valuation allowances are recorded, when necessary, to reduce deferred tax assets to the amount expected to be realized. As of June 30, 2023, the Company expected that the deferred tax assets are fully realizable so did </w:t>
      </w:r>
      <w:bookmarkStart w:id="369" w:name="xdx_90C_eus-gaap--DeferredTaxAssetsValua"/>
      <w:bookmarkEnd w:id="369"/>
      <w:r>
        <w:rPr>
          <w:rFonts w:ascii="Times New Roman;Times;Serif" w:hAnsi="Times New Roman;Times;Serif"/>
          <w:b w:val="false"/>
          <w:i w:val="false"/>
          <w:caps w:val="false"/>
          <w:smallCaps w:val="false"/>
          <w:sz w:val="20"/>
        </w:rPr>
        <w:t>not record any valuation allowance.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analyzed filing positions in each of the federal and state jurisdictions where the Company is required to file income tax returns, as well as open tax years in such jurisdictions. The Company has identified the U.S. federal jurisdiction, and the states of Nevada and California, as its “major” tax jurisdictions. However, the Company has certain tax attribute carryforwards which will remain subject to review and adjustment by the relevant tax authorities until the statute of limitations closes with respect to the year in which such attributes are utilized.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that our income tax filing positions and deductions will be sustained on audit and do not anticipate any adjustments that will result in a material change to its financial position. Therefore, no reserves for uncertain income tax positions have been recorded pursuant to ASC 740, Income Taxes. The Company’s policy for recording interest and penalties associated with income-based tax audits is to record such items as a component of 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370" w:name="xdx_863_zfPz1xILVYUg"/>
      <w:bookmarkStart w:id="371" w:name="xdx_84F_eus-gaap--CommitmentsAndContinge"/>
      <w:bookmarkEnd w:id="370"/>
      <w:bookmarkEnd w:id="371"/>
      <w:r>
        <w:rPr>
          <w:rFonts w:ascii="Times New Roman;Times;Serif" w:hAnsi="Times New Roman;Times;Serif"/>
          <w:b w:val="false"/>
          <w:i w:val="false"/>
          <w:caps w:val="false"/>
          <w:smallCaps w:val="false"/>
          <w:sz w:val="20"/>
          <w:u w:val="single"/>
        </w:rPr>
        <w:t>Commitments and contingencies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business, the Company is subject to certain contingencies, including legal proceedings and claims arising out of the business that relate to a wide range of matters, such as government investigations and tax matters. The Company recognizes a liability for such contingency if it determines it is probable that a loss has occurred and a reasonable estimate of the loss can be made. The Company may consider many factors in making these assessments including historical and specific facts and circumstances of each matter.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372" w:name="xdx_860_zCU2qUCO0oA2"/>
      <w:bookmarkStart w:id="373" w:name="xdx_84E_eus-gaap--EarningsPerSharePolicy"/>
      <w:bookmarkEnd w:id="372"/>
      <w:bookmarkEnd w:id="373"/>
      <w:r>
        <w:rPr>
          <w:rFonts w:ascii="Times New Roman;Times;Serif" w:hAnsi="Times New Roman;Times;Serif"/>
          <w:b w:val="false"/>
          <w:i w:val="false"/>
          <w:caps w:val="false"/>
          <w:smallCaps w:val="false"/>
          <w:sz w:val="20"/>
          <w:u w:val="single"/>
        </w:rPr>
        <w:t>Earnings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earnings per share are computed by dividing net income attributable to holders of common stock by the weighted average number of shares of common stock outstanding during the year. Diluted earnings per share reflect the potential dilution that could occur if securities to issue common stock were exercised.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374" w:name="xdx_86D_zGOzwXbNLXsd"/>
      <w:bookmarkStart w:id="375" w:name="xdx_843_eus-gaap--NewAccountingPronounce"/>
      <w:bookmarkEnd w:id="374"/>
      <w:bookmarkEnd w:id="375"/>
      <w:r>
        <w:rPr>
          <w:rFonts w:ascii="Times New Roman;Times;Serif" w:hAnsi="Times New Roman;Times;Serif"/>
          <w:b w:val="false"/>
          <w:i w:val="false"/>
          <w:caps w:val="false"/>
          <w:smallCaps w:val="false"/>
          <w:sz w:val="20"/>
          <w:u w:val="single"/>
        </w:rPr>
        <w:t>Recently issued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2022, FASB issued ASU 2022-04, Liabilities—Supplier Finance Programs (Subtopic 405-50): Disclosure of Supplier Finance Program Obligations. The amendments in this ASU require that a company that uses a supplier finance program in connection with the purchase of goods or services disclose sufficient information about the program to allow a user of financial statements to understand the program’s nature, activity during the period, changes from period to period, and potential magnitude. ASU 2022-04 is effective for fiscal years, including interim periods within those fiscal years, beginning after December 15, 2022, except for the rollforward of the supplier finance program obligations, which is effective for fiscal years beginning after December 15, 2023. Early adoption is permitted. An entity should apply ASU No. 2022-04 retrospectively to all periods in which a balance sheet is presented, except for the obligation rollforward, which should be applied prospectively. The Company does not expect the adoption of this standard to have a material impact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2022, FASB issued ASU 2022-03, Fair Value Measurement (Topic 820): Fair Value Measurement of Equity Securities Subject to Contractual Sale Restrictions. The amendments in this ASU clarify the guidance in ASC 820 on the fair value measurement of an equity security that is subject to a contractual sale restriction and require specific disclosures related to such an equity security. This standard is effective for fiscal years beginning after December 15, 2024. The Company does not expect the adoption of this standard to have a material impact on its consolidated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bookmarkStart w:id="376" w:name="xdx_234_zhkQQRIUqGo5"/>
      <w:bookmarkEnd w:id="376"/>
      <w:r>
        <w:rPr>
          <w:caps w:val="false"/>
          <w:smallCaps w:val="false"/>
        </w:rPr>
        <w:t> </w:t>
      </w:r>
    </w:p>
    <w:p>
      <w:pPr>
        <w:pStyle w:val="TextBody"/>
        <w:bidi w:val="0"/>
        <w:spacing w:before="0" w:after="0"/>
        <w:ind w:left="0" w:right="0" w:firstLine="720"/>
        <w:jc w:val="both"/>
        <w:rPr>
          <w:caps w:val="false"/>
          <w:smallCaps w:val="false"/>
        </w:rPr>
      </w:pPr>
      <w:bookmarkStart w:id="377" w:name="xdx_23C_z26EFjU9o397"/>
      <w:bookmarkEnd w:id="377"/>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F-14</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both"/>
        <w:rPr>
          <w:caps w:val="false"/>
          <w:smallCaps w:val="false"/>
        </w:rPr>
      </w:pPr>
      <w:bookmarkStart w:id="378" w:name="xdx_23E_zz7kGVYyZsOk"/>
      <w:bookmarkEnd w:id="378"/>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2021, the FASB issued ASU 2021-08, Business Combinations (Topic 805), Accounting for Contract Assets and Contract Liabilities from Contracts with Customers. This ASU clarifies that an acquirer of a business should recognize and measure contract assets and contract liabilities in a business combination in accordance with ASU 2014-09, Revenue from Contracts with Customers (Topic 606) as if the entity had originated the contracts. The guidance is effective for fiscal years beginning after December 15, 2023, with early application permitted. The Company does not expect the adoption of this standard to have a material impact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2020 and January 2021, the FASB issued ASU No. 2020-04, Reference Rate Reform (Topic 848): Facilitation of the Effects of Reference Rate Reform on Financial Reporting and ASU No. 2021-01, Reference Rate Reform (Topic 848): Scope, respectively (collectively, “Topic 848”). Topic 848 provides optional expedients and exceptions for applying GAAP to contracts, hedging relationships and other transactions that reference the London Interbank Offered Rate (“LIBOR”) or another reference rate expected to be discontinued because of reference rate reform. The expedients and exceptions provided by Topic 848 are effective for all entities as of March 12, 2020 through December 31, 2022. In December 2022, the FASB issued ASU 2022-06, Reference Rate reform (Topic 848): Deferral of the Sunset Date of Topic 848, which deferred the sunset date of Topic 848, Reference Rate Reform to December 31, 2024, after which entities will no longer be permitted to apply the relief in Topic 848. The Company does not expect the adoption of this standard to have a material impact on the Company's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2020, the FASB issued ASU 2020-06, “Debt – Debt with Conversion and Other Options (Subtopic 470-20) and Derivatives and Hedging – Contracts in Entity’s Own Equity (Subtopic 815-40).” This ASU reduces the number of accounting models for convertible debt instruments and convertible preferred stock, as well as amend the guidance for the derivatives scope exception for contracts in an entity’s own equity to reduce form-over-substance-based accounting conclusions. In addition, this ASU improves and amends the related EPS guidance. This standard is effective for the Company on July 1, 2024, including interim periods within those fiscal years. Adoption is either a modified retrospective method or a fully retrospective method of transition. The Company does not expect the adoption of this standard to have a material impact on its consolidated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2020, the FASB issued ASU 2020-01, “Investments - Equity Securities (Topic 321), Investments - Equity Method and Joint Ventures (Topic 323), and Derivatives and Hedging (Topic 815) - Clarifying the Interactions between Topic 321, Topic 323, and Topic 815.” This ASU among other things clarifies that a company should consider observable transactions that require a company to either apply or discontinue the equity method of accounting under Topic 323, Investments—Equity Method and Joint Ventures, for the purposes of applying the measurement alternative in accordance with Topic 321 immediately before applying or upon discontinuing the equity method. The new ASU clarifies that, when determining the accounting for certain forward contracts and purchased options a company should not consider, whether upon settlement or exercise, if the underlying securities would be accounted for under the equity method or fair value option. ASU 2020-01 is effective for public business entities for fiscal years, and interim periods within those fiscal years, beginning after December 15, 2021. An entity should apply ASU 2020-01 prospectively at the beginning of the interim period that includes the adoption date. The Company adopted ASU 2020-01 on July 1, 2022. The adoption of ASU 2020-01 did not have material impact on the Company's consolidated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2019, the FASB issued ASU 2019-12, Income Taxes (Topic 740) – Simplifying the Accounting for Income Taxes. The update is intended to simplify the current rules regarding the accounting for income taxes and addresses several technical topics including accounting for franchise taxes, allocating income taxes between a loss in continuing operations and in other categories such as discontinued operations, reporting income taxes for legal entities that are not subject to income taxes, and interim accounting for enacted changes in tax laws. The new standard is effective for fiscal years beginning after December 15, 2021, and interim periods within fiscal years beginning after December 15, 2022; however, early adoption is permitted. The Company adopted ASU 2019-12 on July 1, 2022. The adoption of this standard did not have material impact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2017, the FASB issued ASU 2017-04, “Intangibles - Goodwill and Other (Topic 350): Simplifying the Test for Goodwill Impairment,” which eliminates step two from the goodwill impairment test. Under ASU 2017-04, an entity should recognize an impairment charge for the amount by which the carrying amount of a reporting unit exceeds its fair value up to the amount of goodwill allocated to that reporting unit. ASU 2017-04 became effective for accelerated filing companies for annual periods or any interim goodwill impairment tests in fiscal years beginning after December 15, 2019. All other entities, including not-for-profit entities, that are adopting the amendments in this Update should do so for their annual or any interim goodwill impairment tests in fiscal years beginning after December 15, 2022. Early adoption is permitted for interim or annual goodwill impairment tests performed on testing dates after January 1, 2017. The Company has adopted ASU 2017-04. See the disclosures above on Goodwill for further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believe other recently issued but not yet effective accounting standards, if currently adopted, would have a material effect on the consolidated financial position, statements of operations and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379" w:name="xdx_234_z9so4lgD3seg"/>
      <w:bookmarkEnd w:id="379"/>
      <w:r>
        <w:rPr>
          <w:caps w:val="false"/>
          <w:smallCaps w:val="false"/>
        </w:rPr>
        <w:t> </w:t>
      </w:r>
    </w:p>
    <w:p>
      <w:pPr>
        <w:pStyle w:val="TextBody"/>
        <w:bidi w:val="0"/>
        <w:spacing w:before="0" w:after="0"/>
        <w:ind w:left="0" w:right="0" w:hanging="0"/>
        <w:jc w:val="both"/>
        <w:rPr>
          <w:caps w:val="false"/>
          <w:smallCaps w:val="false"/>
        </w:rPr>
      </w:pPr>
      <w:bookmarkStart w:id="380" w:name="xdx_237_z9SNDgXetXM6"/>
      <w:bookmarkEnd w:id="380"/>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F-15</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381" w:name="xdx_238_zKcVEVhYLn71"/>
      <w:bookmarkEnd w:id="381"/>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bookmarkStart w:id="382" w:name="xdx_868_zuOhLnwS9xc"/>
      <w:bookmarkStart w:id="383" w:name="xdx_84A_eus-gaap--SubsequentEventsPolicy"/>
      <w:bookmarkEnd w:id="382"/>
      <w:bookmarkEnd w:id="383"/>
      <w:r>
        <w:rPr>
          <w:rFonts w:ascii="Times New Roman;Times;Serif" w:hAnsi="Times New Roman;Times;Serif"/>
          <w:b w:val="false"/>
          <w:i w:val="false"/>
          <w:caps w:val="false"/>
          <w:smallCaps w:val="false"/>
          <w:sz w:val="20"/>
          <w:u w:val="single"/>
        </w:rPr>
        <w:t>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subsequent events and transactions that occurred after the balance sheet date through the date that the consolidated financial statements are available to be issued. Material subsequent events that required recognition or additional disclosure in the consolidated financial statements are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84" w:name="xdx_80A_ecustom--JointVenturesDisclosure"/>
      <w:bookmarkEnd w:id="384"/>
      <w:r>
        <w:rPr>
          <w:rFonts w:ascii="Times New Roman;Times;Serif" w:hAnsi="Times New Roman;Times;Serif"/>
          <w:b/>
          <w:i w:val="false"/>
          <w:caps w:val="false"/>
          <w:smallCaps w:val="false"/>
          <w:sz w:val="20"/>
        </w:rPr>
        <w:t xml:space="preserve">Note 3 - </w:t>
      </w:r>
      <w:bookmarkStart w:id="385" w:name="xdx_82E_zJ25AVy9kqJc"/>
      <w:bookmarkEnd w:id="385"/>
      <w:r>
        <w:rPr>
          <w:rFonts w:ascii="Times New Roman;Times;Serif" w:hAnsi="Times New Roman;Times;Serif"/>
          <w:b/>
          <w:i w:val="false"/>
          <w:caps w:val="false"/>
          <w:smallCaps w:val="false"/>
          <w:sz w:val="20"/>
        </w:rPr>
        <w:t>Joint Ventures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Box Harmony,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13, 2022, the Company entered into a joint venture agreement (the “Joint Venture Agreement”) with Titanium Plus Autoparts, Inc., a California corporation (“TPA”), Tony Chiu (“Chiu”) and Bin Xiao (“Xiao”). Pursuant to the terms of the Joint Venture Agreement, the parties formed a Nevada limited liability company, Box Harmony, LLC (“Box Harmony”), for the principal purpose of providing logistic services primarily for foreign-based manufacturers or distributors who desire to sell their products online in the United States, with such logistic services to include, without limitation, receiving, storing and transporting such products.</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entry into the Joint Venture Agreement, Box Harmony issued a total of 6,000 certificated units of membership interest, designated as Class A voting units (“Equity Units”), as follows: (i) the Company agreed to contribute $50,000 in cash in exchange for 2,400 Equity Units in Box Harmony and agreed to provide Box Harmony with the use and access to certain warehouse facilities leased by the Company (see below), and (ii) TPA received 1,200 Equity Units in exchange for (a) $1,200 and contributing the TPA IP License referred to below, (b) its existing and future customer contracts, and (c) granting Box Harmony the use of shipping accounts (FedEx and UPS) and all other TPA carrier contracts, and (iii) Xiao received 2,400 Equity Units in exchange for $2,400 and his agreement to manage the day to day operations of Box Harmony.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Box Harmony limited liability operating agreement (the “LLC Agreement”), TPA and Xiao each granted to the Company an unconditional and irrevocable right and option to purchase from Xiao and TPA at any time within the first 18 months following January 13, 2022, up to 1,200 Class A voting units, at an exercise price of $550 per Class A voting unit, for a total exercise price of up to $660,000. If such option is fully exercised, the Company would own 3,600 Equity Units or 60% of the total outstanding Equity Units. As of the date of this report, the Company had not exercised the option to purchase additional voting units from Xiao and TPA. The LLC Agreement prohibits the issuance of additional Equity Units and certain other actions unless approved in advance by the Company, that a noncontrolling right that would not be substantive to overcome the majority voting interests held by TPA and Xiao. In January 2023, TPA and Xiao transferred their 60% equity units to a third party without consideration as the LLC was still in development stage and did not have significant operations. The transfer of equity did not have any impact on the LLC’s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a result, the Company owns </w:t>
      </w:r>
      <w:bookmarkStart w:id="386" w:name="xdx_909_eus-gaap--EquityMethodInvestment"/>
      <w:bookmarkEnd w:id="386"/>
      <w:r>
        <w:rPr>
          <w:rFonts w:ascii="Times New Roman;Times;Serif" w:hAnsi="Times New Roman;Times;Serif"/>
          <w:b w:val="false"/>
          <w:i w:val="false"/>
          <w:caps w:val="false"/>
          <w:smallCaps w:val="false"/>
          <w:sz w:val="20"/>
        </w:rPr>
        <w:t>40% of the equity interest in Box Harmony with significant influence but does not own a majority equity interest or otherwise control of Box Harmony. The Company accounts for its ownership interest in Box Harmony following the equity method of accounting, in accordance with ASC 323, Investments —Equity Method and Joint Ventures. Under this method, the carrying cost is initially recorded at cost and then increased or decreased by recording its percentage of gain or loss in its statement of operations and a corresponding charge or credit to the carrying value of the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Global Social Media,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10, 2022, the Company entered into a joint venture agreement with Bro Angel, LLC, Ji Shin and Bing Luo (the “GSM Joint Venture Agreement”). Pursuant to the terms of the GSM Joint Venture Agreement, the parties formed a Nevada limited liability company, Global Social Media, LLC (“GSM”), for the principal purpose of providing a social media platform, contents and services to assist businesses, including the Company and other businesses, in marketing their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entry into the GSM Joint Venture Agreement, GSM issued 10,000 certificated units of membership interest (the “GSM Equity Units”), of which the Company was issued 6,000 GSM Equity Units and Bro Angel was issued 4,000 GSM Equity Units. Messrs. Shin and Luo are the owners of 100% of the equity of Bro Angel. The LLC Agreement prohibits the issuance of additional Equity Units and certain other actions unless approved in advance by Bro Angel, creating a noncontrolling right that would not be substantive to overcome the majority voting interests held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387" w:name="xdx_23A_zHI9LjQj0vuj"/>
      <w:bookmarkEnd w:id="387"/>
      <w:r>
        <w:rPr>
          <w:caps w:val="false"/>
          <w:smallCaps w:val="false"/>
        </w:rPr>
        <w:t> </w:t>
      </w:r>
    </w:p>
    <w:p>
      <w:pPr>
        <w:pStyle w:val="TextBody"/>
        <w:bidi w:val="0"/>
        <w:spacing w:before="0" w:after="0"/>
        <w:ind w:left="0" w:right="0" w:hanging="0"/>
        <w:jc w:val="left"/>
        <w:rPr>
          <w:caps w:val="false"/>
          <w:smallCaps w:val="false"/>
        </w:rPr>
      </w:pPr>
      <w:bookmarkStart w:id="388" w:name="xdx_23F_zPpt964Nv6c"/>
      <w:bookmarkEnd w:id="388"/>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F-16</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caps w:val="false"/>
          <w:smallCaps w:val="false"/>
        </w:rPr>
      </w:pPr>
      <w:bookmarkStart w:id="389" w:name="xdx_23F_zTADcmQGwBlf"/>
      <w:bookmarkEnd w:id="389"/>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report, the members had not completed the capital contributions and no receivables were recorded.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terms of the Agreements, the Company owns </w:t>
      </w:r>
      <w:bookmarkStart w:id="390" w:name="xdx_90F_eus-gaap--EquityMethodInvestment"/>
      <w:bookmarkEnd w:id="390"/>
      <w:r>
        <w:rPr>
          <w:rFonts w:ascii="Times New Roman;Times;Serif" w:hAnsi="Times New Roman;Times;Serif"/>
          <w:b w:val="false"/>
          <w:i w:val="false"/>
          <w:caps w:val="false"/>
          <w:smallCaps w:val="false"/>
          <w:sz w:val="20"/>
        </w:rPr>
        <w:t>60% of the equity interest in GSM and control of GSM’s operations. Based on ASU 2015-02, the Company consolidates GSM into its financial statements due to its majority equity ownership and control over operations. For the years ended June 30, 2023 and 2022, the impact of GSM’s activities were immaterial to the Company’s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91" w:name="xdx_80B_ecustom--AcquisitionOfAniviaLimi"/>
      <w:bookmarkEnd w:id="391"/>
      <w:r>
        <w:rPr>
          <w:rFonts w:ascii="Times New Roman;Times;Serif" w:hAnsi="Times New Roman;Times;Serif"/>
          <w:b/>
          <w:i w:val="false"/>
          <w:caps w:val="false"/>
          <w:smallCaps w:val="false"/>
          <w:sz w:val="20"/>
        </w:rPr>
        <w:t xml:space="preserve">Note 4 - </w:t>
      </w:r>
      <w:bookmarkStart w:id="392" w:name="xdx_824_zhulgghqaGL3"/>
      <w:bookmarkEnd w:id="392"/>
      <w:r>
        <w:rPr>
          <w:rFonts w:ascii="Times New Roman;Times;Serif" w:hAnsi="Times New Roman;Times;Serif"/>
          <w:b/>
          <w:i w:val="false"/>
          <w:caps w:val="false"/>
          <w:smallCaps w:val="false"/>
          <w:sz w:val="20"/>
        </w:rPr>
        <w:t>Acquisition of Anivia Limited and Subsidiaries and Variable Interest Entity</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15, 2022, the Company acquired 100% of the ordinary shares of Anivia Limited (“Anivia”), a corporation organized under the laws of the British Virgin Islands (“BVI”), in accordance with the terms of a share transfer framework agreement (the “Transfer Agreement”), dated February 15, 2022, by and between the Company, White Cherry Limited, a BVI company (“White Cherry”), White Cherry’s equity holders, Li Zanyu and Xie Jing (together with White Cherry, the “Sellers”), Anivia, Fly Elephant Limited, a Hong Kong company, Dayourenzai (Shenzhen) Technology Co., Ltd. and Daheshou (Shenzhen) Information Technology Co., Ltd. Anivia owns 100% of the equity of Fly Elephant Limited, which in turn owns 100% of the equity of Dayourenzai (Shenzhen) Technology Co., Ltd., a corporation located in the People’s Republic of China (“PRC”) and which is a wholly foreign-owned enterprise (“WFOE”) of Fly Elephant Limited. The WFOE controls, through contractual arrangements summarized below, the business, revenues and profits of Daheshou (Shenzhen) Information Technology Co., Ltd., a company organized under the Laws of the PRC (“DHS”) and located in Shenzhen, China.</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contractual arrangements between the WFOE and DHS are established through a variable interest operating entity structure, which is reflected in (i) an exclusive business cooperation agreement, dated December 15, 2021, between the WFOE and DHS, (ii) an exclusive equity interest pledge agreement, dated December 15, 2021, between the WFOE and DHS in which the equity of DHS was pledged to the WFOE, (iii) an exclusive option agreement, dated December 15, 2021, between the WFOE, DHS and its equity holders, Li Zanyu and Xie Jing (the “Equity Holders), pursuant to which the Equity Holders give the WFOE the irrevocable and exclusive right to purchase the equity interests in DHS, and (iii) a power of attorney, dated December 15, 2021, pursuant to which Li Zanyu and Xie Jing, the holders of 100% of the equity interest of DHS, granted the WFOE all voting and other rights to their equity interest in DHS. According to the exclusive business cooperation agreement, in consideration for the services provided by the WFOE, DHS shall pay a service fee to the WFOE on annual basis (or at any time agreed by the Parties). The service fees for each year (or for any other period agreed to by the Parties) shall consist of a management fee and a fee for services provided, which shall be reasonably determined by the WFOE based on the nature, complexity, time, and other market and operation factors. The WFOE may provide a separate confirmation letter and/or invoice to DHS to indicate the amount of service fees due for each service period; or the amount of services fees may be as set forth in the relevant contracts separately executed by the Parties. DHS is principally engaged in selling a wide range of products and providing logistic services in the PRC.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Agreements, the Company does not have direct ownership in DHS but is actively involved in DHS’s operations as the sole manager to direct the activities and significantly impact DHS’s economic performance. As such, based on the determination that the Company is the primary beneficiary of DHS, in accordance with ASC 810-10-25-38A through 25-38J, DHS is considered a variable interest entity (“VIE”) of the Company and the financial statements of DHS have been consolidated from the date such control existed, February 15, 2022.</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fair value of the consideration for the transaction was $</w:t>
      </w:r>
      <w:bookmarkStart w:id="393" w:name="xdx_908_eus-gaap--BusinessCombinationCon"/>
      <w:bookmarkEnd w:id="393"/>
      <w:r>
        <w:rPr>
          <w:rFonts w:ascii="Times New Roman;Times;Serif" w:hAnsi="Times New Roman;Times;Serif"/>
          <w:b w:val="false"/>
          <w:i w:val="false"/>
          <w:caps w:val="false"/>
          <w:smallCaps w:val="false"/>
          <w:sz w:val="20"/>
        </w:rPr>
        <w:t>10,629,000, which was paid to White Cherry as follows: at closing, the Company (i) paid $</w:t>
      </w:r>
      <w:bookmarkStart w:id="394" w:name="xdx_90D_eus-gaap--NotesIssued1_c20220214"/>
      <w:bookmarkEnd w:id="394"/>
      <w:r>
        <w:rPr>
          <w:rFonts w:ascii="Times New Roman;Times;Serif" w:hAnsi="Times New Roman;Times;Serif"/>
          <w:b w:val="false"/>
          <w:i w:val="false"/>
          <w:caps w:val="false"/>
          <w:smallCaps w:val="false"/>
          <w:sz w:val="20"/>
        </w:rPr>
        <w:t xml:space="preserve">3,500,000 in the form of a two-year unsecured 6% subordinated promissory note, payable in equal semi-annual installments commencing August 15, 2022 (the “Purchase Note”), (ii) issued </w:t>
      </w:r>
      <w:bookmarkStart w:id="395" w:name="xdx_900_eus-gaap--StockIssuedDuringPerio"/>
      <w:bookmarkEnd w:id="395"/>
      <w:r>
        <w:rPr>
          <w:rFonts w:ascii="Times New Roman;Times;Serif" w:hAnsi="Times New Roman;Times;Serif"/>
          <w:b w:val="false"/>
          <w:i w:val="false"/>
          <w:caps w:val="false"/>
          <w:smallCaps w:val="false"/>
          <w:sz w:val="20"/>
        </w:rPr>
        <w:t>3,083,700 restricted shares (subject to a lock-up period of 180 days and insider trading rules) of the Company’s common stock, and (iii) an additional $</w:t>
      </w:r>
      <w:bookmarkStart w:id="396" w:name="xdx_905_eus-gaap--PaymentsToAcquireBusin"/>
      <w:bookmarkEnd w:id="396"/>
      <w:r>
        <w:rPr>
          <w:rFonts w:ascii="Times New Roman;Times;Serif" w:hAnsi="Times New Roman;Times;Serif"/>
          <w:b w:val="false"/>
          <w:i w:val="false"/>
          <w:caps w:val="false"/>
          <w:smallCaps w:val="false"/>
          <w:sz w:val="20"/>
        </w:rPr>
        <w:t>1,500,000 in cash was to be paid after closing.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 Morgan Chase Bank, the Company’s senior secured lender (“JPM”), consented to the transaction. In conjunction with obtaining JPM’s consent, the Company delivered an amendment to the pledge and security agreement with JPM, pursuant to which the Company pledged to JPM 65% of the equity interest of Anivia Limited, Fly Elephant Limited and the WFOE.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bookmarkStart w:id="397" w:name="xdx_231_zBbBxgJxxpz6"/>
      <w:bookmarkEnd w:id="397"/>
      <w:r>
        <w:rPr>
          <w:caps w:val="false"/>
          <w:smallCaps w:val="false"/>
        </w:rPr>
        <w:t> </w:t>
      </w:r>
    </w:p>
    <w:p>
      <w:pPr>
        <w:pStyle w:val="TextBody"/>
        <w:shd w:fill="FFFFFF" w:val="clear"/>
        <w:bidi w:val="0"/>
        <w:spacing w:before="0" w:after="0"/>
        <w:ind w:left="0" w:right="0" w:hanging="0"/>
        <w:jc w:val="both"/>
        <w:rPr>
          <w:caps w:val="false"/>
          <w:smallCaps w:val="false"/>
        </w:rPr>
      </w:pPr>
      <w:bookmarkStart w:id="398" w:name="xdx_23C_ztoMGzaO25ph"/>
      <w:bookmarkEnd w:id="398"/>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F-17</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bookmarkStart w:id="399" w:name="xdx_239_zYEfnWmVA0Gl"/>
      <w:bookmarkEnd w:id="399"/>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before="0" w:after="0"/>
        <w:ind w:left="0" w:right="0" w:hanging="0"/>
        <w:jc w:val="both"/>
        <w:rPr>
          <w:caps w:val="false"/>
          <w:smallCaps w:val="false"/>
        </w:rPr>
      </w:pPr>
      <w:bookmarkStart w:id="400" w:name="xdx_238_zN7r6hiI61Yj"/>
      <w:bookmarkEnd w:id="400"/>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2022, in conjunction with the Company’s entry into the Second Amendment to the Credit Agreement, the Company’s promissory note holder, White Cherry Limited, an exempted company incorporated under the laws of the British Virgin Islands (“White Cherry”), entered into an amendment (the “Amendment”) to the subordination agreement, originally dated March 9, 2022 (the “Subordination Agreement”). The Amendment to the Subordination Agreement was amended solely for purposes of adjusting the definition of payment conditions under Section 2 of the Subordination Agreement such that “payment conditions” shall be deemed satisfied in connection with a permitted payment if (a) no event of default has occurred under the credit agreement and is continuing and (b) the Company shall have Excess Availability in the 30 days prior to the payment (as defined in the Second Amendment to the Credit Agreement) of no less than $7,500,000.</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conjunction with the closing of the transaction, the WFOE entered into an employment agreement with Li Zanyu, dated February 15, 2022 (the “Employment Agreement”), pursuant to which Mr. Li has been appointed to serve as general manager of the WFOE for a term of 10 years (through February 14, 2032), with annual base compensation of up to 500,000 RMB plus bonus as may be determined by the WFOE from time to time, in its sole discretion, based on Mr. Li’s performance. During such employment, Mr. Li may not engage in other employment without the consent of the WFOE.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acquisition of Anivia was accounted for as a business combination under ASC 805. As the acquirer for accounting purposes, the Company has estimated the fair value of Anivia and its subsidiaries’ assets acquired and conformed the accounting policies of Anivia to its own accounting policies. The Company applied the income approach and cost approach in determining the fair value of the intangible assets, which intangible assets consisted of a covenant not to compete, supplier relationship and software. The fair value of the remaining assets acquired and liabilities assumed were not significantly different from their carrying values at the acquisition date. In addition, pursuant to the Transfer Agreement, the Sellers made certain representations and warranties, including that other than the items presented on the balance sheet on February 15, 2022, DHS, the operating VIE, was not subject to any loans, debts, liabilities, guarantees or other contingent liabilities at the Closing date. In the event of any breach of any of the representations and warranties, the sellers shall bear joint and several liability for any direct or indirect losses suffered by the Company as a result thereof. The Company recognized an approximately $</w:t>
      </w:r>
      <w:bookmarkStart w:id="401" w:name="xdx_900_eus-gaap--Goodwill_iI_dm_c202202"/>
      <w:bookmarkEnd w:id="401"/>
      <w:r>
        <w:rPr>
          <w:rFonts w:ascii="Times New Roman;Times;Serif" w:hAnsi="Times New Roman;Times;Serif"/>
          <w:b w:val="false"/>
          <w:i w:val="false"/>
          <w:caps w:val="false"/>
          <w:smallCaps w:val="false"/>
          <w:sz w:val="20"/>
        </w:rPr>
        <w:t>6.1 million of goodwill in the transaction, which is primarily due to the subsumed assembled workforce intangible assets. Goodwill is not deductible for income tax purposes. The Company expensed with the acquisition, certain legal and accounting costs of $</w:t>
      </w:r>
      <w:bookmarkStart w:id="402" w:name="xdx_908_eus-gaap--OtherGeneralAndAdminis"/>
      <w:bookmarkEnd w:id="402"/>
      <w:r>
        <w:rPr>
          <w:rFonts w:ascii="Times New Roman;Times;Serif" w:hAnsi="Times New Roman;Times;Serif"/>
          <w:b w:val="false"/>
          <w:i w:val="false"/>
          <w:caps w:val="false"/>
          <w:smallCaps w:val="false"/>
          <w:sz w:val="20"/>
        </w:rPr>
        <w:t>54,702, as general and administration expenses and $</w:t>
      </w:r>
      <w:bookmarkStart w:id="403" w:name="xdx_905_eus-gaap--PaymentsOfFinancingCos"/>
      <w:bookmarkEnd w:id="403"/>
      <w:r>
        <w:rPr>
          <w:rFonts w:ascii="Times New Roman;Times;Serif" w:hAnsi="Times New Roman;Times;Serif"/>
          <w:b w:val="false"/>
          <w:i w:val="false"/>
          <w:caps w:val="false"/>
          <w:smallCaps w:val="false"/>
          <w:sz w:val="20"/>
        </w:rPr>
        <w:t>50,000 paid to JPM as financing fees.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information summarizes the purchase consideration and allocation of the fair values assigned to the assets at the purchase date, February 15, 2022:</w:t>
      </w:r>
    </w:p>
    <w:p>
      <w:pPr>
        <w:pStyle w:val="Normal"/>
        <w:bidi w:val="0"/>
        <w:spacing w:before="0" w:after="0"/>
        <w:jc w:val="left"/>
        <w:rPr>
          <w:sz w:val="4"/>
          <w:szCs w:val="4"/>
        </w:rPr>
      </w:pPr>
      <w:r>
        <w:rPr>
          <w:sz w:val="4"/>
          <w:szCs w:val="4"/>
        </w:rPr>
      </w:r>
      <w:bookmarkStart w:id="404" w:name="xdx_89B_eus-gaap--ScheduleOfBusinessAcqu"/>
      <w:bookmarkStart w:id="405" w:name="xdx_89B_eus-gaap--ScheduleOfBusinessAcqu"/>
      <w:bookmarkEnd w:id="405"/>
    </w:p>
    <w:tbl>
      <w:tblPr>
        <w:tblW w:w="5405" w:type="dxa"/>
        <w:jc w:val="left"/>
        <w:tblInd w:w="0" w:type="dxa"/>
        <w:tblLayout w:type="fixed"/>
        <w:tblCellMar>
          <w:top w:w="0" w:type="dxa"/>
          <w:left w:w="0" w:type="dxa"/>
          <w:bottom w:w="0" w:type="dxa"/>
          <w:right w:w="0" w:type="dxa"/>
        </w:tblCellMar>
      </w:tblPr>
      <w:tblGrid>
        <w:gridCol w:w="3995"/>
        <w:gridCol w:w="60"/>
        <w:gridCol w:w="140"/>
        <w:gridCol w:w="1100"/>
        <w:gridCol w:w="110"/>
      </w:tblGrid>
      <w:tr>
        <w:trPr/>
        <w:tc>
          <w:tcPr>
            <w:tcW w:w="3995" w:type="dxa"/>
            <w:tcBorders/>
            <w:vAlign w:val="center"/>
          </w:tcPr>
          <w:p>
            <w:pPr>
              <w:pStyle w:val="TableContents"/>
              <w:bidi w:val="0"/>
              <w:spacing w:before="0" w:after="283"/>
              <w:jc w:val="left"/>
              <w:rPr/>
            </w:pPr>
            <w:bookmarkStart w:id="406" w:name="xdx_8B3_zeSt6EPsJQrg"/>
            <w:bookmarkEnd w:id="406"/>
            <w:r>
              <w:rPr/>
              <w:t>Schedule of allocation of acquisition price</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3995" w:type="dxa"/>
            <w:tcBorders/>
            <w:vAlign w:val="center"/>
          </w:tcPr>
          <w:p>
            <w:pPr>
              <w:pStyle w:val="TableContents"/>
              <w:bidi w:val="0"/>
              <w:spacing w:before="0" w:after="283"/>
              <w:jc w:val="left"/>
              <w:rPr>
                <w:b/>
              </w:rPr>
            </w:pPr>
            <w:r>
              <w:rPr>
                <w:b/>
              </w:rPr>
              <w:t>Fair Value of Purchase Price:</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3995" w:type="dxa"/>
            <w:tcBorders/>
            <w:shd w:fill="EEEEEE" w:val="clear"/>
            <w:vAlign w:val="center"/>
          </w:tcPr>
          <w:p>
            <w:pPr>
              <w:pStyle w:val="TableContents"/>
              <w:bidi w:val="0"/>
              <w:spacing w:before="0" w:after="283"/>
              <w:jc w:val="left"/>
              <w:rPr/>
            </w:pPr>
            <w:r>
              <w:rPr/>
              <w:t>Cash</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bookmarkStart w:id="407" w:name="xdx_988_eus-gaap--PaymentsToAcquireBusin"/>
            <w:bookmarkEnd w:id="407"/>
          </w:p>
        </w:tc>
        <w:tc>
          <w:tcPr>
            <w:tcW w:w="1100" w:type="dxa"/>
            <w:tcBorders/>
            <w:shd w:fill="EEEEEE" w:val="clear"/>
            <w:vAlign w:val="center"/>
          </w:tcPr>
          <w:p>
            <w:pPr>
              <w:pStyle w:val="TableContents"/>
              <w:bidi w:val="0"/>
              <w:spacing w:before="0" w:after="283"/>
              <w:jc w:val="right"/>
              <w:rPr/>
            </w:pPr>
            <w:r>
              <w:rPr/>
              <w:t>1,500,000</w:t>
            </w:r>
          </w:p>
        </w:tc>
        <w:tc>
          <w:tcPr>
            <w:tcW w:w="110" w:type="dxa"/>
            <w:tcBorders/>
            <w:shd w:fill="EEEEEE"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283"/>
              <w:jc w:val="left"/>
              <w:rPr/>
            </w:pPr>
            <w:r>
              <w:rPr/>
              <w:t>Promissory note issued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408" w:name="xdx_980_ecustom--PromissoryNotesIssued1_"/>
            <w:bookmarkEnd w:id="408"/>
          </w:p>
        </w:tc>
        <w:tc>
          <w:tcPr>
            <w:tcW w:w="1100" w:type="dxa"/>
            <w:tcBorders/>
            <w:shd w:fill="FFFFFF" w:val="clear"/>
            <w:vAlign w:val="center"/>
          </w:tcPr>
          <w:p>
            <w:pPr>
              <w:pStyle w:val="TableContents"/>
              <w:bidi w:val="0"/>
              <w:spacing w:before="0" w:after="283"/>
              <w:jc w:val="right"/>
              <w:rPr/>
            </w:pPr>
            <w:r>
              <w:rPr/>
              <w:t>3,600,627</w:t>
            </w:r>
          </w:p>
        </w:tc>
        <w:tc>
          <w:tcPr>
            <w:tcW w:w="110" w:type="dxa"/>
            <w:tcBorders/>
            <w:shd w:fill="FFFFFF" w:val="clear"/>
            <w:vAlign w:val="center"/>
          </w:tcPr>
          <w:p>
            <w:pPr>
              <w:pStyle w:val="TableContents"/>
              <w:bidi w:val="0"/>
              <w:spacing w:before="0" w:after="283"/>
              <w:jc w:val="left"/>
              <w:rPr/>
            </w:pPr>
            <w:r>
              <w:rPr/>
              <w:t> </w:t>
            </w:r>
          </w:p>
        </w:tc>
      </w:tr>
      <w:tr>
        <w:trPr/>
        <w:tc>
          <w:tcPr>
            <w:tcW w:w="3995" w:type="dxa"/>
            <w:tcBorders/>
            <w:shd w:fill="EEEEEE" w:val="clear"/>
            <w:vAlign w:val="center"/>
          </w:tcPr>
          <w:p>
            <w:pPr>
              <w:pStyle w:val="TableContents"/>
              <w:bidi w:val="0"/>
              <w:spacing w:before="0" w:after="283"/>
              <w:jc w:val="left"/>
              <w:rPr/>
            </w:pPr>
            <w:r>
              <w:rPr/>
              <w:t>Common stock issued</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bookmarkStart w:id="409" w:name="xdx_989_eus-gaap--BusinessCombinationCon"/>
            <w:bookmarkEnd w:id="409"/>
          </w:p>
        </w:tc>
        <w:tc>
          <w:tcPr>
            <w:tcW w:w="1100" w:type="dxa"/>
            <w:tcBorders>
              <w:bottom w:val="single" w:sz="8" w:space="0" w:color="000000"/>
            </w:tcBorders>
            <w:shd w:fill="EEEEEE" w:val="clear"/>
            <w:tcMar>
              <w:bottom w:w="28" w:type="dxa"/>
            </w:tcMar>
            <w:vAlign w:val="center"/>
          </w:tcPr>
          <w:p>
            <w:pPr>
              <w:pStyle w:val="TableContents"/>
              <w:bidi w:val="0"/>
              <w:spacing w:before="0" w:after="283"/>
              <w:jc w:val="right"/>
              <w:rPr/>
            </w:pPr>
            <w:r>
              <w:rPr/>
              <w:t>5,528,373</w:t>
            </w:r>
          </w:p>
        </w:tc>
        <w:tc>
          <w:tcPr>
            <w:tcW w:w="110" w:type="dxa"/>
            <w:tcBorders/>
            <w:shd w:fill="EEEEEE"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283"/>
              <w:jc w:val="left"/>
              <w:rPr/>
            </w:pPr>
            <w:r>
              <w:rPr/>
              <w:t>Total purchase consideration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410" w:name="xdx_98A_eus-gaap--BusinessCombinationCon"/>
            <w:bookmarkEnd w:id="410"/>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10,629,000</w:t>
            </w:r>
          </w:p>
        </w:tc>
        <w:tc>
          <w:tcPr>
            <w:tcW w:w="110" w:type="dxa"/>
            <w:tcBorders/>
            <w:shd w:fill="FFFFFF" w:val="clear"/>
            <w:vAlign w:val="center"/>
          </w:tcPr>
          <w:p>
            <w:pPr>
              <w:pStyle w:val="TableContents"/>
              <w:bidi w:val="0"/>
              <w:spacing w:before="0" w:after="283"/>
              <w:jc w:val="left"/>
              <w:rPr/>
            </w:pPr>
            <w:r>
              <w:rPr/>
              <w:t> </w:t>
            </w:r>
          </w:p>
        </w:tc>
      </w:tr>
      <w:tr>
        <w:trPr/>
        <w:tc>
          <w:tcPr>
            <w:tcW w:w="39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 </w:t>
            </w:r>
          </w:p>
        </w:tc>
        <w:tc>
          <w:tcPr>
            <w:tcW w:w="110" w:type="dxa"/>
            <w:tcBorders/>
            <w:shd w:fill="EEEEEE"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283"/>
              <w:jc w:val="left"/>
              <w:rPr>
                <w:b/>
              </w:rPr>
            </w:pPr>
            <w:r>
              <w:rPr>
                <w:b/>
              </w:rPr>
              <w:t>Purchase Price Allocation: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995" w:type="dxa"/>
            <w:tcBorders/>
            <w:shd w:fill="EEEEEE" w:val="clear"/>
            <w:vAlign w:val="center"/>
          </w:tcPr>
          <w:p>
            <w:pPr>
              <w:pStyle w:val="TableContents"/>
              <w:bidi w:val="0"/>
              <w:spacing w:before="0" w:after="283"/>
              <w:jc w:val="left"/>
              <w:rPr/>
            </w:pPr>
            <w:r>
              <w:rPr/>
              <w:t>Covenant not to compete</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bookmarkStart w:id="411" w:name="xdx_981_eus-gaap--BusinessCombinationRec"/>
            <w:bookmarkEnd w:id="411"/>
          </w:p>
        </w:tc>
        <w:tc>
          <w:tcPr>
            <w:tcW w:w="1100" w:type="dxa"/>
            <w:tcBorders/>
            <w:shd w:fill="EEEEEE" w:val="clear"/>
            <w:vAlign w:val="center"/>
          </w:tcPr>
          <w:p>
            <w:pPr>
              <w:pStyle w:val="TableContents"/>
              <w:bidi w:val="0"/>
              <w:spacing w:before="0" w:after="283"/>
              <w:jc w:val="right"/>
              <w:rPr/>
            </w:pPr>
            <w:r>
              <w:rPr/>
              <w:t>3,459,120</w:t>
            </w:r>
          </w:p>
        </w:tc>
        <w:tc>
          <w:tcPr>
            <w:tcW w:w="110" w:type="dxa"/>
            <w:tcBorders/>
            <w:shd w:fill="EEEEEE"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283"/>
              <w:jc w:val="left"/>
              <w:rPr/>
            </w:pPr>
            <w:r>
              <w:rPr/>
              <w:t>Supplier relationship</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412" w:name="xdx_986_eus-gaap--BusinessCombinationRec"/>
            <w:bookmarkEnd w:id="412"/>
          </w:p>
        </w:tc>
        <w:tc>
          <w:tcPr>
            <w:tcW w:w="1100" w:type="dxa"/>
            <w:tcBorders/>
            <w:shd w:fill="FFFFFF" w:val="clear"/>
            <w:vAlign w:val="center"/>
          </w:tcPr>
          <w:p>
            <w:pPr>
              <w:pStyle w:val="TableContents"/>
              <w:bidi w:val="0"/>
              <w:spacing w:before="0" w:after="283"/>
              <w:jc w:val="right"/>
              <w:rPr/>
            </w:pPr>
            <w:r>
              <w:rPr/>
              <w:t>1,179,246</w:t>
            </w:r>
          </w:p>
        </w:tc>
        <w:tc>
          <w:tcPr>
            <w:tcW w:w="110" w:type="dxa"/>
            <w:tcBorders/>
            <w:shd w:fill="FFFFFF" w:val="clear"/>
            <w:vAlign w:val="center"/>
          </w:tcPr>
          <w:p>
            <w:pPr>
              <w:pStyle w:val="TableContents"/>
              <w:bidi w:val="0"/>
              <w:spacing w:before="0" w:after="283"/>
              <w:jc w:val="left"/>
              <w:rPr/>
            </w:pPr>
            <w:r>
              <w:rPr/>
              <w:t> </w:t>
            </w:r>
          </w:p>
        </w:tc>
      </w:tr>
      <w:tr>
        <w:trPr/>
        <w:tc>
          <w:tcPr>
            <w:tcW w:w="3995" w:type="dxa"/>
            <w:tcBorders/>
            <w:shd w:fill="EEEEEE" w:val="clear"/>
            <w:vAlign w:val="center"/>
          </w:tcPr>
          <w:p>
            <w:pPr>
              <w:pStyle w:val="TableContents"/>
              <w:bidi w:val="0"/>
              <w:spacing w:before="0" w:after="283"/>
              <w:jc w:val="left"/>
              <w:rPr/>
            </w:pPr>
            <w:r>
              <w:rPr/>
              <w:t>Software</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bookmarkStart w:id="413" w:name="xdx_983_eus-gaap--BusinessCombinationRec"/>
            <w:bookmarkEnd w:id="413"/>
          </w:p>
        </w:tc>
        <w:tc>
          <w:tcPr>
            <w:tcW w:w="1100" w:type="dxa"/>
            <w:tcBorders/>
            <w:shd w:fill="EEEEEE" w:val="clear"/>
            <w:vAlign w:val="center"/>
          </w:tcPr>
          <w:p>
            <w:pPr>
              <w:pStyle w:val="TableContents"/>
              <w:bidi w:val="0"/>
              <w:spacing w:before="0" w:after="283"/>
              <w:jc w:val="right"/>
              <w:rPr/>
            </w:pPr>
            <w:r>
              <w:rPr/>
              <w:t>534,591</w:t>
            </w:r>
          </w:p>
        </w:tc>
        <w:tc>
          <w:tcPr>
            <w:tcW w:w="110" w:type="dxa"/>
            <w:tcBorders/>
            <w:shd w:fill="EEEEEE"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414" w:name="xdx_98D_eus-gaap--BusinessCombinationRec"/>
            <w:bookmarkEnd w:id="414"/>
          </w:p>
        </w:tc>
        <w:tc>
          <w:tcPr>
            <w:tcW w:w="1100" w:type="dxa"/>
            <w:tcBorders/>
            <w:shd w:fill="FFFFFF" w:val="clear"/>
            <w:vAlign w:val="center"/>
          </w:tcPr>
          <w:p>
            <w:pPr>
              <w:pStyle w:val="TableContents"/>
              <w:bidi w:val="0"/>
              <w:spacing w:before="0" w:after="283"/>
              <w:jc w:val="right"/>
              <w:rPr/>
            </w:pPr>
            <w:r>
              <w:rPr/>
              <w:t>1,784,113</w:t>
            </w:r>
          </w:p>
        </w:tc>
        <w:tc>
          <w:tcPr>
            <w:tcW w:w="110" w:type="dxa"/>
            <w:tcBorders/>
            <w:shd w:fill="FFFFFF" w:val="clear"/>
            <w:vAlign w:val="center"/>
          </w:tcPr>
          <w:p>
            <w:pPr>
              <w:pStyle w:val="TableContents"/>
              <w:bidi w:val="0"/>
              <w:spacing w:before="0" w:after="283"/>
              <w:jc w:val="left"/>
              <w:rPr/>
            </w:pPr>
            <w:r>
              <w:rPr/>
              <w:t> </w:t>
            </w:r>
          </w:p>
        </w:tc>
      </w:tr>
      <w:tr>
        <w:trPr/>
        <w:tc>
          <w:tcPr>
            <w:tcW w:w="3995" w:type="dxa"/>
            <w:tcBorders/>
            <w:shd w:fill="EEEEEE" w:val="clear"/>
            <w:vAlign w:val="center"/>
          </w:tcPr>
          <w:p>
            <w:pPr>
              <w:pStyle w:val="TableContents"/>
              <w:bidi w:val="0"/>
              <w:spacing w:before="0" w:after="283"/>
              <w:jc w:val="left"/>
              <w:rPr/>
            </w:pPr>
            <w:r>
              <w:rPr/>
              <w:t>Property and equipment</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bookmarkStart w:id="415" w:name="xdx_98E_eus-gaap--BusinessCombinationRec"/>
            <w:bookmarkEnd w:id="415"/>
          </w:p>
        </w:tc>
        <w:tc>
          <w:tcPr>
            <w:tcW w:w="1100" w:type="dxa"/>
            <w:tcBorders/>
            <w:shd w:fill="EEEEEE" w:val="clear"/>
            <w:vAlign w:val="center"/>
          </w:tcPr>
          <w:p>
            <w:pPr>
              <w:pStyle w:val="TableContents"/>
              <w:bidi w:val="0"/>
              <w:spacing w:before="0" w:after="283"/>
              <w:jc w:val="right"/>
              <w:rPr/>
            </w:pPr>
            <w:r>
              <w:rPr/>
              <w:t>46,548</w:t>
            </w:r>
          </w:p>
        </w:tc>
        <w:tc>
          <w:tcPr>
            <w:tcW w:w="110" w:type="dxa"/>
            <w:tcBorders/>
            <w:shd w:fill="EEEEEE"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283"/>
              <w:jc w:val="left"/>
              <w:rPr/>
            </w:pPr>
            <w:r>
              <w:rPr/>
              <w:t>Rent deposit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416" w:name="xdx_982_ecustom--BusinessCombinationReco"/>
            <w:bookmarkEnd w:id="416"/>
          </w:p>
        </w:tc>
        <w:tc>
          <w:tcPr>
            <w:tcW w:w="1100" w:type="dxa"/>
            <w:tcBorders/>
            <w:shd w:fill="FFFFFF" w:val="clear"/>
            <w:vAlign w:val="center"/>
          </w:tcPr>
          <w:p>
            <w:pPr>
              <w:pStyle w:val="TableContents"/>
              <w:bidi w:val="0"/>
              <w:spacing w:before="0" w:after="283"/>
              <w:jc w:val="right"/>
              <w:rPr/>
            </w:pPr>
            <w:r>
              <w:rPr/>
              <w:t>52,707</w:t>
            </w:r>
          </w:p>
        </w:tc>
        <w:tc>
          <w:tcPr>
            <w:tcW w:w="110" w:type="dxa"/>
            <w:tcBorders/>
            <w:shd w:fill="FFFFFF" w:val="clear"/>
            <w:vAlign w:val="center"/>
          </w:tcPr>
          <w:p>
            <w:pPr>
              <w:pStyle w:val="TableContents"/>
              <w:bidi w:val="0"/>
              <w:spacing w:before="0" w:after="283"/>
              <w:jc w:val="left"/>
              <w:rPr/>
            </w:pPr>
            <w:r>
              <w:rPr/>
              <w:t> </w:t>
            </w:r>
          </w:p>
        </w:tc>
      </w:tr>
      <w:tr>
        <w:trPr/>
        <w:tc>
          <w:tcPr>
            <w:tcW w:w="3995" w:type="dxa"/>
            <w:tcBorders/>
            <w:shd w:fill="EEEEEE" w:val="clear"/>
            <w:vAlign w:val="center"/>
          </w:tcPr>
          <w:p>
            <w:pPr>
              <w:pStyle w:val="TableContents"/>
              <w:bidi w:val="0"/>
              <w:spacing w:before="0" w:after="283"/>
              <w:jc w:val="left"/>
              <w:rPr/>
            </w:pPr>
            <w:r>
              <w:rPr/>
              <w:t>ROU asset</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bookmarkStart w:id="417" w:name="xdx_985_eus-gaap--BusinessCombinationRec"/>
            <w:bookmarkEnd w:id="417"/>
          </w:p>
        </w:tc>
        <w:tc>
          <w:tcPr>
            <w:tcW w:w="1100" w:type="dxa"/>
            <w:tcBorders/>
            <w:shd w:fill="EEEEEE" w:val="clear"/>
            <w:vAlign w:val="center"/>
          </w:tcPr>
          <w:p>
            <w:pPr>
              <w:pStyle w:val="TableContents"/>
              <w:bidi w:val="0"/>
              <w:spacing w:before="0" w:after="283"/>
              <w:jc w:val="right"/>
              <w:rPr/>
            </w:pPr>
            <w:r>
              <w:rPr/>
              <w:t>234,578</w:t>
            </w:r>
          </w:p>
        </w:tc>
        <w:tc>
          <w:tcPr>
            <w:tcW w:w="110" w:type="dxa"/>
            <w:tcBorders/>
            <w:shd w:fill="EEEEEE"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283"/>
              <w:jc w:val="left"/>
              <w:rPr/>
            </w:pPr>
            <w:r>
              <w:rPr/>
              <w:t>Goodwill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418" w:name="xdx_98E_eus-gaap--Goodwill_iI_c20220215_"/>
            <w:bookmarkEnd w:id="418"/>
          </w:p>
        </w:tc>
        <w:tc>
          <w:tcPr>
            <w:tcW w:w="1100" w:type="dxa"/>
            <w:tcBorders/>
            <w:shd w:fill="FFFFFF" w:val="clear"/>
            <w:vAlign w:val="center"/>
          </w:tcPr>
          <w:p>
            <w:pPr>
              <w:pStyle w:val="TableContents"/>
              <w:bidi w:val="0"/>
              <w:spacing w:before="0" w:after="283"/>
              <w:jc w:val="right"/>
              <w:rPr/>
            </w:pPr>
            <w:r>
              <w:rPr/>
              <w:t>6,094,144</w:t>
            </w:r>
          </w:p>
        </w:tc>
        <w:tc>
          <w:tcPr>
            <w:tcW w:w="110" w:type="dxa"/>
            <w:tcBorders/>
            <w:shd w:fill="FFFFFF" w:val="clear"/>
            <w:vAlign w:val="center"/>
          </w:tcPr>
          <w:p>
            <w:pPr>
              <w:pStyle w:val="TableContents"/>
              <w:bidi w:val="0"/>
              <w:spacing w:before="0" w:after="283"/>
              <w:jc w:val="left"/>
              <w:rPr/>
            </w:pPr>
            <w:r>
              <w:rPr/>
              <w:t> </w:t>
            </w:r>
          </w:p>
        </w:tc>
      </w:tr>
      <w:tr>
        <w:trPr/>
        <w:tc>
          <w:tcPr>
            <w:tcW w:w="3995" w:type="dxa"/>
            <w:tcBorders/>
            <w:shd w:fill="EEEEEE" w:val="clear"/>
            <w:vAlign w:val="center"/>
          </w:tcPr>
          <w:p>
            <w:pPr>
              <w:pStyle w:val="TableContents"/>
              <w:bidi w:val="0"/>
              <w:spacing w:before="0" w:after="283"/>
              <w:jc w:val="left"/>
              <w:rPr/>
            </w:pPr>
            <w:r>
              <w:rPr/>
              <w:t>Deferred tax liabilities</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bookmarkStart w:id="419" w:name="xdx_98C_ecustom--BusinessCombinationReco"/>
            <w:bookmarkEnd w:id="419"/>
          </w:p>
        </w:tc>
        <w:tc>
          <w:tcPr>
            <w:tcW w:w="1100" w:type="dxa"/>
            <w:tcBorders/>
            <w:shd w:fill="EEEEEE" w:val="clear"/>
            <w:vAlign w:val="center"/>
          </w:tcPr>
          <w:p>
            <w:pPr>
              <w:pStyle w:val="TableContents"/>
              <w:bidi w:val="0"/>
              <w:spacing w:before="0" w:after="283"/>
              <w:jc w:val="right"/>
              <w:rPr/>
            </w:pPr>
            <w:r>
              <w:rPr/>
              <w:t>(1,389,113</w:t>
            </w:r>
          </w:p>
        </w:tc>
        <w:tc>
          <w:tcPr>
            <w:tcW w:w="110" w:type="dxa"/>
            <w:tcBorders/>
            <w:shd w:fill="EEEEEE" w:val="clear"/>
            <w:vAlign w:val="center"/>
          </w:tcPr>
          <w:p>
            <w:pPr>
              <w:pStyle w:val="TableContents"/>
              <w:bidi w:val="0"/>
              <w:spacing w:before="0" w:after="283"/>
              <w:jc w:val="left"/>
              <w:rPr/>
            </w:pPr>
            <w:r>
              <w:rPr/>
              <w:t>)</w:t>
            </w:r>
          </w:p>
        </w:tc>
      </w:tr>
      <w:tr>
        <w:trPr/>
        <w:tc>
          <w:tcPr>
            <w:tcW w:w="3995"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420" w:name="xdx_98C_eus-gaap--BusinessCombinationRec"/>
            <w:bookmarkEnd w:id="420"/>
          </w:p>
        </w:tc>
        <w:tc>
          <w:tcPr>
            <w:tcW w:w="1100" w:type="dxa"/>
            <w:tcBorders/>
            <w:shd w:fill="FFFFFF" w:val="clear"/>
            <w:vAlign w:val="center"/>
          </w:tcPr>
          <w:p>
            <w:pPr>
              <w:pStyle w:val="TableContents"/>
              <w:bidi w:val="0"/>
              <w:spacing w:before="0" w:after="283"/>
              <w:jc w:val="right"/>
              <w:rPr/>
            </w:pPr>
            <w:r>
              <w:rPr/>
              <w:t>(1,143,076</w:t>
            </w:r>
          </w:p>
        </w:tc>
        <w:tc>
          <w:tcPr>
            <w:tcW w:w="110" w:type="dxa"/>
            <w:tcBorders/>
            <w:shd w:fill="FFFFFF" w:val="clear"/>
            <w:vAlign w:val="center"/>
          </w:tcPr>
          <w:p>
            <w:pPr>
              <w:pStyle w:val="TableContents"/>
              <w:bidi w:val="0"/>
              <w:spacing w:before="0" w:after="283"/>
              <w:jc w:val="left"/>
              <w:rPr/>
            </w:pPr>
            <w:r>
              <w:rPr/>
              <w:t>)</w:t>
            </w:r>
          </w:p>
        </w:tc>
      </w:tr>
      <w:tr>
        <w:trPr/>
        <w:tc>
          <w:tcPr>
            <w:tcW w:w="3995" w:type="dxa"/>
            <w:tcBorders/>
            <w:shd w:fill="EEEEEE" w:val="clear"/>
            <w:vAlign w:val="center"/>
          </w:tcPr>
          <w:p>
            <w:pPr>
              <w:pStyle w:val="TableContents"/>
              <w:bidi w:val="0"/>
              <w:spacing w:before="0" w:after="283"/>
              <w:jc w:val="left"/>
              <w:rPr/>
            </w:pPr>
            <w:r>
              <w:rPr/>
              <w:t>Lease liability</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bookmarkStart w:id="421" w:name="xdx_985_eus-gaap--BusinessCombinationRec"/>
            <w:bookmarkEnd w:id="421"/>
          </w:p>
        </w:tc>
        <w:tc>
          <w:tcPr>
            <w:tcW w:w="1100" w:type="dxa"/>
            <w:tcBorders>
              <w:bottom w:val="single" w:sz="8" w:space="0" w:color="000000"/>
            </w:tcBorders>
            <w:shd w:fill="EEEEEE" w:val="clear"/>
            <w:tcMar>
              <w:bottom w:w="28" w:type="dxa"/>
            </w:tcMar>
            <w:vAlign w:val="center"/>
          </w:tcPr>
          <w:p>
            <w:pPr>
              <w:pStyle w:val="TableContents"/>
              <w:bidi w:val="0"/>
              <w:spacing w:before="0" w:after="283"/>
              <w:jc w:val="right"/>
              <w:rPr/>
            </w:pPr>
            <w:r>
              <w:rPr/>
              <w:t>(223,858</w:t>
            </w:r>
          </w:p>
        </w:tc>
        <w:tc>
          <w:tcPr>
            <w:tcW w:w="110" w:type="dxa"/>
            <w:tcBorders/>
            <w:shd w:fill="EEEEEE" w:val="clear"/>
            <w:vAlign w:val="center"/>
          </w:tcPr>
          <w:p>
            <w:pPr>
              <w:pStyle w:val="TableContents"/>
              <w:bidi w:val="0"/>
              <w:spacing w:before="0" w:after="283"/>
              <w:jc w:val="left"/>
              <w:rPr/>
            </w:pPr>
            <w:r>
              <w:rPr/>
              <w:t>)</w:t>
            </w:r>
          </w:p>
        </w:tc>
      </w:tr>
      <w:tr>
        <w:trPr/>
        <w:tc>
          <w:tcPr>
            <w:tcW w:w="3995" w:type="dxa"/>
            <w:tcBorders/>
            <w:shd w:fill="FFFFFF" w:val="clear"/>
            <w:vAlign w:val="center"/>
          </w:tcPr>
          <w:p>
            <w:pPr>
              <w:pStyle w:val="TableContents"/>
              <w:bidi w:val="0"/>
              <w:spacing w:before="0" w:after="283"/>
              <w:jc w:val="left"/>
              <w:rPr/>
            </w:pPr>
            <w:r>
              <w:rPr/>
              <w:t>Total purchase consideration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422" w:name="xdx_984_eus-gaap--BusinessCombinationRec"/>
            <w:bookmarkEnd w:id="422"/>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10,629,000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23" w:name="xdx_8A0_zSZ6KBaF7CDe"/>
      <w:bookmarkEnd w:id="423"/>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 October 2022, the $1.5 million cash portion of the consideration, which was presented as investment payable, was fully paid off.</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operations of Anivia since February 16, 2022 have been included in the Company's consolidated financial statements.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bookmarkStart w:id="424" w:name="xdx_230_zbe8itMVgTFc"/>
      <w:bookmarkEnd w:id="424"/>
      <w:r>
        <w:rPr>
          <w:caps w:val="false"/>
          <w:smallCaps w:val="false"/>
        </w:rPr>
        <w:t> </w:t>
      </w:r>
    </w:p>
    <w:p>
      <w:pPr>
        <w:pStyle w:val="TextBody"/>
        <w:shd w:fill="FFFFFF" w:val="clear"/>
        <w:bidi w:val="0"/>
        <w:spacing w:before="0" w:after="0"/>
        <w:ind w:left="0" w:right="0" w:hanging="0"/>
        <w:jc w:val="left"/>
        <w:rPr>
          <w:caps w:val="false"/>
          <w:smallCaps w:val="false"/>
        </w:rPr>
      </w:pPr>
      <w:bookmarkStart w:id="425" w:name="xdx_233_zmwTrAEZsfm4"/>
      <w:bookmarkEnd w:id="425"/>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F-18</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before="0" w:after="0"/>
        <w:ind w:left="0" w:right="0" w:hanging="0"/>
        <w:jc w:val="left"/>
        <w:rPr>
          <w:caps w:val="false"/>
          <w:smallCaps w:val="false"/>
        </w:rPr>
      </w:pPr>
      <w:bookmarkStart w:id="426" w:name="xdx_23F_zTgPW4mUClZk"/>
      <w:bookmarkEnd w:id="426"/>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 Forma Financial Information</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pro forma information presents a summary of the Company’s combined operating results for the year ended June 30, 2022 for comparative purposes, as if the acquisition had occurred on July 1, 2021. The following pro forma financial information is not necessarily indicative of the Company’s operating results as they would have been had the acquisition been effected on the assumed date, nor is it necessarily an indication of trends in future results for a number of reasons, including, but not limited to, differences between the assumptions used to prepare the pro forma information, basic shares outstanding and dilutive equivalents, cost savings from operating efficiencies, potential synergies, and the impact of incremental costs incurred in integrating the businesses.</w:t>
      </w:r>
    </w:p>
    <w:p>
      <w:pPr>
        <w:pStyle w:val="Normal"/>
        <w:bidi w:val="0"/>
        <w:spacing w:before="0" w:after="0"/>
        <w:jc w:val="left"/>
        <w:rPr>
          <w:sz w:val="4"/>
          <w:szCs w:val="4"/>
        </w:rPr>
      </w:pPr>
      <w:r>
        <w:rPr>
          <w:sz w:val="4"/>
          <w:szCs w:val="4"/>
        </w:rPr>
      </w:r>
      <w:bookmarkStart w:id="427" w:name="xdx_891_eus-gaap--BusinessAcquisitionPro"/>
      <w:bookmarkStart w:id="428" w:name="xdx_891_eus-gaap--BusinessAcquisitionPro"/>
      <w:bookmarkEnd w:id="428"/>
    </w:p>
    <w:tbl>
      <w:tblPr>
        <w:tblW w:w="5589" w:type="dxa"/>
        <w:jc w:val="left"/>
        <w:tblInd w:w="0" w:type="dxa"/>
        <w:tblLayout w:type="fixed"/>
        <w:tblCellMar>
          <w:top w:w="0" w:type="dxa"/>
          <w:left w:w="0" w:type="dxa"/>
          <w:bottom w:w="0" w:type="dxa"/>
          <w:right w:w="0" w:type="dxa"/>
        </w:tblCellMar>
      </w:tblPr>
      <w:tblGrid>
        <w:gridCol w:w="3380"/>
        <w:gridCol w:w="60"/>
        <w:gridCol w:w="234"/>
        <w:gridCol w:w="1840"/>
        <w:gridCol w:w="75"/>
      </w:tblGrid>
      <w:tr>
        <w:trPr/>
        <w:tc>
          <w:tcPr>
            <w:tcW w:w="3380" w:type="dxa"/>
            <w:tcBorders/>
            <w:vAlign w:val="center"/>
          </w:tcPr>
          <w:p>
            <w:pPr>
              <w:pStyle w:val="TableContents"/>
              <w:bidi w:val="0"/>
              <w:spacing w:before="0" w:after="283"/>
              <w:jc w:val="left"/>
              <w:rPr/>
            </w:pPr>
            <w:bookmarkStart w:id="429" w:name="xdx_8B3_zTelQX9TNJUk"/>
            <w:bookmarkEnd w:id="429"/>
            <w:r>
              <w:rPr/>
              <w:t>Schedule of Pro Forma information</w:t>
            </w:r>
          </w:p>
        </w:tc>
        <w:tc>
          <w:tcPr>
            <w:tcW w:w="60" w:type="dxa"/>
            <w:tcBorders/>
            <w:vAlign w:val="center"/>
          </w:tcPr>
          <w:p>
            <w:pPr>
              <w:pStyle w:val="TableContents"/>
              <w:bidi w:val="0"/>
              <w:spacing w:before="0" w:after="283"/>
              <w:jc w:val="left"/>
              <w:rPr/>
            </w:pPr>
            <w:r>
              <w:rPr/>
              <w:t> </w:t>
            </w:r>
            <w:bookmarkStart w:id="430" w:name="xdx_499_20220701__20230630__us-gaap--Bus"/>
            <w:bookmarkEnd w:id="430"/>
          </w:p>
        </w:tc>
        <w:tc>
          <w:tcPr>
            <w:tcW w:w="2074"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4" w:type="dxa"/>
            <w:gridSpan w:val="2"/>
            <w:tcBorders>
              <w:bottom w:val="single" w:sz="8" w:space="0" w:color="000000"/>
            </w:tcBorders>
            <w:tcMar>
              <w:bottom w:w="28" w:type="dxa"/>
            </w:tcMar>
            <w:vAlign w:val="center"/>
          </w:tcPr>
          <w:p>
            <w:pPr>
              <w:pStyle w:val="TableContents"/>
              <w:bidi w:val="0"/>
              <w:jc w:val="center"/>
              <w:rPr>
                <w:b/>
              </w:rPr>
            </w:pPr>
            <w:r>
              <w:rPr>
                <w:b/>
              </w:rPr>
              <w:t>For the Year Ended</w:t>
            </w:r>
          </w:p>
          <w:p>
            <w:pPr>
              <w:pStyle w:val="TableContents"/>
              <w:bidi w:val="0"/>
              <w:spacing w:before="0" w:after="283"/>
              <w:jc w:val="center"/>
              <w:rPr>
                <w:b/>
              </w:rPr>
            </w:pPr>
            <w:r>
              <w:rPr>
                <w:b/>
              </w:rPr>
              <w:t>June 30, 2022</w:t>
            </w:r>
          </w:p>
        </w:tc>
        <w:tc>
          <w:tcPr>
            <w:tcW w:w="75"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184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(Unaudited)</w:t>
            </w:r>
          </w:p>
        </w:tc>
        <w:tc>
          <w:tcPr>
            <w:tcW w:w="75" w:type="dxa"/>
            <w:tcBorders/>
            <w:vAlign w:val="center"/>
          </w:tcPr>
          <w:p>
            <w:pPr>
              <w:pStyle w:val="TableContents"/>
              <w:bidi w:val="0"/>
              <w:spacing w:before="0" w:after="283"/>
              <w:jc w:val="left"/>
              <w:rPr/>
            </w:pPr>
            <w:r>
              <w:rPr/>
              <w:t> </w:t>
            </w:r>
            <w:bookmarkStart w:id="431" w:name="xdx_40E_eus-gaap--BusinessAcquisitionsPr"/>
            <w:bookmarkEnd w:id="431"/>
          </w:p>
        </w:tc>
      </w:tr>
      <w:tr>
        <w:trPr/>
        <w:tc>
          <w:tcPr>
            <w:tcW w:w="3380" w:type="dxa"/>
            <w:tcBorders/>
            <w:shd w:fill="EEEEEE" w:val="clear"/>
            <w:vAlign w:val="center"/>
          </w:tcPr>
          <w:p>
            <w:pPr>
              <w:pStyle w:val="TableContents"/>
              <w:bidi w:val="0"/>
              <w:spacing w:before="0" w:after="283"/>
              <w:jc w:val="left"/>
              <w:rPr/>
            </w:pPr>
            <w:r>
              <w:rPr/>
              <w:t>Total Revenues</w:t>
            </w:r>
          </w:p>
        </w:tc>
        <w:tc>
          <w:tcPr>
            <w:tcW w:w="60" w:type="dxa"/>
            <w:tcBorders/>
            <w:shd w:fill="EEEEEE" w:val="clear"/>
            <w:vAlign w:val="center"/>
          </w:tcPr>
          <w:p>
            <w:pPr>
              <w:pStyle w:val="TableContents"/>
              <w:bidi w:val="0"/>
              <w:spacing w:before="0" w:after="283"/>
              <w:jc w:val="left"/>
              <w:rPr/>
            </w:pPr>
            <w:r>
              <w:rPr/>
              <w:t> </w:t>
            </w:r>
          </w:p>
        </w:tc>
        <w:tc>
          <w:tcPr>
            <w:tcW w:w="234" w:type="dxa"/>
            <w:tcBorders/>
            <w:shd w:fill="EEEEEE" w:val="clear"/>
            <w:vAlign w:val="center"/>
          </w:tcPr>
          <w:p>
            <w:pPr>
              <w:pStyle w:val="TableContents"/>
              <w:bidi w:val="0"/>
              <w:spacing w:before="0" w:after="283"/>
              <w:jc w:val="left"/>
              <w:rPr/>
            </w:pPr>
            <w:r>
              <w:rPr/>
              <w:t>$</w:t>
            </w:r>
          </w:p>
        </w:tc>
        <w:tc>
          <w:tcPr>
            <w:tcW w:w="1840" w:type="dxa"/>
            <w:tcBorders/>
            <w:shd w:fill="EEEEEE" w:val="clear"/>
            <w:vAlign w:val="center"/>
          </w:tcPr>
          <w:p>
            <w:pPr>
              <w:pStyle w:val="TableContents"/>
              <w:bidi w:val="0"/>
              <w:spacing w:before="0" w:after="283"/>
              <w:jc w:val="right"/>
              <w:rPr/>
            </w:pPr>
            <w:r>
              <w:rPr/>
              <w:t>79,418,473</w:t>
            </w:r>
          </w:p>
        </w:tc>
        <w:tc>
          <w:tcPr>
            <w:tcW w:w="75" w:type="dxa"/>
            <w:tcBorders/>
            <w:shd w:fill="EEEEEE" w:val="clear"/>
            <w:vAlign w:val="center"/>
          </w:tcPr>
          <w:p>
            <w:pPr>
              <w:pStyle w:val="TableContents"/>
              <w:bidi w:val="0"/>
              <w:spacing w:before="0" w:after="283"/>
              <w:jc w:val="left"/>
              <w:rPr/>
            </w:pPr>
            <w:r>
              <w:rPr/>
              <w:t> </w:t>
            </w:r>
            <w:bookmarkStart w:id="432" w:name="xdx_40D_eus-gaap--BusinessAcquisitionsPr"/>
            <w:bookmarkEnd w:id="432"/>
          </w:p>
        </w:tc>
      </w:tr>
      <w:tr>
        <w:trPr/>
        <w:tc>
          <w:tcPr>
            <w:tcW w:w="3380" w:type="dxa"/>
            <w:tcBorders/>
            <w:shd w:fill="FFFFFF" w:val="clear"/>
            <w:vAlign w:val="center"/>
          </w:tcPr>
          <w:p>
            <w:pPr>
              <w:pStyle w:val="TableContents"/>
              <w:bidi w:val="0"/>
              <w:spacing w:before="0" w:after="283"/>
              <w:jc w:val="left"/>
              <w:rPr/>
            </w:pPr>
            <w:r>
              <w:rPr/>
              <w:t>Income from Operations</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w:t>
            </w:r>
          </w:p>
        </w:tc>
        <w:tc>
          <w:tcPr>
            <w:tcW w:w="1840" w:type="dxa"/>
            <w:tcBorders/>
            <w:shd w:fill="FFFFFF" w:val="clear"/>
            <w:vAlign w:val="center"/>
          </w:tcPr>
          <w:p>
            <w:pPr>
              <w:pStyle w:val="TableContents"/>
              <w:bidi w:val="0"/>
              <w:spacing w:before="0" w:after="283"/>
              <w:jc w:val="right"/>
              <w:rPr/>
            </w:pPr>
            <w:r>
              <w:rPr/>
              <w:t>3,133,112</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shd w:fill="EEEEEE" w:val="clear"/>
            <w:vAlign w:val="center"/>
          </w:tcPr>
          <w:p>
            <w:pPr>
              <w:pStyle w:val="TableContents"/>
              <w:bidi w:val="0"/>
              <w:spacing w:before="0" w:after="283"/>
              <w:jc w:val="left"/>
              <w:rPr/>
            </w:pPr>
            <w:r>
              <w:rPr/>
              <w:t>Basic and diluted income per share</w:t>
            </w:r>
          </w:p>
        </w:tc>
        <w:tc>
          <w:tcPr>
            <w:tcW w:w="60" w:type="dxa"/>
            <w:tcBorders/>
            <w:shd w:fill="EEEEEE" w:val="clear"/>
            <w:vAlign w:val="center"/>
          </w:tcPr>
          <w:p>
            <w:pPr>
              <w:pStyle w:val="TableContents"/>
              <w:bidi w:val="0"/>
              <w:spacing w:before="0" w:after="283"/>
              <w:jc w:val="left"/>
              <w:rPr/>
            </w:pPr>
            <w:r>
              <w:rPr/>
              <w:t> </w:t>
            </w:r>
          </w:p>
        </w:tc>
        <w:tc>
          <w:tcPr>
            <w:tcW w:w="234" w:type="dxa"/>
            <w:tcBorders/>
            <w:shd w:fill="EEEEEE" w:val="clear"/>
            <w:vAlign w:val="center"/>
          </w:tcPr>
          <w:p>
            <w:pPr>
              <w:pStyle w:val="TableContents"/>
              <w:bidi w:val="0"/>
              <w:spacing w:before="0" w:after="283"/>
              <w:jc w:val="left"/>
              <w:rPr/>
            </w:pPr>
            <w:r>
              <w:rPr/>
              <w:t>$</w:t>
            </w:r>
          </w:p>
        </w:tc>
        <w:tc>
          <w:tcPr>
            <w:tcW w:w="1840" w:type="dxa"/>
            <w:tcBorders/>
            <w:shd w:fill="EEEEEE" w:val="clear"/>
            <w:vAlign w:val="center"/>
          </w:tcPr>
          <w:p>
            <w:pPr>
              <w:pStyle w:val="TableContents"/>
              <w:bidi w:val="0"/>
              <w:spacing w:before="0" w:after="283"/>
              <w:jc w:val="right"/>
              <w:rPr/>
            </w:pPr>
            <w:bookmarkStart w:id="433" w:name="xdx_90B_eus-gaap--BusinessAcquisitionPro"/>
            <w:bookmarkStart w:id="434" w:name="xdx_90B_eus-gaap--BusinessAcquisitionPro"/>
            <w:bookmarkEnd w:id="433"/>
            <w:bookmarkEnd w:id="434"/>
            <w:r>
              <w:rPr/>
              <w:t>0.08</w:t>
            </w:r>
          </w:p>
        </w:tc>
        <w:tc>
          <w:tcPr>
            <w:tcW w:w="75" w:type="dxa"/>
            <w:tcBorders/>
            <w:shd w:fill="EEEEEE"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35" w:name="xdx_8A4_zDKlEJBTFxS8"/>
      <w:bookmarkEnd w:id="435"/>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36" w:name="xdx_800_eus-gaap--VariableInterestEntity"/>
      <w:bookmarkEnd w:id="436"/>
      <w:r>
        <w:rPr>
          <w:rFonts w:ascii="Times New Roman;Times;Serif" w:hAnsi="Times New Roman;Times;Serif"/>
          <w:b/>
          <w:i w:val="false"/>
          <w:caps w:val="false"/>
          <w:smallCaps w:val="false"/>
          <w:sz w:val="20"/>
        </w:rPr>
        <w:t xml:space="preserve">Note 5 – </w:t>
      </w:r>
      <w:bookmarkStart w:id="437" w:name="xdx_82A_zzHfkOfgXhac"/>
      <w:bookmarkEnd w:id="437"/>
      <w:r>
        <w:rPr>
          <w:rFonts w:ascii="Times New Roman;Times;Serif" w:hAnsi="Times New Roman;Times;Serif"/>
          <w:b/>
          <w:i w:val="false"/>
          <w:caps w:val="false"/>
          <w:smallCaps w:val="false"/>
          <w:sz w:val="20"/>
        </w:rPr>
        <w:t>Variable interest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February 15, 2022, upon acquisition of Anivia, the Company assumed the contractual arrangements between the WFOE and DHS through a variable interest operating entity structure. See Note 4 for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did not provide financial or other support to the VIE for the periods presented where the Company was not otherwise contractually required to provide such support.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2023 and 2022, there was no pledge or collateralization of the VIE assets that would be used to settle obligations of the VIE.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the assets, liabilities and the results of operations of the VIE included in the Company’s consolidated balance sheets and statements of operations and comprehensive income after the elimination of intercompany balances and transactions with the VIE are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 of the VIE’s assets and liabilities were as follows for the years indicated:</w:t>
      </w:r>
    </w:p>
    <w:p>
      <w:pPr>
        <w:pStyle w:val="Normal"/>
        <w:bidi w:val="0"/>
        <w:spacing w:before="0" w:after="0"/>
        <w:jc w:val="left"/>
        <w:rPr>
          <w:sz w:val="4"/>
          <w:szCs w:val="4"/>
        </w:rPr>
      </w:pPr>
      <w:r>
        <w:rPr>
          <w:sz w:val="4"/>
          <w:szCs w:val="4"/>
        </w:rPr>
      </w:r>
      <w:bookmarkStart w:id="438" w:name="xdx_890_eus-gaap--ScheduleOfVariableInte"/>
      <w:bookmarkStart w:id="439" w:name="xdx_890_eus-gaap--ScheduleOfVariableInte"/>
      <w:bookmarkEnd w:id="439"/>
    </w:p>
    <w:tbl>
      <w:tblPr>
        <w:tblW w:w="8473" w:type="dxa"/>
        <w:jc w:val="left"/>
        <w:tblInd w:w="0" w:type="dxa"/>
        <w:tblLayout w:type="fixed"/>
        <w:tblCellMar>
          <w:top w:w="0" w:type="dxa"/>
          <w:left w:w="0" w:type="dxa"/>
          <w:bottom w:w="0" w:type="dxa"/>
          <w:right w:w="0" w:type="dxa"/>
        </w:tblCellMar>
      </w:tblPr>
      <w:tblGrid>
        <w:gridCol w:w="5390"/>
        <w:gridCol w:w="60"/>
        <w:gridCol w:w="210"/>
        <w:gridCol w:w="1204"/>
        <w:gridCol w:w="60"/>
        <w:gridCol w:w="60"/>
        <w:gridCol w:w="176"/>
        <w:gridCol w:w="1238"/>
        <w:gridCol w:w="75"/>
      </w:tblGrid>
      <w:tr>
        <w:trPr/>
        <w:tc>
          <w:tcPr>
            <w:tcW w:w="5390" w:type="dxa"/>
            <w:tcBorders/>
            <w:vAlign w:val="center"/>
          </w:tcPr>
          <w:p>
            <w:pPr>
              <w:pStyle w:val="TableContents"/>
              <w:bidi w:val="0"/>
              <w:spacing w:before="0" w:after="283"/>
              <w:jc w:val="left"/>
              <w:rPr/>
            </w:pPr>
            <w:bookmarkStart w:id="440" w:name="xdx_8B1_zdt2hKEc5Wcj"/>
            <w:bookmarkEnd w:id="440"/>
            <w:r>
              <w:rPr/>
              <w:t>Schedule of carrying amount of VIE assets and liabilities</w:t>
            </w:r>
          </w:p>
        </w:tc>
        <w:tc>
          <w:tcPr>
            <w:tcW w:w="60" w:type="dxa"/>
            <w:tcBorders/>
            <w:vAlign w:val="center"/>
          </w:tcPr>
          <w:p>
            <w:pPr>
              <w:pStyle w:val="TableContents"/>
              <w:bidi w:val="0"/>
              <w:spacing w:before="0" w:after="283"/>
              <w:jc w:val="left"/>
              <w:rPr/>
            </w:pPr>
            <w:r>
              <w:rPr/>
              <w:t> </w:t>
            </w:r>
            <w:bookmarkStart w:id="441" w:name="xdx_497_20230630_srt--ConsolidatedEntiti"/>
            <w:bookmarkEnd w:id="441"/>
          </w:p>
        </w:tc>
        <w:tc>
          <w:tcPr>
            <w:tcW w:w="1414"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42" w:name="xdx_496_20220630_srt--ConsolidatedEntiti"/>
            <w:bookmarkEnd w:id="442"/>
          </w:p>
        </w:tc>
        <w:tc>
          <w:tcPr>
            <w:tcW w:w="1414"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53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2022</w:t>
            </w:r>
          </w:p>
        </w:tc>
        <w:tc>
          <w:tcPr>
            <w:tcW w:w="75" w:type="dxa"/>
            <w:tcBorders/>
            <w:vAlign w:val="center"/>
          </w:tcPr>
          <w:p>
            <w:pPr>
              <w:pStyle w:val="TableContents"/>
              <w:bidi w:val="0"/>
              <w:spacing w:before="0" w:after="283"/>
              <w:jc w:val="left"/>
              <w:rPr/>
            </w:pPr>
            <w:r>
              <w:rPr/>
              <w:t> </w:t>
            </w:r>
            <w:bookmarkStart w:id="443" w:name="xdx_400_eus-gaap--Cash_iI_zUp5o3OonsPl"/>
            <w:bookmarkEnd w:id="443"/>
          </w:p>
        </w:tc>
      </w:tr>
      <w:tr>
        <w:trPr/>
        <w:tc>
          <w:tcPr>
            <w:tcW w:w="5390" w:type="dxa"/>
            <w:tcBorders/>
            <w:shd w:fill="EEEEEE" w:val="clear"/>
            <w:vAlign w:val="center"/>
          </w:tcPr>
          <w:p>
            <w:pPr>
              <w:pStyle w:val="TableContents"/>
              <w:bidi w:val="0"/>
              <w:spacing w:before="0" w:after="283"/>
              <w:jc w:val="left"/>
              <w:rPr/>
            </w:pPr>
            <w:r>
              <w:rPr/>
              <w:t>Cash in bank</w:t>
            </w:r>
          </w:p>
        </w:tc>
        <w:tc>
          <w:tcPr>
            <w:tcW w:w="60" w:type="dxa"/>
            <w:tcBorders/>
            <w:shd w:fill="EEEEEE" w:val="clear"/>
            <w:vAlign w:val="center"/>
          </w:tcPr>
          <w:p>
            <w:pPr>
              <w:pStyle w:val="TableContents"/>
              <w:bidi w:val="0"/>
              <w:spacing w:before="0" w:after="283"/>
              <w:jc w:val="left"/>
              <w:rPr/>
            </w:pPr>
            <w:r>
              <w:rPr/>
              <w:t> </w:t>
            </w:r>
          </w:p>
        </w:tc>
        <w:tc>
          <w:tcPr>
            <w:tcW w:w="210" w:type="dxa"/>
            <w:tcBorders/>
            <w:shd w:fill="EEEEEE" w:val="clear"/>
            <w:vAlign w:val="center"/>
          </w:tcPr>
          <w:p>
            <w:pPr>
              <w:pStyle w:val="TableContents"/>
              <w:bidi w:val="0"/>
              <w:spacing w:before="0" w:after="283"/>
              <w:jc w:val="left"/>
              <w:rPr/>
            </w:pPr>
            <w:r>
              <w:rPr/>
              <w:t>$</w:t>
            </w:r>
          </w:p>
        </w:tc>
        <w:tc>
          <w:tcPr>
            <w:tcW w:w="1204" w:type="dxa"/>
            <w:tcBorders/>
            <w:shd w:fill="EEEEEE" w:val="clear"/>
            <w:vAlign w:val="center"/>
          </w:tcPr>
          <w:p>
            <w:pPr>
              <w:pStyle w:val="TableContents"/>
              <w:bidi w:val="0"/>
              <w:spacing w:before="0" w:after="283"/>
              <w:jc w:val="right"/>
              <w:rPr/>
            </w:pPr>
            <w:r>
              <w:rPr/>
              <w:t>341,774</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76" w:type="dxa"/>
            <w:tcBorders/>
            <w:shd w:fill="EEEEEE" w:val="clear"/>
            <w:vAlign w:val="center"/>
          </w:tcPr>
          <w:p>
            <w:pPr>
              <w:pStyle w:val="TableContents"/>
              <w:bidi w:val="0"/>
              <w:spacing w:before="0" w:after="283"/>
              <w:jc w:val="left"/>
              <w:rPr/>
            </w:pPr>
            <w:r>
              <w:rPr/>
              <w:t>$</w:t>
            </w:r>
          </w:p>
        </w:tc>
        <w:tc>
          <w:tcPr>
            <w:tcW w:w="1238" w:type="dxa"/>
            <w:tcBorders/>
            <w:shd w:fill="EEEEEE" w:val="clear"/>
            <w:vAlign w:val="center"/>
          </w:tcPr>
          <w:p>
            <w:pPr>
              <w:pStyle w:val="TableContents"/>
              <w:bidi w:val="0"/>
              <w:spacing w:before="0" w:after="283"/>
              <w:jc w:val="right"/>
              <w:rPr/>
            </w:pPr>
            <w:r>
              <w:rPr/>
              <w:t>271,164</w:t>
            </w:r>
          </w:p>
        </w:tc>
        <w:tc>
          <w:tcPr>
            <w:tcW w:w="75" w:type="dxa"/>
            <w:tcBorders/>
            <w:shd w:fill="EEEEEE" w:val="clear"/>
            <w:vAlign w:val="center"/>
          </w:tcPr>
          <w:p>
            <w:pPr>
              <w:pStyle w:val="TableContents"/>
              <w:bidi w:val="0"/>
              <w:spacing w:before="0" w:after="283"/>
              <w:jc w:val="left"/>
              <w:rPr/>
            </w:pPr>
            <w:r>
              <w:rPr/>
              <w:t> </w:t>
            </w:r>
            <w:bookmarkStart w:id="444" w:name="xdx_40A_eus-gaap--PrepaidExpenseAndOther"/>
            <w:bookmarkEnd w:id="444"/>
          </w:p>
        </w:tc>
      </w:tr>
      <w:tr>
        <w:trPr/>
        <w:tc>
          <w:tcPr>
            <w:tcW w:w="5390" w:type="dxa"/>
            <w:tcBorders/>
            <w:shd w:fill="FFFFFF" w:val="clear"/>
            <w:vAlign w:val="center"/>
          </w:tcPr>
          <w:p>
            <w:pPr>
              <w:pStyle w:val="TableContents"/>
              <w:bidi w:val="0"/>
              <w:spacing w:before="0" w:after="283"/>
              <w:jc w:val="left"/>
              <w:rPr/>
            </w:pPr>
            <w:r>
              <w:rPr/>
              <w:t>Prepayments and other receivables</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w:t>
            </w:r>
          </w:p>
        </w:tc>
        <w:tc>
          <w:tcPr>
            <w:tcW w:w="1204" w:type="dxa"/>
            <w:tcBorders/>
            <w:shd w:fill="FFFFFF" w:val="clear"/>
            <w:vAlign w:val="center"/>
          </w:tcPr>
          <w:p>
            <w:pPr>
              <w:pStyle w:val="TableContents"/>
              <w:bidi w:val="0"/>
              <w:spacing w:before="0" w:after="283"/>
              <w:jc w:val="right"/>
              <w:rPr/>
            </w:pPr>
            <w:r>
              <w:rPr/>
              <w:t>664,886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w:t>
            </w:r>
          </w:p>
        </w:tc>
        <w:tc>
          <w:tcPr>
            <w:tcW w:w="1238" w:type="dxa"/>
            <w:tcBorders/>
            <w:shd w:fill="FFFFFF" w:val="clear"/>
            <w:vAlign w:val="center"/>
          </w:tcPr>
          <w:p>
            <w:pPr>
              <w:pStyle w:val="TableContents"/>
              <w:bidi w:val="0"/>
              <w:spacing w:before="0" w:after="283"/>
              <w:jc w:val="right"/>
              <w:rPr/>
            </w:pPr>
            <w:r>
              <w:rPr/>
              <w:t>1,374,698</w:t>
            </w:r>
          </w:p>
        </w:tc>
        <w:tc>
          <w:tcPr>
            <w:tcW w:w="75" w:type="dxa"/>
            <w:tcBorders/>
            <w:shd w:fill="FFFFFF" w:val="clear"/>
            <w:vAlign w:val="center"/>
          </w:tcPr>
          <w:p>
            <w:pPr>
              <w:pStyle w:val="TableContents"/>
              <w:bidi w:val="0"/>
              <w:spacing w:before="0" w:after="283"/>
              <w:jc w:val="left"/>
              <w:rPr/>
            </w:pPr>
            <w:r>
              <w:rPr/>
              <w:t> </w:t>
            </w:r>
            <w:bookmarkStart w:id="445" w:name="xdx_40F_eus-gaap--DepositsAssetsCurrent_"/>
            <w:bookmarkEnd w:id="445"/>
          </w:p>
        </w:tc>
      </w:tr>
      <w:tr>
        <w:trPr/>
        <w:tc>
          <w:tcPr>
            <w:tcW w:w="5390" w:type="dxa"/>
            <w:tcBorders/>
            <w:shd w:fill="EEEEEE" w:val="clear"/>
            <w:vAlign w:val="center"/>
          </w:tcPr>
          <w:p>
            <w:pPr>
              <w:pStyle w:val="TableContents"/>
              <w:bidi w:val="0"/>
              <w:spacing w:before="0" w:after="283"/>
              <w:jc w:val="left"/>
              <w:rPr/>
            </w:pPr>
            <w:r>
              <w:rPr/>
              <w:t>Rent deposit</w:t>
            </w:r>
          </w:p>
        </w:tc>
        <w:tc>
          <w:tcPr>
            <w:tcW w:w="60" w:type="dxa"/>
            <w:tcBorders/>
            <w:shd w:fill="EEEEEE" w:val="clear"/>
            <w:vAlign w:val="center"/>
          </w:tcPr>
          <w:p>
            <w:pPr>
              <w:pStyle w:val="TableContents"/>
              <w:bidi w:val="0"/>
              <w:spacing w:before="0" w:after="283"/>
              <w:jc w:val="left"/>
              <w:rPr/>
            </w:pPr>
            <w:r>
              <w:rPr/>
              <w:t> </w:t>
            </w:r>
          </w:p>
        </w:tc>
        <w:tc>
          <w:tcPr>
            <w:tcW w:w="210" w:type="dxa"/>
            <w:tcBorders/>
            <w:shd w:fill="EEEEEE" w:val="clear"/>
            <w:vAlign w:val="center"/>
          </w:tcPr>
          <w:p>
            <w:pPr>
              <w:pStyle w:val="TableContents"/>
              <w:bidi w:val="0"/>
              <w:spacing w:before="0" w:after="283"/>
              <w:jc w:val="left"/>
              <w:rPr/>
            </w:pPr>
            <w:r>
              <w:rPr/>
              <w:t>$</w:t>
            </w:r>
          </w:p>
        </w:tc>
        <w:tc>
          <w:tcPr>
            <w:tcW w:w="1204" w:type="dxa"/>
            <w:tcBorders/>
            <w:shd w:fill="EEEEEE" w:val="clear"/>
            <w:vAlign w:val="center"/>
          </w:tcPr>
          <w:p>
            <w:pPr>
              <w:pStyle w:val="TableContents"/>
              <w:bidi w:val="0"/>
              <w:spacing w:before="0" w:after="283"/>
              <w:jc w:val="right"/>
              <w:rPr/>
            </w:pPr>
            <w:r>
              <w:rPr/>
              <w:t>81,624</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76" w:type="dxa"/>
            <w:tcBorders/>
            <w:shd w:fill="EEEEEE" w:val="clear"/>
            <w:vAlign w:val="center"/>
          </w:tcPr>
          <w:p>
            <w:pPr>
              <w:pStyle w:val="TableContents"/>
              <w:bidi w:val="0"/>
              <w:spacing w:before="0" w:after="283"/>
              <w:jc w:val="left"/>
              <w:rPr/>
            </w:pPr>
            <w:r>
              <w:rPr/>
              <w:t>$</w:t>
            </w:r>
          </w:p>
        </w:tc>
        <w:tc>
          <w:tcPr>
            <w:tcW w:w="1238" w:type="dxa"/>
            <w:tcBorders/>
            <w:shd w:fill="EEEEEE" w:val="clear"/>
            <w:vAlign w:val="center"/>
          </w:tcPr>
          <w:p>
            <w:pPr>
              <w:pStyle w:val="TableContents"/>
              <w:bidi w:val="0"/>
              <w:spacing w:before="0" w:after="283"/>
              <w:jc w:val="right"/>
              <w:rPr/>
            </w:pPr>
            <w:r>
              <w:rPr/>
              <w:t>50,036</w:t>
            </w:r>
          </w:p>
        </w:tc>
        <w:tc>
          <w:tcPr>
            <w:tcW w:w="75" w:type="dxa"/>
            <w:tcBorders/>
            <w:shd w:fill="EEEEEE" w:val="clear"/>
            <w:vAlign w:val="center"/>
          </w:tcPr>
          <w:p>
            <w:pPr>
              <w:pStyle w:val="TableContents"/>
              <w:bidi w:val="0"/>
              <w:spacing w:before="0" w:after="283"/>
              <w:jc w:val="left"/>
              <w:rPr/>
            </w:pPr>
            <w:r>
              <w:rPr/>
              <w:t> </w:t>
            </w:r>
            <w:bookmarkStart w:id="446" w:name="xdx_403_ecustom--OfficeEquipmentNet_iI_z"/>
            <w:bookmarkEnd w:id="446"/>
          </w:p>
        </w:tc>
      </w:tr>
      <w:tr>
        <w:trPr/>
        <w:tc>
          <w:tcPr>
            <w:tcW w:w="5390" w:type="dxa"/>
            <w:tcBorders/>
            <w:shd w:fill="FFFFFF" w:val="clear"/>
            <w:vAlign w:val="center"/>
          </w:tcPr>
          <w:p>
            <w:pPr>
              <w:pStyle w:val="TableContents"/>
              <w:bidi w:val="0"/>
              <w:spacing w:before="0" w:after="283"/>
              <w:jc w:val="left"/>
              <w:rPr/>
            </w:pPr>
            <w:r>
              <w:rPr/>
              <w:t>Office equipment, net</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w:t>
            </w:r>
          </w:p>
        </w:tc>
        <w:tc>
          <w:tcPr>
            <w:tcW w:w="1204" w:type="dxa"/>
            <w:tcBorders/>
            <w:shd w:fill="FFFFFF" w:val="clear"/>
            <w:vAlign w:val="center"/>
          </w:tcPr>
          <w:p>
            <w:pPr>
              <w:pStyle w:val="TableContents"/>
              <w:bidi w:val="0"/>
              <w:spacing w:before="0" w:after="283"/>
              <w:jc w:val="right"/>
              <w:rPr/>
            </w:pPr>
            <w:r>
              <w:rPr/>
              <w:t>33,774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w:t>
            </w:r>
          </w:p>
        </w:tc>
        <w:tc>
          <w:tcPr>
            <w:tcW w:w="1238" w:type="dxa"/>
            <w:tcBorders/>
            <w:shd w:fill="FFFFFF" w:val="clear"/>
            <w:vAlign w:val="center"/>
          </w:tcPr>
          <w:p>
            <w:pPr>
              <w:pStyle w:val="TableContents"/>
              <w:bidi w:val="0"/>
              <w:spacing w:before="0" w:after="283"/>
              <w:jc w:val="right"/>
              <w:rPr/>
            </w:pPr>
            <w:r>
              <w:rPr/>
              <w:t>57,730</w:t>
            </w:r>
          </w:p>
        </w:tc>
        <w:tc>
          <w:tcPr>
            <w:tcW w:w="75" w:type="dxa"/>
            <w:tcBorders/>
            <w:shd w:fill="FFFFFF" w:val="clear"/>
            <w:vAlign w:val="center"/>
          </w:tcPr>
          <w:p>
            <w:pPr>
              <w:pStyle w:val="TableContents"/>
              <w:bidi w:val="0"/>
              <w:spacing w:before="0" w:after="283"/>
              <w:jc w:val="left"/>
              <w:rPr/>
            </w:pPr>
            <w:r>
              <w:rPr/>
              <w:t> </w:t>
            </w:r>
            <w:bookmarkStart w:id="447" w:name="xdx_401_eus-gaap--OperatingLeaseRightOfU"/>
            <w:bookmarkEnd w:id="447"/>
          </w:p>
        </w:tc>
      </w:tr>
      <w:tr>
        <w:trPr/>
        <w:tc>
          <w:tcPr>
            <w:tcW w:w="5390" w:type="dxa"/>
            <w:tcBorders/>
            <w:shd w:fill="EEEEEE" w:val="clear"/>
            <w:vAlign w:val="center"/>
          </w:tcPr>
          <w:p>
            <w:pPr>
              <w:pStyle w:val="TableContents"/>
              <w:bidi w:val="0"/>
              <w:spacing w:before="0" w:after="283"/>
              <w:jc w:val="left"/>
              <w:rPr/>
            </w:pPr>
            <w:r>
              <w:rPr/>
              <w:t>Right of use – noncurrent</w:t>
            </w:r>
          </w:p>
        </w:tc>
        <w:tc>
          <w:tcPr>
            <w:tcW w:w="60" w:type="dxa"/>
            <w:tcBorders/>
            <w:shd w:fill="EEEEEE" w:val="clear"/>
            <w:vAlign w:val="center"/>
          </w:tcPr>
          <w:p>
            <w:pPr>
              <w:pStyle w:val="TableContents"/>
              <w:bidi w:val="0"/>
              <w:spacing w:before="0" w:after="283"/>
              <w:jc w:val="left"/>
              <w:rPr/>
            </w:pPr>
            <w:r>
              <w:rPr/>
              <w:t> </w:t>
            </w:r>
          </w:p>
        </w:tc>
        <w:tc>
          <w:tcPr>
            <w:tcW w:w="210" w:type="dxa"/>
            <w:tcBorders/>
            <w:shd w:fill="EEEEEE" w:val="clear"/>
            <w:vAlign w:val="center"/>
          </w:tcPr>
          <w:p>
            <w:pPr>
              <w:pStyle w:val="TableContents"/>
              <w:bidi w:val="0"/>
              <w:spacing w:before="0" w:after="283"/>
              <w:jc w:val="left"/>
              <w:rPr/>
            </w:pPr>
            <w:r>
              <w:rPr/>
              <w:t>$</w:t>
            </w:r>
          </w:p>
        </w:tc>
        <w:tc>
          <w:tcPr>
            <w:tcW w:w="1204" w:type="dxa"/>
            <w:tcBorders/>
            <w:shd w:fill="EEEEEE" w:val="clear"/>
            <w:vAlign w:val="center"/>
          </w:tcPr>
          <w:p>
            <w:pPr>
              <w:pStyle w:val="TableContents"/>
              <w:bidi w:val="0"/>
              <w:spacing w:before="0" w:after="283"/>
              <w:jc w:val="right"/>
              <w:rPr/>
            </w:pPr>
            <w:r>
              <w:rPr/>
              <w:t>6,104</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76" w:type="dxa"/>
            <w:tcBorders/>
            <w:shd w:fill="EEEEEE" w:val="clear"/>
            <w:vAlign w:val="center"/>
          </w:tcPr>
          <w:p>
            <w:pPr>
              <w:pStyle w:val="TableContents"/>
              <w:bidi w:val="0"/>
              <w:spacing w:before="0" w:after="283"/>
              <w:jc w:val="left"/>
              <w:rPr/>
            </w:pPr>
            <w:r>
              <w:rPr/>
              <w:t>$</w:t>
            </w:r>
          </w:p>
        </w:tc>
        <w:tc>
          <w:tcPr>
            <w:tcW w:w="1238" w:type="dxa"/>
            <w:tcBorders/>
            <w:shd w:fill="EEEEEE" w:val="clear"/>
            <w:vAlign w:val="center"/>
          </w:tcPr>
          <w:p>
            <w:pPr>
              <w:pStyle w:val="TableContents"/>
              <w:bidi w:val="0"/>
              <w:spacing w:before="0" w:after="283"/>
              <w:jc w:val="right"/>
              <w:rPr/>
            </w:pPr>
            <w:r>
              <w:rPr/>
              <w:t>153,064</w:t>
            </w:r>
          </w:p>
        </w:tc>
        <w:tc>
          <w:tcPr>
            <w:tcW w:w="75" w:type="dxa"/>
            <w:tcBorders/>
            <w:shd w:fill="EEEEEE" w:val="clear"/>
            <w:vAlign w:val="center"/>
          </w:tcPr>
          <w:p>
            <w:pPr>
              <w:pStyle w:val="TableContents"/>
              <w:bidi w:val="0"/>
              <w:spacing w:before="0" w:after="283"/>
              <w:jc w:val="left"/>
              <w:rPr/>
            </w:pPr>
            <w:r>
              <w:rPr/>
              <w:t> </w:t>
            </w:r>
            <w:bookmarkStart w:id="448" w:name="xdx_405_ecustom--DeferredTaxAssets_iI_d0"/>
            <w:bookmarkEnd w:id="448"/>
          </w:p>
        </w:tc>
      </w:tr>
      <w:tr>
        <w:trPr/>
        <w:tc>
          <w:tcPr>
            <w:tcW w:w="5390" w:type="dxa"/>
            <w:tcBorders/>
            <w:shd w:fill="FFFFFF" w:val="clear"/>
            <w:vAlign w:val="center"/>
          </w:tcPr>
          <w:p>
            <w:pPr>
              <w:pStyle w:val="TableContents"/>
              <w:bidi w:val="0"/>
              <w:spacing w:before="0" w:after="283"/>
              <w:jc w:val="left"/>
              <w:rPr/>
            </w:pPr>
            <w:r>
              <w:rPr/>
              <w:t>Deferred tax assets</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w:t>
            </w:r>
          </w:p>
        </w:tc>
        <w:tc>
          <w:tcPr>
            <w:tcW w:w="1204" w:type="dxa"/>
            <w:tcBorders/>
            <w:shd w:fill="FFFFFF" w:val="clear"/>
            <w:vAlign w:val="center"/>
          </w:tcPr>
          <w:p>
            <w:pPr>
              <w:pStyle w:val="TableContents"/>
              <w:bidi w:val="0"/>
              <w:spacing w:before="0" w:after="283"/>
              <w:jc w:val="right"/>
              <w:rPr/>
            </w:pPr>
            <w:r>
              <w:rPr/>
              <w:t>64,510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w:t>
            </w:r>
          </w:p>
        </w:tc>
        <w:tc>
          <w:tcPr>
            <w:tcW w:w="1238"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449" w:name="xdx_402_ecustom--AdvanceFromShareholders"/>
            <w:bookmarkEnd w:id="449"/>
          </w:p>
        </w:tc>
      </w:tr>
      <w:tr>
        <w:trPr/>
        <w:tc>
          <w:tcPr>
            <w:tcW w:w="5390" w:type="dxa"/>
            <w:tcBorders/>
            <w:shd w:fill="EEEEEE" w:val="clear"/>
            <w:vAlign w:val="center"/>
          </w:tcPr>
          <w:p>
            <w:pPr>
              <w:pStyle w:val="TableContents"/>
              <w:bidi w:val="0"/>
              <w:spacing w:before="0" w:after="283"/>
              <w:jc w:val="left"/>
              <w:rPr/>
            </w:pPr>
            <w:r>
              <w:rPr/>
              <w:t>Advance from shareholders</w:t>
            </w:r>
          </w:p>
        </w:tc>
        <w:tc>
          <w:tcPr>
            <w:tcW w:w="60" w:type="dxa"/>
            <w:tcBorders/>
            <w:shd w:fill="EEEEEE" w:val="clear"/>
            <w:vAlign w:val="center"/>
          </w:tcPr>
          <w:p>
            <w:pPr>
              <w:pStyle w:val="TableContents"/>
              <w:bidi w:val="0"/>
              <w:spacing w:before="0" w:after="283"/>
              <w:jc w:val="left"/>
              <w:rPr/>
            </w:pPr>
            <w:r>
              <w:rPr/>
              <w:t> </w:t>
            </w:r>
          </w:p>
        </w:tc>
        <w:tc>
          <w:tcPr>
            <w:tcW w:w="210" w:type="dxa"/>
            <w:tcBorders/>
            <w:shd w:fill="EEEEEE" w:val="clear"/>
            <w:vAlign w:val="center"/>
          </w:tcPr>
          <w:p>
            <w:pPr>
              <w:pStyle w:val="TableContents"/>
              <w:bidi w:val="0"/>
              <w:spacing w:before="0" w:after="283"/>
              <w:jc w:val="left"/>
              <w:rPr/>
            </w:pPr>
            <w:r>
              <w:rPr/>
              <w:t>$</w:t>
            </w:r>
          </w:p>
        </w:tc>
        <w:tc>
          <w:tcPr>
            <w:tcW w:w="1204" w:type="dxa"/>
            <w:tcBorders/>
            <w:shd w:fill="EEEEEE" w:val="clear"/>
            <w:vAlign w:val="center"/>
          </w:tcPr>
          <w:p>
            <w:pPr>
              <w:pStyle w:val="TableContents"/>
              <w:bidi w:val="0"/>
              <w:spacing w:before="0" w:after="283"/>
              <w:jc w:val="right"/>
              <w:rPr/>
            </w:pPr>
            <w:r>
              <w:rPr/>
              <w:t>85,200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76" w:type="dxa"/>
            <w:tcBorders/>
            <w:shd w:fill="EEEEEE" w:val="clear"/>
            <w:vAlign w:val="center"/>
          </w:tcPr>
          <w:p>
            <w:pPr>
              <w:pStyle w:val="TableContents"/>
              <w:bidi w:val="0"/>
              <w:spacing w:before="0" w:after="283"/>
              <w:jc w:val="left"/>
              <w:rPr/>
            </w:pPr>
            <w:r>
              <w:rPr/>
              <w:t>$</w:t>
            </w:r>
          </w:p>
        </w:tc>
        <w:tc>
          <w:tcPr>
            <w:tcW w:w="1238" w:type="dxa"/>
            <w:tcBorders/>
            <w:shd w:fill="EEEEEE" w:val="clear"/>
            <w:vAlign w:val="center"/>
          </w:tcPr>
          <w:p>
            <w:pPr>
              <w:pStyle w:val="TableContents"/>
              <w:bidi w:val="0"/>
              <w:spacing w:before="0" w:after="283"/>
              <w:jc w:val="right"/>
              <w:rPr/>
            </w:pPr>
            <w:r>
              <w:rPr/>
              <w:t>92,246</w:t>
            </w:r>
          </w:p>
        </w:tc>
        <w:tc>
          <w:tcPr>
            <w:tcW w:w="75" w:type="dxa"/>
            <w:tcBorders/>
            <w:shd w:fill="EEEEEE" w:val="clear"/>
            <w:vAlign w:val="center"/>
          </w:tcPr>
          <w:p>
            <w:pPr>
              <w:pStyle w:val="TableContents"/>
              <w:bidi w:val="0"/>
              <w:spacing w:before="0" w:after="283"/>
              <w:jc w:val="left"/>
              <w:rPr/>
            </w:pPr>
            <w:r>
              <w:rPr/>
              <w:t> </w:t>
            </w:r>
            <w:bookmarkStart w:id="450" w:name="xdx_404_eus-gaap--AccountsPayableCurrent"/>
            <w:bookmarkEnd w:id="450"/>
          </w:p>
        </w:tc>
      </w:tr>
      <w:tr>
        <w:trPr/>
        <w:tc>
          <w:tcPr>
            <w:tcW w:w="5390"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w:t>
            </w:r>
          </w:p>
        </w:tc>
        <w:tc>
          <w:tcPr>
            <w:tcW w:w="1204" w:type="dxa"/>
            <w:tcBorders/>
            <w:shd w:fill="FFFFFF" w:val="clear"/>
            <w:vAlign w:val="center"/>
          </w:tcPr>
          <w:p>
            <w:pPr>
              <w:pStyle w:val="TableContents"/>
              <w:bidi w:val="0"/>
              <w:spacing w:before="0" w:after="283"/>
              <w:jc w:val="right"/>
              <w:rPr/>
            </w:pPr>
            <w:r>
              <w:rPr/>
              <w:t>6,278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w:t>
            </w:r>
          </w:p>
        </w:tc>
        <w:tc>
          <w:tcPr>
            <w:tcW w:w="1238" w:type="dxa"/>
            <w:tcBorders/>
            <w:shd w:fill="FFFFFF" w:val="clear"/>
            <w:vAlign w:val="center"/>
          </w:tcPr>
          <w:p>
            <w:pPr>
              <w:pStyle w:val="TableContents"/>
              <w:bidi w:val="0"/>
              <w:spacing w:before="0" w:after="283"/>
              <w:jc w:val="right"/>
              <w:rPr/>
            </w:pPr>
            <w:r>
              <w:rPr/>
              <w:t>121,073</w:t>
            </w:r>
          </w:p>
        </w:tc>
        <w:tc>
          <w:tcPr>
            <w:tcW w:w="75" w:type="dxa"/>
            <w:tcBorders/>
            <w:shd w:fill="FFFFFF" w:val="clear"/>
            <w:vAlign w:val="center"/>
          </w:tcPr>
          <w:p>
            <w:pPr>
              <w:pStyle w:val="TableContents"/>
              <w:bidi w:val="0"/>
              <w:spacing w:before="0" w:after="283"/>
              <w:jc w:val="left"/>
              <w:rPr/>
            </w:pPr>
            <w:r>
              <w:rPr/>
              <w:t> </w:t>
            </w:r>
            <w:bookmarkStart w:id="451" w:name="xdx_403_eus-gaap--OperatingLeaseLiabilit"/>
            <w:bookmarkEnd w:id="451"/>
          </w:p>
        </w:tc>
      </w:tr>
      <w:tr>
        <w:trPr/>
        <w:tc>
          <w:tcPr>
            <w:tcW w:w="5390" w:type="dxa"/>
            <w:tcBorders/>
            <w:shd w:fill="EEEEEE" w:val="clear"/>
            <w:vAlign w:val="center"/>
          </w:tcPr>
          <w:p>
            <w:pPr>
              <w:pStyle w:val="TableContents"/>
              <w:bidi w:val="0"/>
              <w:spacing w:before="0" w:after="283"/>
              <w:jc w:val="left"/>
              <w:rPr/>
            </w:pPr>
            <w:r>
              <w:rPr/>
              <w:t>Lease liability</w:t>
            </w:r>
          </w:p>
        </w:tc>
        <w:tc>
          <w:tcPr>
            <w:tcW w:w="60" w:type="dxa"/>
            <w:tcBorders/>
            <w:shd w:fill="EEEEEE" w:val="clear"/>
            <w:vAlign w:val="center"/>
          </w:tcPr>
          <w:p>
            <w:pPr>
              <w:pStyle w:val="TableContents"/>
              <w:bidi w:val="0"/>
              <w:spacing w:before="0" w:after="283"/>
              <w:jc w:val="left"/>
              <w:rPr/>
            </w:pPr>
            <w:r>
              <w:rPr/>
              <w:t> </w:t>
            </w:r>
          </w:p>
        </w:tc>
        <w:tc>
          <w:tcPr>
            <w:tcW w:w="210" w:type="dxa"/>
            <w:tcBorders/>
            <w:shd w:fill="EEEEEE" w:val="clear"/>
            <w:vAlign w:val="center"/>
          </w:tcPr>
          <w:p>
            <w:pPr>
              <w:pStyle w:val="TableContents"/>
              <w:bidi w:val="0"/>
              <w:spacing w:before="0" w:after="283"/>
              <w:jc w:val="left"/>
              <w:rPr/>
            </w:pPr>
            <w:r>
              <w:rPr/>
              <w:t>$</w:t>
            </w:r>
          </w:p>
        </w:tc>
        <w:tc>
          <w:tcPr>
            <w:tcW w:w="1204" w:type="dxa"/>
            <w:tcBorders/>
            <w:shd w:fill="EEEEEE" w:val="clear"/>
            <w:vAlign w:val="center"/>
          </w:tcPr>
          <w:p>
            <w:pPr>
              <w:pStyle w:val="TableContents"/>
              <w:bidi w:val="0"/>
              <w:spacing w:before="0" w:after="283"/>
              <w:jc w:val="right"/>
              <w:rPr/>
            </w:pPr>
            <w:r>
              <w:rPr/>
              <w:t>4,758</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76" w:type="dxa"/>
            <w:tcBorders/>
            <w:shd w:fill="EEEEEE" w:val="clear"/>
            <w:vAlign w:val="center"/>
          </w:tcPr>
          <w:p>
            <w:pPr>
              <w:pStyle w:val="TableContents"/>
              <w:bidi w:val="0"/>
              <w:spacing w:before="0" w:after="283"/>
              <w:jc w:val="left"/>
              <w:rPr/>
            </w:pPr>
            <w:r>
              <w:rPr/>
              <w:t>$</w:t>
            </w:r>
          </w:p>
        </w:tc>
        <w:tc>
          <w:tcPr>
            <w:tcW w:w="1238" w:type="dxa"/>
            <w:tcBorders/>
            <w:shd w:fill="EEEEEE" w:val="clear"/>
            <w:vAlign w:val="center"/>
          </w:tcPr>
          <w:p>
            <w:pPr>
              <w:pStyle w:val="TableContents"/>
              <w:bidi w:val="0"/>
              <w:spacing w:before="0" w:after="283"/>
              <w:jc w:val="right"/>
              <w:rPr/>
            </w:pPr>
            <w:r>
              <w:rPr/>
              <w:t>154,418</w:t>
            </w:r>
          </w:p>
        </w:tc>
        <w:tc>
          <w:tcPr>
            <w:tcW w:w="75" w:type="dxa"/>
            <w:tcBorders/>
            <w:shd w:fill="EEEEEE" w:val="clear"/>
            <w:vAlign w:val="center"/>
          </w:tcPr>
          <w:p>
            <w:pPr>
              <w:pStyle w:val="TableContents"/>
              <w:bidi w:val="0"/>
              <w:spacing w:before="0" w:after="283"/>
              <w:jc w:val="left"/>
              <w:rPr/>
            </w:pPr>
            <w:r>
              <w:rPr/>
              <w:t> </w:t>
            </w:r>
            <w:bookmarkStart w:id="452" w:name="xdx_40A_eus-gaap--TaxesPayableCurrent_iI"/>
            <w:bookmarkEnd w:id="452"/>
          </w:p>
        </w:tc>
      </w:tr>
      <w:tr>
        <w:trPr/>
        <w:tc>
          <w:tcPr>
            <w:tcW w:w="5390" w:type="dxa"/>
            <w:tcBorders/>
            <w:shd w:fill="FFFFFF" w:val="clear"/>
            <w:vAlign w:val="center"/>
          </w:tcPr>
          <w:p>
            <w:pPr>
              <w:pStyle w:val="TableContents"/>
              <w:bidi w:val="0"/>
              <w:spacing w:before="0" w:after="283"/>
              <w:jc w:val="left"/>
              <w:rPr/>
            </w:pPr>
            <w:r>
              <w:rPr/>
              <w:t>Income tax payable</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w:t>
            </w:r>
          </w:p>
        </w:tc>
        <w:tc>
          <w:tcPr>
            <w:tcW w:w="1204" w:type="dxa"/>
            <w:tcBorders/>
            <w:shd w:fill="FFFFFF" w:val="clear"/>
            <w:vAlign w:val="center"/>
          </w:tcPr>
          <w:p>
            <w:pPr>
              <w:pStyle w:val="TableContents"/>
              <w:bidi w:val="0"/>
              <w:spacing w:before="0" w:after="283"/>
              <w:jc w:val="right"/>
              <w:rPr/>
            </w:pPr>
            <w:r>
              <w:rPr/>
              <w:t>276,683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w:t>
            </w:r>
          </w:p>
        </w:tc>
        <w:tc>
          <w:tcPr>
            <w:tcW w:w="1238" w:type="dxa"/>
            <w:tcBorders/>
            <w:shd w:fill="FFFFFF" w:val="clear"/>
            <w:vAlign w:val="center"/>
          </w:tcPr>
          <w:p>
            <w:pPr>
              <w:pStyle w:val="TableContents"/>
              <w:bidi w:val="0"/>
              <w:spacing w:before="0" w:after="283"/>
              <w:jc w:val="right"/>
              <w:rPr/>
            </w:pPr>
            <w:r>
              <w:rPr/>
              <w:t>299,563</w:t>
            </w:r>
          </w:p>
        </w:tc>
        <w:tc>
          <w:tcPr>
            <w:tcW w:w="75" w:type="dxa"/>
            <w:tcBorders/>
            <w:shd w:fill="FFFFFF" w:val="clear"/>
            <w:vAlign w:val="center"/>
          </w:tcPr>
          <w:p>
            <w:pPr>
              <w:pStyle w:val="TableContents"/>
              <w:bidi w:val="0"/>
              <w:spacing w:before="0" w:after="283"/>
              <w:jc w:val="left"/>
              <w:rPr/>
            </w:pPr>
            <w:r>
              <w:rPr/>
              <w:t> </w:t>
            </w:r>
            <w:bookmarkStart w:id="453" w:name="xdx_407_eus-gaap--AccountsPayableAndOthe"/>
            <w:bookmarkEnd w:id="453"/>
          </w:p>
        </w:tc>
      </w:tr>
      <w:tr>
        <w:trPr/>
        <w:tc>
          <w:tcPr>
            <w:tcW w:w="5390" w:type="dxa"/>
            <w:tcBorders/>
            <w:shd w:fill="EEEEEE" w:val="clear"/>
            <w:vAlign w:val="center"/>
          </w:tcPr>
          <w:p>
            <w:pPr>
              <w:pStyle w:val="TableContents"/>
              <w:bidi w:val="0"/>
              <w:spacing w:before="0" w:after="283"/>
              <w:jc w:val="left"/>
              <w:rPr/>
            </w:pPr>
            <w:r>
              <w:rPr/>
              <w:t>Other payables and accrued liabilities</w:t>
            </w:r>
          </w:p>
        </w:tc>
        <w:tc>
          <w:tcPr>
            <w:tcW w:w="60" w:type="dxa"/>
            <w:tcBorders/>
            <w:shd w:fill="EEEEEE" w:val="clear"/>
            <w:vAlign w:val="center"/>
          </w:tcPr>
          <w:p>
            <w:pPr>
              <w:pStyle w:val="TableContents"/>
              <w:bidi w:val="0"/>
              <w:spacing w:before="0" w:after="283"/>
              <w:jc w:val="left"/>
              <w:rPr/>
            </w:pPr>
            <w:r>
              <w:rPr/>
              <w:t> </w:t>
            </w:r>
          </w:p>
        </w:tc>
        <w:tc>
          <w:tcPr>
            <w:tcW w:w="210" w:type="dxa"/>
            <w:tcBorders/>
            <w:shd w:fill="EEEEEE" w:val="clear"/>
            <w:vAlign w:val="center"/>
          </w:tcPr>
          <w:p>
            <w:pPr>
              <w:pStyle w:val="TableContents"/>
              <w:bidi w:val="0"/>
              <w:spacing w:before="0" w:after="283"/>
              <w:jc w:val="left"/>
              <w:rPr/>
            </w:pPr>
            <w:r>
              <w:rPr/>
              <w:t>$</w:t>
            </w:r>
          </w:p>
        </w:tc>
        <w:tc>
          <w:tcPr>
            <w:tcW w:w="1204" w:type="dxa"/>
            <w:tcBorders/>
            <w:shd w:fill="EEEEEE" w:val="clear"/>
            <w:vAlign w:val="center"/>
          </w:tcPr>
          <w:p>
            <w:pPr>
              <w:pStyle w:val="TableContents"/>
              <w:bidi w:val="0"/>
              <w:spacing w:before="0" w:after="283"/>
              <w:jc w:val="right"/>
              <w:rPr/>
            </w:pPr>
            <w:r>
              <w:rPr/>
              <w:t>344,735</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76" w:type="dxa"/>
            <w:tcBorders/>
            <w:shd w:fill="EEEEEE" w:val="clear"/>
            <w:vAlign w:val="center"/>
          </w:tcPr>
          <w:p>
            <w:pPr>
              <w:pStyle w:val="TableContents"/>
              <w:bidi w:val="0"/>
              <w:spacing w:before="0" w:after="283"/>
              <w:jc w:val="left"/>
              <w:rPr/>
            </w:pPr>
            <w:r>
              <w:rPr/>
              <w:t>$</w:t>
            </w:r>
          </w:p>
        </w:tc>
        <w:tc>
          <w:tcPr>
            <w:tcW w:w="1238" w:type="dxa"/>
            <w:tcBorders/>
            <w:shd w:fill="EEEEEE" w:val="clear"/>
            <w:vAlign w:val="center"/>
          </w:tcPr>
          <w:p>
            <w:pPr>
              <w:pStyle w:val="TableContents"/>
              <w:bidi w:val="0"/>
              <w:spacing w:before="0" w:after="283"/>
              <w:jc w:val="right"/>
              <w:rPr/>
            </w:pPr>
            <w:r>
              <w:rPr/>
              <w:t>188,066</w:t>
            </w:r>
          </w:p>
        </w:tc>
        <w:tc>
          <w:tcPr>
            <w:tcW w:w="75" w:type="dxa"/>
            <w:tcBorders/>
            <w:shd w:fill="EEEEEE"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54" w:name="xdx_8A9_zyc1yhqIhT03"/>
      <w:bookmarkEnd w:id="454"/>
      <w:r>
        <w:rPr>
          <w:caps w:val="false"/>
          <w:smallCaps w:val="false"/>
        </w:rPr>
        <w:t> </w:t>
      </w:r>
    </w:p>
    <w:p>
      <w:pPr>
        <w:pStyle w:val="TextBody"/>
        <w:bidi w:val="0"/>
        <w:spacing w:before="0" w:after="0"/>
        <w:ind w:left="0" w:right="0" w:hanging="0"/>
        <w:jc w:val="both"/>
        <w:rPr>
          <w:caps w:val="false"/>
          <w:smallCaps w:val="false"/>
        </w:rPr>
      </w:pPr>
      <w:bookmarkStart w:id="455" w:name="xdx_231_zHq9lGYPTAs3"/>
      <w:bookmarkEnd w:id="455"/>
      <w:r>
        <w:rPr>
          <w:caps w:val="false"/>
          <w:smallCaps w:val="false"/>
        </w:rPr>
        <w:t> </w:t>
      </w:r>
    </w:p>
    <w:p>
      <w:pPr>
        <w:pStyle w:val="TextBody"/>
        <w:bidi w:val="0"/>
        <w:spacing w:before="0" w:after="0"/>
        <w:ind w:left="0" w:right="0" w:hanging="0"/>
        <w:jc w:val="both"/>
        <w:rPr>
          <w:caps w:val="false"/>
          <w:smallCaps w:val="false"/>
        </w:rPr>
      </w:pPr>
      <w:bookmarkStart w:id="456" w:name="xdx_238_zxyvV4fwh0tk"/>
      <w:bookmarkEnd w:id="456"/>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F-19</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457" w:name="xdx_23D_zS2aip2BCKXl"/>
      <w:bookmarkEnd w:id="45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results of the VIE were as follows for the year ended June 30, 2023:</w:t>
      </w:r>
    </w:p>
    <w:p>
      <w:pPr>
        <w:pStyle w:val="Normal"/>
        <w:bidi w:val="0"/>
        <w:spacing w:before="0" w:after="0"/>
        <w:jc w:val="left"/>
        <w:rPr>
          <w:sz w:val="4"/>
          <w:szCs w:val="4"/>
        </w:rPr>
      </w:pPr>
      <w:r>
        <w:rPr>
          <w:sz w:val="4"/>
          <w:szCs w:val="4"/>
        </w:rPr>
      </w:r>
      <w:bookmarkStart w:id="458" w:name="xdx_89E_ecustom--ScheduleOfOperatingResu"/>
      <w:bookmarkStart w:id="459" w:name="xdx_89E_ecustom--ScheduleOfOperatingResu"/>
      <w:bookmarkEnd w:id="459"/>
    </w:p>
    <w:tbl>
      <w:tblPr>
        <w:tblW w:w="6714" w:type="dxa"/>
        <w:jc w:val="left"/>
        <w:tblInd w:w="0" w:type="dxa"/>
        <w:tblLayout w:type="fixed"/>
        <w:tblCellMar>
          <w:top w:w="0" w:type="dxa"/>
          <w:left w:w="0" w:type="dxa"/>
          <w:bottom w:w="0" w:type="dxa"/>
          <w:right w:w="0" w:type="dxa"/>
        </w:tblCellMar>
      </w:tblPr>
      <w:tblGrid>
        <w:gridCol w:w="5165"/>
        <w:gridCol w:w="60"/>
        <w:gridCol w:w="176"/>
        <w:gridCol w:w="1238"/>
        <w:gridCol w:w="75"/>
      </w:tblGrid>
      <w:tr>
        <w:trPr/>
        <w:tc>
          <w:tcPr>
            <w:tcW w:w="5165" w:type="dxa"/>
            <w:tcBorders/>
            <w:vAlign w:val="center"/>
          </w:tcPr>
          <w:p>
            <w:pPr>
              <w:pStyle w:val="TableContents"/>
              <w:bidi w:val="0"/>
              <w:spacing w:before="0" w:after="283"/>
              <w:jc w:val="left"/>
              <w:rPr/>
            </w:pPr>
            <w:bookmarkStart w:id="460" w:name="xdx_8BA_zDt8nngcot77"/>
            <w:bookmarkEnd w:id="460"/>
            <w:r>
              <w:rPr/>
              <w:t>Schedule of operating results of the VIE </w:t>
            </w:r>
          </w:p>
        </w:tc>
        <w:tc>
          <w:tcPr>
            <w:tcW w:w="60" w:type="dxa"/>
            <w:tcBorders/>
            <w:vAlign w:val="center"/>
          </w:tcPr>
          <w:p>
            <w:pPr>
              <w:pStyle w:val="TableContents"/>
              <w:bidi w:val="0"/>
              <w:spacing w:before="0" w:after="283"/>
              <w:jc w:val="left"/>
              <w:rPr/>
            </w:pPr>
            <w:r>
              <w:rPr/>
              <w:t> </w:t>
            </w:r>
            <w:bookmarkStart w:id="461" w:name="xdx_490_20220701__20230630__srt--Consoli"/>
            <w:bookmarkEnd w:id="461"/>
          </w:p>
        </w:tc>
        <w:tc>
          <w:tcPr>
            <w:tcW w:w="1414"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5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2023</w:t>
            </w:r>
          </w:p>
        </w:tc>
        <w:tc>
          <w:tcPr>
            <w:tcW w:w="75" w:type="dxa"/>
            <w:tcBorders/>
            <w:vAlign w:val="center"/>
          </w:tcPr>
          <w:p>
            <w:pPr>
              <w:pStyle w:val="TableContents"/>
              <w:bidi w:val="0"/>
              <w:spacing w:before="0" w:after="283"/>
              <w:jc w:val="left"/>
              <w:rPr/>
            </w:pPr>
            <w:r>
              <w:rPr/>
              <w:t> </w:t>
            </w:r>
            <w:bookmarkStart w:id="462" w:name="xdx_400_eus-gaap--Revenues_d0_ztnrnBfuET"/>
            <w:bookmarkEnd w:id="462"/>
          </w:p>
        </w:tc>
      </w:tr>
      <w:tr>
        <w:trPr/>
        <w:tc>
          <w:tcPr>
            <w:tcW w:w="5165" w:type="dxa"/>
            <w:tcBorders/>
            <w:shd w:fill="EEEEEE" w:val="clear"/>
            <w:vAlign w:val="center"/>
          </w:tcPr>
          <w:p>
            <w:pPr>
              <w:pStyle w:val="TableContents"/>
              <w:bidi w:val="0"/>
              <w:spacing w:before="0" w:after="283"/>
              <w:jc w:val="left"/>
              <w:rPr/>
            </w:pPr>
            <w:r>
              <w:rPr/>
              <w:t>Revenue</w:t>
            </w:r>
          </w:p>
        </w:tc>
        <w:tc>
          <w:tcPr>
            <w:tcW w:w="60" w:type="dxa"/>
            <w:tcBorders/>
            <w:shd w:fill="EEEEEE" w:val="clear"/>
            <w:vAlign w:val="center"/>
          </w:tcPr>
          <w:p>
            <w:pPr>
              <w:pStyle w:val="TableContents"/>
              <w:bidi w:val="0"/>
              <w:spacing w:before="0" w:after="283"/>
              <w:jc w:val="left"/>
              <w:rPr/>
            </w:pPr>
            <w:r>
              <w:rPr/>
              <w:t> </w:t>
            </w:r>
          </w:p>
        </w:tc>
        <w:tc>
          <w:tcPr>
            <w:tcW w:w="176" w:type="dxa"/>
            <w:tcBorders/>
            <w:shd w:fill="EEEEEE" w:val="clear"/>
            <w:vAlign w:val="center"/>
          </w:tcPr>
          <w:p>
            <w:pPr>
              <w:pStyle w:val="TableContents"/>
              <w:bidi w:val="0"/>
              <w:spacing w:before="0" w:after="283"/>
              <w:jc w:val="left"/>
              <w:rPr/>
            </w:pPr>
            <w:r>
              <w:rPr/>
              <w:t>$</w:t>
            </w:r>
          </w:p>
        </w:tc>
        <w:tc>
          <w:tcPr>
            <w:tcW w:w="1238" w:type="dxa"/>
            <w:tcBorders/>
            <w:shd w:fill="EEEEEE" w:val="clear"/>
            <w:vAlign w:val="center"/>
          </w:tcPr>
          <w:p>
            <w:pPr>
              <w:pStyle w:val="TableContents"/>
              <w:bidi w:val="0"/>
              <w:spacing w:before="0" w:after="283"/>
              <w:jc w:val="right"/>
              <w:rPr/>
            </w:pPr>
            <w:r>
              <w:rPr/>
              <w:t>–</w:t>
            </w:r>
          </w:p>
        </w:tc>
        <w:tc>
          <w:tcPr>
            <w:tcW w:w="75" w:type="dxa"/>
            <w:tcBorders/>
            <w:shd w:fill="EEEEEE" w:val="clear"/>
            <w:vAlign w:val="center"/>
          </w:tcPr>
          <w:p>
            <w:pPr>
              <w:pStyle w:val="TableContents"/>
              <w:bidi w:val="0"/>
              <w:spacing w:before="0" w:after="283"/>
              <w:jc w:val="left"/>
              <w:rPr/>
            </w:pPr>
            <w:r>
              <w:rPr/>
              <w:t> </w:t>
            </w:r>
            <w:bookmarkStart w:id="463" w:name="xdx_408_eus-gaap--NetIncomeLoss_pp0p0_z6"/>
            <w:bookmarkEnd w:id="463"/>
          </w:p>
        </w:tc>
      </w:tr>
      <w:tr>
        <w:trPr/>
        <w:tc>
          <w:tcPr>
            <w:tcW w:w="5165" w:type="dxa"/>
            <w:tcBorders/>
            <w:shd w:fill="FFFFFF" w:val="clear"/>
            <w:vAlign w:val="center"/>
          </w:tcPr>
          <w:p>
            <w:pPr>
              <w:pStyle w:val="TableContents"/>
              <w:bidi w:val="0"/>
              <w:spacing w:before="0" w:after="283"/>
              <w:jc w:val="left"/>
              <w:rPr/>
            </w:pPr>
            <w:r>
              <w:rPr/>
              <w:t>Net loss after elimination of intercompany transactions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w:t>
            </w:r>
          </w:p>
        </w:tc>
        <w:tc>
          <w:tcPr>
            <w:tcW w:w="1238" w:type="dxa"/>
            <w:tcBorders/>
            <w:shd w:fill="FFFFFF" w:val="clear"/>
            <w:vAlign w:val="center"/>
          </w:tcPr>
          <w:p>
            <w:pPr>
              <w:pStyle w:val="TableContents"/>
              <w:bidi w:val="0"/>
              <w:spacing w:before="0" w:after="283"/>
              <w:jc w:val="right"/>
              <w:rPr/>
            </w:pPr>
            <w:r>
              <w:rPr/>
              <w:t>2,056,556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results of the VIE were as follows for the period from February 15, 2022 to June 30, 2022:</w:t>
      </w:r>
    </w:p>
    <w:tbl>
      <w:tblPr>
        <w:tblW w:w="5799" w:type="dxa"/>
        <w:jc w:val="left"/>
        <w:tblInd w:w="0" w:type="dxa"/>
        <w:tblLayout w:type="fixed"/>
        <w:tblCellMar>
          <w:top w:w="0" w:type="dxa"/>
          <w:left w:w="0" w:type="dxa"/>
          <w:bottom w:w="0" w:type="dxa"/>
          <w:right w:w="0" w:type="dxa"/>
        </w:tblCellMar>
      </w:tblPr>
      <w:tblGrid>
        <w:gridCol w:w="4475"/>
        <w:gridCol w:w="60"/>
        <w:gridCol w:w="153"/>
        <w:gridCol w:w="1036"/>
        <w:gridCol w:w="75"/>
      </w:tblGrid>
      <w:tr>
        <w:trPr/>
        <w:tc>
          <w:tcPr>
            <w:tcW w:w="4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64" w:name="xdx_492_20210701__20220630__srt--Consoli"/>
            <w:bookmarkEnd w:id="464"/>
          </w:p>
        </w:tc>
        <w:tc>
          <w:tcPr>
            <w:tcW w:w="1189"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4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June 30, 2022</w:t>
            </w:r>
          </w:p>
        </w:tc>
        <w:tc>
          <w:tcPr>
            <w:tcW w:w="75" w:type="dxa"/>
            <w:tcBorders/>
            <w:vAlign w:val="center"/>
          </w:tcPr>
          <w:p>
            <w:pPr>
              <w:pStyle w:val="TableContents"/>
              <w:bidi w:val="0"/>
              <w:spacing w:before="0" w:after="283"/>
              <w:jc w:val="left"/>
              <w:rPr/>
            </w:pPr>
            <w:r>
              <w:rPr/>
              <w:t> </w:t>
            </w:r>
            <w:bookmarkStart w:id="465" w:name="xdx_400_eus-gaap--Revenues_d0_zfcxsMlZGW"/>
            <w:bookmarkEnd w:id="465"/>
          </w:p>
        </w:tc>
      </w:tr>
      <w:tr>
        <w:trPr/>
        <w:tc>
          <w:tcPr>
            <w:tcW w:w="4475" w:type="dxa"/>
            <w:tcBorders/>
            <w:shd w:fill="EEEEEE" w:val="clear"/>
            <w:vAlign w:val="center"/>
          </w:tcPr>
          <w:p>
            <w:pPr>
              <w:pStyle w:val="TableContents"/>
              <w:bidi w:val="0"/>
              <w:spacing w:before="0" w:after="283"/>
              <w:jc w:val="left"/>
              <w:rPr>
                <w:sz w:val="20"/>
              </w:rPr>
            </w:pPr>
            <w:r>
              <w:rPr>
                <w:sz w:val="20"/>
              </w:rPr>
              <w:t>Revenue</w:t>
            </w:r>
          </w:p>
        </w:tc>
        <w:tc>
          <w:tcPr>
            <w:tcW w:w="60" w:type="dxa"/>
            <w:tcBorders/>
            <w:shd w:fill="EEEEEE" w:val="clear"/>
            <w:vAlign w:val="center"/>
          </w:tcPr>
          <w:p>
            <w:pPr>
              <w:pStyle w:val="TableContents"/>
              <w:bidi w:val="0"/>
              <w:spacing w:before="0" w:after="283"/>
              <w:jc w:val="left"/>
              <w:rPr/>
            </w:pPr>
            <w:r>
              <w:rPr/>
              <w:t> </w:t>
            </w:r>
          </w:p>
        </w:tc>
        <w:tc>
          <w:tcPr>
            <w:tcW w:w="153" w:type="dxa"/>
            <w:tcBorders/>
            <w:shd w:fill="EEEEEE" w:val="clear"/>
            <w:vAlign w:val="center"/>
          </w:tcPr>
          <w:p>
            <w:pPr>
              <w:pStyle w:val="TableContents"/>
              <w:bidi w:val="0"/>
              <w:spacing w:before="0" w:after="283"/>
              <w:jc w:val="left"/>
              <w:rPr>
                <w:sz w:val="20"/>
              </w:rPr>
            </w:pPr>
            <w:r>
              <w:rPr>
                <w:sz w:val="20"/>
              </w:rPr>
              <w:t>$</w:t>
            </w:r>
          </w:p>
        </w:tc>
        <w:tc>
          <w:tcPr>
            <w:tcW w:w="1036" w:type="dxa"/>
            <w:tcBorders/>
            <w:shd w:fill="EEEEEE" w:val="clear"/>
            <w:vAlign w:val="center"/>
          </w:tcPr>
          <w:p>
            <w:pPr>
              <w:pStyle w:val="TableContents"/>
              <w:bidi w:val="0"/>
              <w:spacing w:before="0" w:after="283"/>
              <w:jc w:val="right"/>
              <w:rPr/>
            </w:pPr>
            <w:r>
              <w:rPr/>
              <w:t>–</w:t>
            </w:r>
          </w:p>
        </w:tc>
        <w:tc>
          <w:tcPr>
            <w:tcW w:w="75" w:type="dxa"/>
            <w:tcBorders/>
            <w:shd w:fill="EEEEEE" w:val="clear"/>
            <w:vAlign w:val="center"/>
          </w:tcPr>
          <w:p>
            <w:pPr>
              <w:pStyle w:val="TableContents"/>
              <w:bidi w:val="0"/>
              <w:spacing w:before="0" w:after="283"/>
              <w:jc w:val="left"/>
              <w:rPr/>
            </w:pPr>
            <w:r>
              <w:rPr/>
              <w:t> </w:t>
            </w:r>
            <w:bookmarkStart w:id="466" w:name="xdx_408_eus-gaap--NetIncomeLoss_pp0p0_zF"/>
            <w:bookmarkEnd w:id="466"/>
          </w:p>
        </w:tc>
      </w:tr>
      <w:tr>
        <w:trPr/>
        <w:tc>
          <w:tcPr>
            <w:tcW w:w="4475" w:type="dxa"/>
            <w:tcBorders/>
            <w:shd w:fill="FFFFFF" w:val="clear"/>
            <w:vAlign w:val="center"/>
          </w:tcPr>
          <w:p>
            <w:pPr>
              <w:pStyle w:val="TableContents"/>
              <w:bidi w:val="0"/>
              <w:spacing w:before="0" w:after="283"/>
              <w:jc w:val="left"/>
              <w:rPr>
                <w:sz w:val="20"/>
              </w:rPr>
            </w:pPr>
            <w:r>
              <w:rPr>
                <w:sz w:val="20"/>
              </w:rPr>
              <w:t>Net loss after elimination of intercompany transactions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sz w:val="20"/>
              </w:rPr>
            </w:pPr>
            <w:r>
              <w:rPr>
                <w:sz w:val="20"/>
              </w:rPr>
              <w:t>$</w:t>
            </w:r>
          </w:p>
        </w:tc>
        <w:tc>
          <w:tcPr>
            <w:tcW w:w="1036" w:type="dxa"/>
            <w:tcBorders/>
            <w:shd w:fill="FFFFFF" w:val="clear"/>
            <w:vAlign w:val="center"/>
          </w:tcPr>
          <w:p>
            <w:pPr>
              <w:pStyle w:val="TableContents"/>
              <w:bidi w:val="0"/>
              <w:spacing w:before="0" w:after="283"/>
              <w:jc w:val="right"/>
              <w:rPr>
                <w:sz w:val="20"/>
              </w:rPr>
            </w:pPr>
            <w:r>
              <w:rPr>
                <w:sz w:val="20"/>
              </w:rPr>
              <w:t>1,272,705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467" w:name="xdx_8A1_zbgElfCjGou6"/>
      <w:bookmarkEnd w:id="467"/>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June 30, 2023, the VIE contributed approximately $</w:t>
      </w:r>
      <w:bookmarkStart w:id="468" w:name="xdx_900_ecustom--RevenueBeforeConsolidat"/>
      <w:bookmarkEnd w:id="468"/>
      <w:r>
        <w:rPr>
          <w:rFonts w:ascii="Times New Roman;Times;Serif" w:hAnsi="Times New Roman;Times;Serif"/>
          <w:b w:val="false"/>
          <w:i w:val="false"/>
          <w:caps w:val="false"/>
          <w:smallCaps w:val="false"/>
          <w:sz w:val="20"/>
        </w:rPr>
        <w:t>7.0 million of revenue and $</w:t>
      </w:r>
      <w:bookmarkStart w:id="469" w:name="xdx_90D_ecustom--NetIncomeLossBeforeCons"/>
      <w:bookmarkEnd w:id="469"/>
      <w:r>
        <w:rPr>
          <w:rFonts w:ascii="Times New Roman;Times;Serif" w:hAnsi="Times New Roman;Times;Serif"/>
          <w:b w:val="false"/>
          <w:i w:val="false"/>
          <w:caps w:val="false"/>
          <w:smallCaps w:val="false"/>
          <w:sz w:val="20"/>
        </w:rPr>
        <w:t>1.4 million of net loss before elimination. For the period from February 16, 2022 to June 30, 2022, the VIE contributed approximately $</w:t>
      </w:r>
      <w:bookmarkStart w:id="470" w:name="xdx_905_ecustom--RevenueBeforeConsolidat"/>
      <w:bookmarkEnd w:id="470"/>
      <w:r>
        <w:rPr>
          <w:rFonts w:ascii="Times New Roman;Times;Serif" w:hAnsi="Times New Roman;Times;Serif"/>
          <w:b w:val="false"/>
          <w:i w:val="false"/>
          <w:caps w:val="false"/>
          <w:smallCaps w:val="false"/>
          <w:sz w:val="20"/>
        </w:rPr>
        <w:t>4.8 million of revenue and $</w:t>
      </w:r>
      <w:bookmarkStart w:id="471" w:name="xdx_906_ecustom--NetIncomeLossBeforeCons"/>
      <w:bookmarkEnd w:id="471"/>
      <w:r>
        <w:rPr>
          <w:rFonts w:ascii="Times New Roman;Times;Serif" w:hAnsi="Times New Roman;Times;Serif"/>
          <w:b w:val="false"/>
          <w:i w:val="false"/>
          <w:caps w:val="false"/>
          <w:smallCaps w:val="false"/>
          <w:sz w:val="20"/>
        </w:rPr>
        <w:t>0.9 million of net income before elimination.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72" w:name="xdx_80B_eus-gaap--LoansNotesTradeAndOthe"/>
      <w:bookmarkEnd w:id="472"/>
      <w:r>
        <w:rPr>
          <w:rFonts w:ascii="Times New Roman;Times;Serif" w:hAnsi="Times New Roman;Times;Serif"/>
          <w:b/>
          <w:i w:val="false"/>
          <w:caps w:val="false"/>
          <w:smallCaps w:val="false"/>
          <w:sz w:val="20"/>
        </w:rPr>
        <w:t xml:space="preserve">Note 6 – </w:t>
      </w:r>
      <w:bookmarkStart w:id="473" w:name="xdx_82A_zlbgkyFigkT2"/>
      <w:bookmarkEnd w:id="473"/>
      <w:r>
        <w:rPr>
          <w:rFonts w:ascii="Times New Roman;Times;Serif" w:hAnsi="Times New Roman;Times;Serif"/>
          <w:b/>
          <w:i w:val="false"/>
          <w:caps w:val="false"/>
          <w:smallCaps w:val="false"/>
          <w:sz w:val="20"/>
        </w:rPr>
        <w:t>Accounts receivable, net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for the Company consisted of the following as of the dates indicated below:</w:t>
      </w:r>
    </w:p>
    <w:p>
      <w:pPr>
        <w:pStyle w:val="Normal"/>
        <w:bidi w:val="0"/>
        <w:spacing w:before="0" w:after="0"/>
        <w:jc w:val="left"/>
        <w:rPr>
          <w:sz w:val="4"/>
          <w:szCs w:val="4"/>
        </w:rPr>
      </w:pPr>
      <w:r>
        <w:rPr>
          <w:sz w:val="4"/>
          <w:szCs w:val="4"/>
        </w:rPr>
      </w:r>
      <w:bookmarkStart w:id="474" w:name="xdx_88E_eus-gaap--ScheduleOfAccountsNote"/>
      <w:bookmarkStart w:id="475" w:name="xdx_88E_eus-gaap--ScheduleOfAccountsNote"/>
      <w:bookmarkEnd w:id="475"/>
    </w:p>
    <w:tbl>
      <w:tblPr>
        <w:tblW w:w="5930" w:type="dxa"/>
        <w:jc w:val="left"/>
        <w:tblInd w:w="0" w:type="dxa"/>
        <w:tblLayout w:type="fixed"/>
        <w:tblCellMar>
          <w:top w:w="0" w:type="dxa"/>
          <w:left w:w="0" w:type="dxa"/>
          <w:bottom w:w="0" w:type="dxa"/>
          <w:right w:w="0" w:type="dxa"/>
        </w:tblCellMar>
      </w:tblPr>
      <w:tblGrid>
        <w:gridCol w:w="3125"/>
        <w:gridCol w:w="60"/>
        <w:gridCol w:w="140"/>
        <w:gridCol w:w="1100"/>
        <w:gridCol w:w="95"/>
        <w:gridCol w:w="60"/>
        <w:gridCol w:w="140"/>
        <w:gridCol w:w="1100"/>
        <w:gridCol w:w="110"/>
      </w:tblGrid>
      <w:tr>
        <w:trPr/>
        <w:tc>
          <w:tcPr>
            <w:tcW w:w="3125" w:type="dxa"/>
            <w:tcBorders/>
            <w:vAlign w:val="center"/>
          </w:tcPr>
          <w:p>
            <w:pPr>
              <w:pStyle w:val="TableContents"/>
              <w:bidi w:val="0"/>
              <w:spacing w:before="0" w:after="283"/>
              <w:jc w:val="left"/>
              <w:rPr/>
            </w:pPr>
            <w:bookmarkStart w:id="476" w:name="xdx_8BA_zh4SM5IWMS2j"/>
            <w:bookmarkEnd w:id="476"/>
            <w:r>
              <w:rPr/>
              <w:t>Schedule of accounts receivable </w:t>
            </w:r>
          </w:p>
        </w:tc>
        <w:tc>
          <w:tcPr>
            <w:tcW w:w="60" w:type="dxa"/>
            <w:tcBorders/>
            <w:vAlign w:val="center"/>
          </w:tcPr>
          <w:p>
            <w:pPr>
              <w:pStyle w:val="TableContents"/>
              <w:bidi w:val="0"/>
              <w:spacing w:before="0" w:after="283"/>
              <w:jc w:val="left"/>
              <w:rPr/>
            </w:pPr>
            <w:r>
              <w:rPr/>
              <w:t> </w:t>
            </w:r>
            <w:bookmarkStart w:id="477" w:name="xdx_49D_20230630_z4QWMFD9ra8a"/>
            <w:bookmarkEnd w:id="477"/>
          </w:p>
        </w:tc>
        <w:tc>
          <w:tcPr>
            <w:tcW w:w="124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78" w:name="xdx_49C_20220630_zyxQx2u4Srck"/>
            <w:bookmarkEnd w:id="478"/>
          </w:p>
        </w:tc>
        <w:tc>
          <w:tcPr>
            <w:tcW w:w="1240"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2022</w:t>
            </w:r>
          </w:p>
        </w:tc>
        <w:tc>
          <w:tcPr>
            <w:tcW w:w="110" w:type="dxa"/>
            <w:tcBorders/>
            <w:vAlign w:val="center"/>
          </w:tcPr>
          <w:p>
            <w:pPr>
              <w:pStyle w:val="TableContents"/>
              <w:bidi w:val="0"/>
              <w:spacing w:before="0" w:after="283"/>
              <w:jc w:val="left"/>
              <w:rPr/>
            </w:pPr>
            <w:r>
              <w:rPr/>
              <w:t> </w:t>
            </w:r>
            <w:bookmarkStart w:id="479" w:name="xdx_40A_eus-gaap--AccountsReceivableGros"/>
            <w:bookmarkEnd w:id="479"/>
          </w:p>
        </w:tc>
      </w:tr>
      <w:tr>
        <w:trPr/>
        <w:tc>
          <w:tcPr>
            <w:tcW w:w="3125" w:type="dxa"/>
            <w:tcBorders/>
            <w:shd w:fill="EEEEEE" w:val="clear"/>
            <w:vAlign w:val="center"/>
          </w:tcPr>
          <w:p>
            <w:pPr>
              <w:pStyle w:val="TableContents"/>
              <w:bidi w:val="0"/>
              <w:spacing w:before="0" w:after="283"/>
              <w:jc w:val="left"/>
              <w:rPr/>
            </w:pPr>
            <w:r>
              <w:rPr/>
              <w:t>Accounts receivable</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1100" w:type="dxa"/>
            <w:tcBorders/>
            <w:shd w:fill="EEEEEE" w:val="clear"/>
            <w:vAlign w:val="center"/>
          </w:tcPr>
          <w:p>
            <w:pPr>
              <w:pStyle w:val="TableContents"/>
              <w:bidi w:val="0"/>
              <w:spacing w:before="0" w:after="283"/>
              <w:jc w:val="right"/>
              <w:rPr/>
            </w:pPr>
            <w:r>
              <w:rPr/>
              <w:t>14,141,543</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1100" w:type="dxa"/>
            <w:tcBorders/>
            <w:shd w:fill="EEEEEE" w:val="clear"/>
            <w:vAlign w:val="center"/>
          </w:tcPr>
          <w:p>
            <w:pPr>
              <w:pStyle w:val="TableContents"/>
              <w:bidi w:val="0"/>
              <w:spacing w:before="0" w:after="283"/>
              <w:jc w:val="right"/>
              <w:rPr/>
            </w:pPr>
            <w:r>
              <w:rPr/>
              <w:t>17,502,287</w:t>
            </w:r>
          </w:p>
        </w:tc>
        <w:tc>
          <w:tcPr>
            <w:tcW w:w="110" w:type="dxa"/>
            <w:tcBorders/>
            <w:shd w:fill="EEEEEE" w:val="clear"/>
            <w:vAlign w:val="center"/>
          </w:tcPr>
          <w:p>
            <w:pPr>
              <w:pStyle w:val="TableContents"/>
              <w:bidi w:val="0"/>
              <w:spacing w:before="0" w:after="283"/>
              <w:jc w:val="left"/>
              <w:rPr/>
            </w:pPr>
            <w:r>
              <w:rPr/>
              <w:t> </w:t>
            </w:r>
            <w:bookmarkStart w:id="480" w:name="xdx_404_eus-gaap--AllowanceForDoubtfulAc"/>
            <w:bookmarkEnd w:id="480"/>
          </w:p>
        </w:tc>
      </w:tr>
      <w:tr>
        <w:trPr/>
        <w:tc>
          <w:tcPr>
            <w:tcW w:w="3125" w:type="dxa"/>
            <w:tcBorders/>
            <w:shd w:fill="FFFFFF" w:val="clear"/>
            <w:vAlign w:val="center"/>
          </w:tcPr>
          <w:p>
            <w:pPr>
              <w:pStyle w:val="TableContents"/>
              <w:bidi w:val="0"/>
              <w:spacing w:before="0" w:after="283"/>
              <w:jc w:val="left"/>
              <w:rPr/>
            </w:pPr>
            <w:r>
              <w:rPr/>
              <w:t>Less: allowance for credit losses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(70,000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(70,000</w:t>
            </w:r>
          </w:p>
        </w:tc>
        <w:tc>
          <w:tcPr>
            <w:tcW w:w="110" w:type="dxa"/>
            <w:tcBorders/>
            <w:shd w:fill="FFFFFF" w:val="clear"/>
            <w:vAlign w:val="center"/>
          </w:tcPr>
          <w:p>
            <w:pPr>
              <w:pStyle w:val="TableContents"/>
              <w:bidi w:val="0"/>
              <w:spacing w:before="0" w:after="283"/>
              <w:jc w:val="left"/>
              <w:rPr/>
            </w:pPr>
            <w:r>
              <w:rPr/>
              <w:t>)</w:t>
            </w:r>
            <w:bookmarkStart w:id="481" w:name="xdx_40F_eus-gaap--AccountsReceivableNetC"/>
            <w:bookmarkEnd w:id="481"/>
          </w:p>
        </w:tc>
      </w:tr>
      <w:tr>
        <w:trPr/>
        <w:tc>
          <w:tcPr>
            <w:tcW w:w="3125" w:type="dxa"/>
            <w:tcBorders/>
            <w:shd w:fill="EEEEEE" w:val="clear"/>
            <w:vAlign w:val="center"/>
          </w:tcPr>
          <w:p>
            <w:pPr>
              <w:pStyle w:val="TableContents"/>
              <w:bidi w:val="0"/>
              <w:spacing w:before="0" w:after="283"/>
              <w:jc w:val="left"/>
              <w:rPr/>
            </w:pPr>
            <w:r>
              <w:rPr/>
              <w:t>Total accounts receivable</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EEEEEE" w:val="clear"/>
            <w:tcMar>
              <w:bottom w:w="28" w:type="dxa"/>
            </w:tcMar>
            <w:vAlign w:val="center"/>
          </w:tcPr>
          <w:p>
            <w:pPr>
              <w:pStyle w:val="TableContents"/>
              <w:bidi w:val="0"/>
              <w:spacing w:before="0" w:after="283"/>
              <w:jc w:val="right"/>
              <w:rPr/>
            </w:pPr>
            <w:r>
              <w:rPr/>
              <w:t>14,071,543</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EEEEEE" w:val="clear"/>
            <w:tcMar>
              <w:bottom w:w="28" w:type="dxa"/>
            </w:tcMar>
            <w:vAlign w:val="center"/>
          </w:tcPr>
          <w:p>
            <w:pPr>
              <w:pStyle w:val="TableContents"/>
              <w:bidi w:val="0"/>
              <w:spacing w:before="0" w:after="283"/>
              <w:jc w:val="right"/>
              <w:rPr/>
            </w:pPr>
            <w:r>
              <w:rPr/>
              <w:t>17,432,287</w:t>
            </w:r>
          </w:p>
        </w:tc>
        <w:tc>
          <w:tcPr>
            <w:tcW w:w="110" w:type="dxa"/>
            <w:tcBorders/>
            <w:shd w:fill="EEEEEE"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changes in allowance for credit losses on accounts receivable are summarized below:</w:t>
      </w:r>
    </w:p>
    <w:p>
      <w:pPr>
        <w:pStyle w:val="Normal"/>
        <w:bidi w:val="0"/>
        <w:spacing w:before="0" w:after="0"/>
        <w:jc w:val="left"/>
        <w:rPr>
          <w:sz w:val="4"/>
          <w:szCs w:val="4"/>
        </w:rPr>
      </w:pPr>
      <w:r>
        <w:rPr>
          <w:sz w:val="4"/>
          <w:szCs w:val="4"/>
        </w:rPr>
      </w:r>
      <w:bookmarkStart w:id="482" w:name="xdx_885_eus-gaap--AllowanceForCreditLoss"/>
      <w:bookmarkStart w:id="483" w:name="xdx_885_eus-gaap--AllowanceForCreditLoss"/>
      <w:bookmarkEnd w:id="483"/>
    </w:p>
    <w:tbl>
      <w:tblPr>
        <w:tblW w:w="7089" w:type="dxa"/>
        <w:jc w:val="left"/>
        <w:tblInd w:w="0" w:type="dxa"/>
        <w:tblLayout w:type="fixed"/>
        <w:tblCellMar>
          <w:top w:w="0" w:type="dxa"/>
          <w:left w:w="0" w:type="dxa"/>
          <w:bottom w:w="0" w:type="dxa"/>
          <w:right w:w="0" w:type="dxa"/>
        </w:tblCellMar>
      </w:tblPr>
      <w:tblGrid>
        <w:gridCol w:w="4655"/>
        <w:gridCol w:w="60"/>
        <w:gridCol w:w="400"/>
        <w:gridCol w:w="1899"/>
        <w:gridCol w:w="75"/>
      </w:tblGrid>
      <w:tr>
        <w:trPr/>
        <w:tc>
          <w:tcPr>
            <w:tcW w:w="4655" w:type="dxa"/>
            <w:tcBorders/>
            <w:vAlign w:val="center"/>
          </w:tcPr>
          <w:p>
            <w:pPr>
              <w:pStyle w:val="TableContents"/>
              <w:bidi w:val="0"/>
              <w:spacing w:before="0" w:after="283"/>
              <w:jc w:val="left"/>
              <w:rPr>
                <w:b/>
                <w:sz w:val="20"/>
              </w:rPr>
            </w:pPr>
            <w:bookmarkStart w:id="484" w:name="xdx_8BC_zdPg9SEYbVdj"/>
            <w:bookmarkEnd w:id="484"/>
            <w:r>
              <w:rPr>
                <w:b/>
                <w:sz w:val="20"/>
              </w:rPr>
              <w:t>Schedule of changes in allowance for credit losses</w:t>
            </w:r>
          </w:p>
        </w:tc>
        <w:tc>
          <w:tcPr>
            <w:tcW w:w="60" w:type="dxa"/>
            <w:tcBorders/>
            <w:vAlign w:val="center"/>
          </w:tcPr>
          <w:p>
            <w:pPr>
              <w:pStyle w:val="TableContents"/>
              <w:bidi w:val="0"/>
              <w:spacing w:before="0" w:after="283"/>
              <w:jc w:val="left"/>
              <w:rPr/>
            </w:pPr>
            <w:r>
              <w:rPr/>
              <w:t> </w:t>
            </w:r>
          </w:p>
        </w:tc>
        <w:tc>
          <w:tcPr>
            <w:tcW w:w="229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99"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Allowance for Credit Losses</w:t>
            </w:r>
          </w:p>
        </w:tc>
        <w:tc>
          <w:tcPr>
            <w:tcW w:w="75" w:type="dxa"/>
            <w:tcBorders/>
            <w:vAlign w:val="center"/>
          </w:tcPr>
          <w:p>
            <w:pPr>
              <w:pStyle w:val="TableContents"/>
              <w:bidi w:val="0"/>
              <w:spacing w:before="0" w:after="283"/>
              <w:jc w:val="left"/>
              <w:rPr/>
            </w:pPr>
            <w:r>
              <w:rPr/>
              <w:t> </w:t>
            </w:r>
            <w:bookmarkStart w:id="485" w:name="xdx_43E_c20210701__20220630_eus-gaap--Al"/>
            <w:bookmarkEnd w:id="485"/>
          </w:p>
        </w:tc>
      </w:tr>
      <w:tr>
        <w:trPr/>
        <w:tc>
          <w:tcPr>
            <w:tcW w:w="4655" w:type="dxa"/>
            <w:tcBorders/>
            <w:shd w:fill="EEEEEE" w:val="clear"/>
            <w:vAlign w:val="center"/>
          </w:tcPr>
          <w:p>
            <w:pPr>
              <w:pStyle w:val="TableContents"/>
              <w:bidi w:val="0"/>
              <w:spacing w:before="0" w:after="283"/>
              <w:jc w:val="left"/>
              <w:rPr>
                <w:sz w:val="20"/>
              </w:rPr>
            </w:pPr>
            <w:r>
              <w:rPr>
                <w:sz w:val="20"/>
              </w:rPr>
              <w:t>Balance at June 30, 2021</w:t>
            </w:r>
          </w:p>
        </w:tc>
        <w:tc>
          <w:tcPr>
            <w:tcW w:w="60" w:type="dxa"/>
            <w:tcBorders/>
            <w:shd w:fill="EEEEEE" w:val="clear"/>
            <w:vAlign w:val="center"/>
          </w:tcPr>
          <w:p>
            <w:pPr>
              <w:pStyle w:val="TableContents"/>
              <w:bidi w:val="0"/>
              <w:spacing w:before="0" w:after="283"/>
              <w:jc w:val="left"/>
              <w:rPr/>
            </w:pPr>
            <w:r>
              <w:rPr/>
              <w:t> </w:t>
            </w:r>
          </w:p>
        </w:tc>
        <w:tc>
          <w:tcPr>
            <w:tcW w:w="400" w:type="dxa"/>
            <w:tcBorders/>
            <w:shd w:fill="EEEEEE" w:val="clear"/>
            <w:vAlign w:val="center"/>
          </w:tcPr>
          <w:p>
            <w:pPr>
              <w:pStyle w:val="TableContents"/>
              <w:bidi w:val="0"/>
              <w:spacing w:before="0" w:after="283"/>
              <w:jc w:val="left"/>
              <w:rPr>
                <w:sz w:val="20"/>
              </w:rPr>
            </w:pPr>
            <w:r>
              <w:rPr>
                <w:sz w:val="20"/>
              </w:rPr>
              <w:t>$</w:t>
            </w:r>
          </w:p>
        </w:tc>
        <w:tc>
          <w:tcPr>
            <w:tcW w:w="1899" w:type="dxa"/>
            <w:tcBorders/>
            <w:shd w:fill="EEEEEE" w:val="clear"/>
            <w:vAlign w:val="center"/>
          </w:tcPr>
          <w:p>
            <w:pPr>
              <w:pStyle w:val="TableContents"/>
              <w:bidi w:val="0"/>
              <w:spacing w:before="0" w:after="283"/>
              <w:jc w:val="right"/>
              <w:rPr/>
            </w:pPr>
            <w:r>
              <w:rPr/>
              <w:t>–</w:t>
            </w:r>
          </w:p>
        </w:tc>
        <w:tc>
          <w:tcPr>
            <w:tcW w:w="75" w:type="dxa"/>
            <w:tcBorders/>
            <w:shd w:fill="EEEEEE" w:val="clear"/>
            <w:vAlign w:val="center"/>
          </w:tcPr>
          <w:p>
            <w:pPr>
              <w:pStyle w:val="TableContents"/>
              <w:bidi w:val="0"/>
              <w:spacing w:before="0" w:after="283"/>
              <w:jc w:val="left"/>
              <w:rPr/>
            </w:pPr>
            <w:r>
              <w:rPr/>
              <w:t> </w:t>
            </w:r>
            <w:bookmarkStart w:id="486" w:name="xdx_408_eus-gaap--ProvisionForDoubtfulAc"/>
            <w:bookmarkEnd w:id="486"/>
          </w:p>
        </w:tc>
      </w:tr>
      <w:tr>
        <w:trPr/>
        <w:tc>
          <w:tcPr>
            <w:tcW w:w="4655" w:type="dxa"/>
            <w:tcBorders/>
            <w:shd w:fill="FFFFFF" w:val="clear"/>
            <w:vAlign w:val="center"/>
          </w:tcPr>
          <w:p>
            <w:pPr>
              <w:pStyle w:val="TableContents"/>
              <w:bidi w:val="0"/>
              <w:spacing w:before="0" w:after="283"/>
              <w:jc w:val="left"/>
              <w:rPr>
                <w:sz w:val="20"/>
              </w:rPr>
            </w:pPr>
            <w:r>
              <w:rPr>
                <w:sz w:val="20"/>
              </w:rPr>
              <w:t>Allowance recorded during the year ended June 30, 2022</w:t>
            </w:r>
          </w:p>
        </w:tc>
        <w:tc>
          <w:tcPr>
            <w:tcW w:w="60" w:type="dxa"/>
            <w:tcBorders/>
            <w:shd w:fill="FFFFFF" w:val="clear"/>
            <w:vAlign w:val="center"/>
          </w:tcPr>
          <w:p>
            <w:pPr>
              <w:pStyle w:val="TableContents"/>
              <w:bidi w:val="0"/>
              <w:spacing w:before="0" w:after="283"/>
              <w:jc w:val="left"/>
              <w:rPr/>
            </w:pPr>
            <w:r>
              <w:rPr/>
              <w:t> </w:t>
            </w:r>
          </w:p>
        </w:tc>
        <w:tc>
          <w:tcPr>
            <w:tcW w:w="40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899"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70,000</w:t>
            </w:r>
          </w:p>
        </w:tc>
        <w:tc>
          <w:tcPr>
            <w:tcW w:w="75" w:type="dxa"/>
            <w:tcBorders/>
            <w:shd w:fill="FFFFFF" w:val="clear"/>
            <w:vAlign w:val="center"/>
          </w:tcPr>
          <w:p>
            <w:pPr>
              <w:pStyle w:val="TableContents"/>
              <w:bidi w:val="0"/>
              <w:spacing w:before="0" w:after="283"/>
              <w:jc w:val="left"/>
              <w:rPr/>
            </w:pPr>
            <w:r>
              <w:rPr/>
              <w:t> </w:t>
            </w:r>
            <w:bookmarkStart w:id="487" w:name="xdx_434_c20220701__20230630_eus-gaap--Al"/>
            <w:bookmarkEnd w:id="487"/>
          </w:p>
        </w:tc>
      </w:tr>
      <w:tr>
        <w:trPr/>
        <w:tc>
          <w:tcPr>
            <w:tcW w:w="4655" w:type="dxa"/>
            <w:tcBorders/>
            <w:shd w:fill="EEEEEE" w:val="clear"/>
            <w:vAlign w:val="center"/>
          </w:tcPr>
          <w:p>
            <w:pPr>
              <w:pStyle w:val="TableContents"/>
              <w:bidi w:val="0"/>
              <w:spacing w:before="0" w:after="283"/>
              <w:jc w:val="left"/>
              <w:rPr>
                <w:sz w:val="20"/>
              </w:rPr>
            </w:pPr>
            <w:r>
              <w:rPr>
                <w:sz w:val="20"/>
              </w:rPr>
              <w:t>Balance at June 30, 2022</w:t>
            </w:r>
          </w:p>
        </w:tc>
        <w:tc>
          <w:tcPr>
            <w:tcW w:w="60" w:type="dxa"/>
            <w:tcBorders/>
            <w:shd w:fill="EEEEEE" w:val="clear"/>
            <w:vAlign w:val="center"/>
          </w:tcPr>
          <w:p>
            <w:pPr>
              <w:pStyle w:val="TableContents"/>
              <w:bidi w:val="0"/>
              <w:spacing w:before="0" w:after="283"/>
              <w:jc w:val="left"/>
              <w:rPr/>
            </w:pPr>
            <w:r>
              <w:rPr/>
              <w:t> </w:t>
            </w:r>
          </w:p>
        </w:tc>
        <w:tc>
          <w:tcPr>
            <w:tcW w:w="400" w:type="dxa"/>
            <w:tcBorders/>
            <w:shd w:fill="EEEEEE" w:val="clear"/>
            <w:vAlign w:val="center"/>
          </w:tcPr>
          <w:p>
            <w:pPr>
              <w:pStyle w:val="TableContents"/>
              <w:bidi w:val="0"/>
              <w:spacing w:before="0" w:after="283"/>
              <w:jc w:val="left"/>
              <w:rPr/>
            </w:pPr>
            <w:r>
              <w:rPr/>
              <w:t> </w:t>
            </w:r>
          </w:p>
        </w:tc>
        <w:tc>
          <w:tcPr>
            <w:tcW w:w="1899" w:type="dxa"/>
            <w:tcBorders/>
            <w:shd w:fill="EEEEEE" w:val="clear"/>
            <w:vAlign w:val="center"/>
          </w:tcPr>
          <w:p>
            <w:pPr>
              <w:pStyle w:val="TableContents"/>
              <w:bidi w:val="0"/>
              <w:spacing w:before="0" w:after="283"/>
              <w:jc w:val="right"/>
              <w:rPr>
                <w:sz w:val="20"/>
              </w:rPr>
            </w:pPr>
            <w:r>
              <w:rPr>
                <w:sz w:val="20"/>
              </w:rPr>
              <w:t>70,000</w:t>
            </w:r>
          </w:p>
        </w:tc>
        <w:tc>
          <w:tcPr>
            <w:tcW w:w="75" w:type="dxa"/>
            <w:tcBorders/>
            <w:shd w:fill="EEEEEE" w:val="clear"/>
            <w:vAlign w:val="center"/>
          </w:tcPr>
          <w:p>
            <w:pPr>
              <w:pStyle w:val="TableContents"/>
              <w:bidi w:val="0"/>
              <w:spacing w:before="0" w:after="283"/>
              <w:jc w:val="left"/>
              <w:rPr/>
            </w:pPr>
            <w:r>
              <w:rPr/>
              <w:t> </w:t>
            </w:r>
            <w:bookmarkStart w:id="488" w:name="xdx_406_eus-gaap--ProvisionForDoubtfulAc"/>
            <w:bookmarkEnd w:id="488"/>
          </w:p>
        </w:tc>
      </w:tr>
      <w:tr>
        <w:trPr/>
        <w:tc>
          <w:tcPr>
            <w:tcW w:w="4655" w:type="dxa"/>
            <w:tcBorders/>
            <w:shd w:fill="FFFFFF" w:val="clear"/>
            <w:vAlign w:val="center"/>
          </w:tcPr>
          <w:p>
            <w:pPr>
              <w:pStyle w:val="TableContents"/>
              <w:bidi w:val="0"/>
              <w:spacing w:before="0" w:after="283"/>
              <w:jc w:val="left"/>
              <w:rPr>
                <w:sz w:val="20"/>
              </w:rPr>
            </w:pPr>
            <w:r>
              <w:rPr>
                <w:sz w:val="20"/>
              </w:rPr>
              <w:t>Allowance recorded during the year ended June 30, 2023</w:t>
            </w:r>
          </w:p>
        </w:tc>
        <w:tc>
          <w:tcPr>
            <w:tcW w:w="60" w:type="dxa"/>
            <w:tcBorders/>
            <w:shd w:fill="FFFFFF" w:val="clear"/>
            <w:vAlign w:val="center"/>
          </w:tcPr>
          <w:p>
            <w:pPr>
              <w:pStyle w:val="TableContents"/>
              <w:bidi w:val="0"/>
              <w:spacing w:before="0" w:after="283"/>
              <w:jc w:val="left"/>
              <w:rPr/>
            </w:pPr>
            <w:r>
              <w:rPr/>
              <w:t> </w:t>
            </w:r>
          </w:p>
        </w:tc>
        <w:tc>
          <w:tcPr>
            <w:tcW w:w="40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89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489" w:name="xdx_43C_c20220701__20230630_eus-gaap--Al"/>
            <w:bookmarkEnd w:id="489"/>
          </w:p>
        </w:tc>
      </w:tr>
      <w:tr>
        <w:trPr/>
        <w:tc>
          <w:tcPr>
            <w:tcW w:w="4655" w:type="dxa"/>
            <w:tcBorders/>
            <w:shd w:fill="EEEEEE" w:val="clear"/>
            <w:vAlign w:val="center"/>
          </w:tcPr>
          <w:p>
            <w:pPr>
              <w:pStyle w:val="TableContents"/>
              <w:bidi w:val="0"/>
              <w:spacing w:before="0" w:after="283"/>
              <w:jc w:val="left"/>
              <w:rPr>
                <w:sz w:val="20"/>
              </w:rPr>
            </w:pPr>
            <w:r>
              <w:rPr>
                <w:sz w:val="20"/>
              </w:rPr>
              <w:t>Balance at June 30, 2023</w:t>
            </w:r>
          </w:p>
        </w:tc>
        <w:tc>
          <w:tcPr>
            <w:tcW w:w="60" w:type="dxa"/>
            <w:tcBorders/>
            <w:shd w:fill="EEEEEE" w:val="clear"/>
            <w:vAlign w:val="center"/>
          </w:tcPr>
          <w:p>
            <w:pPr>
              <w:pStyle w:val="TableContents"/>
              <w:bidi w:val="0"/>
              <w:spacing w:before="0" w:after="283"/>
              <w:jc w:val="left"/>
              <w:rPr/>
            </w:pPr>
            <w:r>
              <w:rPr/>
              <w:t> </w:t>
            </w:r>
          </w:p>
        </w:tc>
        <w:tc>
          <w:tcPr>
            <w:tcW w:w="400" w:type="dxa"/>
            <w:tcBorders>
              <w:bottom w:val="double" w:sz="6" w:space="0" w:color="000000"/>
            </w:tcBorders>
            <w:shd w:fill="EEEEEE" w:val="clear"/>
            <w:tcMar>
              <w:bottom w:w="28" w:type="dxa"/>
            </w:tcMar>
            <w:vAlign w:val="center"/>
          </w:tcPr>
          <w:p>
            <w:pPr>
              <w:pStyle w:val="TableContents"/>
              <w:bidi w:val="0"/>
              <w:spacing w:before="0" w:after="283"/>
              <w:jc w:val="left"/>
              <w:rPr>
                <w:sz w:val="20"/>
              </w:rPr>
            </w:pPr>
            <w:r>
              <w:rPr>
                <w:sz w:val="20"/>
              </w:rPr>
              <w:t>$</w:t>
            </w:r>
          </w:p>
        </w:tc>
        <w:tc>
          <w:tcPr>
            <w:tcW w:w="1899" w:type="dxa"/>
            <w:tcBorders>
              <w:bottom w:val="double" w:sz="6" w:space="0" w:color="000000"/>
            </w:tcBorders>
            <w:shd w:fill="EEEEEE" w:val="clear"/>
            <w:tcMar>
              <w:bottom w:w="28" w:type="dxa"/>
            </w:tcMar>
            <w:vAlign w:val="center"/>
          </w:tcPr>
          <w:p>
            <w:pPr>
              <w:pStyle w:val="TableContents"/>
              <w:bidi w:val="0"/>
              <w:spacing w:before="0" w:after="283"/>
              <w:jc w:val="right"/>
              <w:rPr>
                <w:sz w:val="20"/>
              </w:rPr>
            </w:pPr>
            <w:r>
              <w:rPr>
                <w:sz w:val="20"/>
              </w:rPr>
              <w:t>70,000</w:t>
            </w:r>
          </w:p>
        </w:tc>
        <w:tc>
          <w:tcPr>
            <w:tcW w:w="75" w:type="dxa"/>
            <w:tcBorders/>
            <w:shd w:fill="EEEEEE"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90" w:name="xdx_805_eus-gaap--InventoryDisclosureTex"/>
      <w:bookmarkEnd w:id="490"/>
      <w:r>
        <w:rPr>
          <w:rFonts w:ascii="Times New Roman;Times;Serif" w:hAnsi="Times New Roman;Times;Serif"/>
          <w:b/>
          <w:i w:val="false"/>
          <w:caps w:val="false"/>
          <w:smallCaps w:val="false"/>
          <w:sz w:val="20"/>
        </w:rPr>
        <w:t xml:space="preserve">Note 7 – </w:t>
      </w:r>
      <w:bookmarkStart w:id="491" w:name="xdx_824_zKzQKSnqI4e8"/>
      <w:bookmarkEnd w:id="491"/>
      <w:r>
        <w:rPr>
          <w:rFonts w:ascii="Times New Roman;Times;Serif" w:hAnsi="Times New Roman;Times;Serif"/>
          <w:b/>
          <w:i w:val="false"/>
          <w:caps w:val="false"/>
          <w:smallCaps w:val="false"/>
          <w:sz w:val="20"/>
        </w:rPr>
        <w:t>Inventories,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2023 and 2022, inventories consisted of finished goods ready for sale, net of allowance for obsolescence, amounted to $</w:t>
      </w:r>
      <w:bookmarkStart w:id="492" w:name="xdx_901_eus-gaap--InventoryNet_iI_c20230"/>
      <w:bookmarkEnd w:id="492"/>
      <w:r>
        <w:rPr>
          <w:rFonts w:ascii="Times New Roman;Times;Serif" w:hAnsi="Times New Roman;Times;Serif"/>
          <w:b w:val="false"/>
          <w:i w:val="false"/>
          <w:caps w:val="false"/>
          <w:smallCaps w:val="false"/>
          <w:sz w:val="20"/>
        </w:rPr>
        <w:t>20,593,889 and $</w:t>
      </w:r>
      <w:bookmarkStart w:id="493" w:name="xdx_901_eus-gaap--InventoryNet_iI_c20220"/>
      <w:bookmarkEnd w:id="493"/>
      <w:r>
        <w:rPr>
          <w:rFonts w:ascii="Times New Roman;Times;Serif" w:hAnsi="Times New Roman;Times;Serif"/>
          <w:b w:val="false"/>
          <w:i w:val="false"/>
          <w:caps w:val="false"/>
          <w:smallCaps w:val="false"/>
          <w:sz w:val="20"/>
        </w:rPr>
        <w:t>30,433,766,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June 30, 2023 and 2022, the Company recorded inventory reserve expense of $</w:t>
      </w:r>
      <w:bookmarkStart w:id="494" w:name="xdx_901_eus-gaap--InventoryLIFOReserve_i"/>
      <w:bookmarkEnd w:id="494"/>
      <w:r>
        <w:rPr>
          <w:rFonts w:ascii="Times New Roman;Times;Serif" w:hAnsi="Times New Roman;Times;Serif"/>
          <w:b w:val="false"/>
          <w:i w:val="false"/>
          <w:caps w:val="false"/>
          <w:smallCaps w:val="false"/>
          <w:sz w:val="20"/>
        </w:rPr>
        <w:t>238,899 and $</w:t>
      </w:r>
      <w:bookmarkStart w:id="495" w:name="xdx_900_eus-gaap--InventoryLIFOReserve_i"/>
      <w:bookmarkEnd w:id="495"/>
      <w:r>
        <w:rPr>
          <w:rFonts w:ascii="Times New Roman;Times;Serif" w:hAnsi="Times New Roman;Times;Serif"/>
          <w:b w:val="false"/>
          <w:i w:val="false"/>
          <w:caps w:val="false"/>
          <w:smallCaps w:val="false"/>
          <w:sz w:val="20"/>
        </w:rPr>
        <w:t>224,426, respectively. As of June 30, 2023 and 2022, allowance for obsolescence was $</w:t>
      </w:r>
      <w:bookmarkStart w:id="496" w:name="xdx_907_ecustom--InventoryAllowanceForOb"/>
      <w:bookmarkEnd w:id="496"/>
      <w:r>
        <w:rPr>
          <w:rFonts w:ascii="Times New Roman;Times;Serif" w:hAnsi="Times New Roman;Times;Serif"/>
          <w:b w:val="false"/>
          <w:i w:val="false"/>
          <w:caps w:val="false"/>
          <w:smallCaps w:val="false"/>
          <w:sz w:val="20"/>
        </w:rPr>
        <w:t>558,899 and $</w:t>
      </w:r>
      <w:bookmarkStart w:id="497" w:name="xdx_90E_ecustom--InventoryAllowanceForOb"/>
      <w:bookmarkEnd w:id="497"/>
      <w:r>
        <w:rPr>
          <w:rFonts w:ascii="Times New Roman;Times;Serif" w:hAnsi="Times New Roman;Times;Serif"/>
          <w:b w:val="false"/>
          <w:i w:val="false"/>
          <w:caps w:val="false"/>
          <w:smallCaps w:val="false"/>
          <w:sz w:val="20"/>
        </w:rPr>
        <w:t>320,000,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98" w:name="xdx_808_ecustom--DeferredCostsPrepaidAnd"/>
      <w:bookmarkEnd w:id="498"/>
      <w:r>
        <w:rPr>
          <w:rFonts w:ascii="Times New Roman;Times;Serif" w:hAnsi="Times New Roman;Times;Serif"/>
          <w:b/>
          <w:i w:val="false"/>
          <w:caps w:val="false"/>
          <w:smallCaps w:val="false"/>
          <w:sz w:val="20"/>
        </w:rPr>
        <w:t xml:space="preserve">Note 8 – </w:t>
      </w:r>
      <w:bookmarkStart w:id="499" w:name="xdx_824_zPRypgg3cJx1"/>
      <w:bookmarkEnd w:id="499"/>
      <w:r>
        <w:rPr>
          <w:rFonts w:ascii="Times New Roman;Times;Serif" w:hAnsi="Times New Roman;Times;Serif"/>
          <w:b/>
          <w:i w:val="false"/>
          <w:caps w:val="false"/>
          <w:smallCaps w:val="false"/>
          <w:sz w:val="20"/>
        </w:rPr>
        <w:t xml:space="preserve">Prepayments and other current assets, net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2023 and 2022, prepayments and other current assets consisted of the following:</w:t>
      </w:r>
    </w:p>
    <w:p>
      <w:pPr>
        <w:pStyle w:val="Normal"/>
        <w:bidi w:val="0"/>
        <w:spacing w:before="0" w:after="0"/>
        <w:jc w:val="left"/>
        <w:rPr>
          <w:sz w:val="4"/>
          <w:szCs w:val="4"/>
        </w:rPr>
      </w:pPr>
      <w:r>
        <w:rPr>
          <w:sz w:val="4"/>
          <w:szCs w:val="4"/>
        </w:rPr>
      </w:r>
      <w:bookmarkStart w:id="500" w:name="xdx_885_eus-gaap--DeferredCostsCapitaliz"/>
      <w:bookmarkStart w:id="501" w:name="xdx_885_eus-gaap--DeferredCostsCapitaliz"/>
      <w:bookmarkEnd w:id="501"/>
    </w:p>
    <w:tbl>
      <w:tblPr>
        <w:tblW w:w="7413" w:type="dxa"/>
        <w:jc w:val="left"/>
        <w:tblInd w:w="0" w:type="dxa"/>
        <w:tblLayout w:type="fixed"/>
        <w:tblCellMar>
          <w:top w:w="0" w:type="dxa"/>
          <w:left w:w="0" w:type="dxa"/>
          <w:bottom w:w="0" w:type="dxa"/>
          <w:right w:w="0" w:type="dxa"/>
        </w:tblCellMar>
      </w:tblPr>
      <w:tblGrid>
        <w:gridCol w:w="4685"/>
        <w:gridCol w:w="60"/>
        <w:gridCol w:w="134"/>
        <w:gridCol w:w="1055"/>
        <w:gridCol w:w="155"/>
        <w:gridCol w:w="60"/>
        <w:gridCol w:w="134"/>
        <w:gridCol w:w="1055"/>
        <w:gridCol w:w="75"/>
      </w:tblGrid>
      <w:tr>
        <w:trPr/>
        <w:tc>
          <w:tcPr>
            <w:tcW w:w="4685" w:type="dxa"/>
            <w:tcBorders/>
            <w:vAlign w:val="center"/>
          </w:tcPr>
          <w:p>
            <w:pPr>
              <w:pStyle w:val="TableContents"/>
              <w:bidi w:val="0"/>
              <w:spacing w:before="0" w:after="283"/>
              <w:jc w:val="left"/>
              <w:rPr/>
            </w:pPr>
            <w:bookmarkStart w:id="502" w:name="xdx_8B5_zTNyHPcnRNkb"/>
            <w:bookmarkEnd w:id="502"/>
            <w:r>
              <w:rPr/>
              <w:t>Schedule of prepayments and other current assets</w:t>
            </w:r>
          </w:p>
        </w:tc>
        <w:tc>
          <w:tcPr>
            <w:tcW w:w="60" w:type="dxa"/>
            <w:tcBorders/>
            <w:vAlign w:val="center"/>
          </w:tcPr>
          <w:p>
            <w:pPr>
              <w:pStyle w:val="TableContents"/>
              <w:bidi w:val="0"/>
              <w:spacing w:before="0" w:after="283"/>
              <w:jc w:val="left"/>
              <w:rPr/>
            </w:pPr>
            <w:r>
              <w:rPr/>
              <w:t> </w:t>
            </w:r>
          </w:p>
        </w:tc>
        <w:tc>
          <w:tcPr>
            <w:tcW w:w="1189" w:type="dxa"/>
            <w:gridSpan w:val="2"/>
            <w:tcBorders/>
            <w:vAlign w:val="center"/>
          </w:tcPr>
          <w:p>
            <w:pPr>
              <w:pStyle w:val="TableContents"/>
              <w:bidi w:val="0"/>
              <w:spacing w:before="0" w:after="283"/>
              <w:jc w:val="center"/>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9"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4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2022</w:t>
            </w:r>
          </w:p>
        </w:tc>
        <w:tc>
          <w:tcPr>
            <w:tcW w:w="75" w:type="dxa"/>
            <w:tcBorders/>
            <w:vAlign w:val="center"/>
          </w:tcPr>
          <w:p>
            <w:pPr>
              <w:pStyle w:val="TableContents"/>
              <w:bidi w:val="0"/>
              <w:spacing w:before="0" w:after="283"/>
              <w:jc w:val="left"/>
              <w:rPr/>
            </w:pPr>
            <w:r>
              <w:rPr/>
              <w:t> </w:t>
            </w:r>
          </w:p>
        </w:tc>
      </w:tr>
      <w:tr>
        <w:trPr/>
        <w:tc>
          <w:tcPr>
            <w:tcW w:w="4685" w:type="dxa"/>
            <w:tcBorders/>
            <w:shd w:fill="EEEEEE"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Advance to suppliers</w:t>
            </w:r>
          </w:p>
        </w:tc>
        <w:tc>
          <w:tcPr>
            <w:tcW w:w="60" w:type="dxa"/>
            <w:tcBorders/>
            <w:shd w:fill="EEEEEE" w:val="clear"/>
            <w:vAlign w:val="center"/>
          </w:tcPr>
          <w:p>
            <w:pPr>
              <w:pStyle w:val="TableContents"/>
              <w:bidi w:val="0"/>
              <w:spacing w:before="0" w:after="283"/>
              <w:jc w:val="left"/>
              <w:rPr/>
            </w:pPr>
            <w:r>
              <w:rPr/>
              <w:t> </w:t>
            </w:r>
          </w:p>
        </w:tc>
        <w:tc>
          <w:tcPr>
            <w:tcW w:w="134" w:type="dxa"/>
            <w:tcBorders/>
            <w:shd w:fill="EEEEEE"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03" w:name="xdx_981_eus-gaap--PrepaidExpenseAndOther"/>
            <w:bookmarkEnd w:id="503"/>
          </w:p>
        </w:tc>
        <w:tc>
          <w:tcPr>
            <w:tcW w:w="1055" w:type="dxa"/>
            <w:tcBorders/>
            <w:shd w:fill="EEEEEE"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1,668,173</w:t>
            </w:r>
          </w:p>
        </w:tc>
        <w:tc>
          <w:tcPr>
            <w:tcW w:w="15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34" w:type="dxa"/>
            <w:tcBorders/>
            <w:shd w:fill="EEEEEE"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04" w:name="xdx_98A_eus-gaap--PrepaidExpenseAndOther"/>
            <w:bookmarkEnd w:id="504"/>
          </w:p>
        </w:tc>
        <w:tc>
          <w:tcPr>
            <w:tcW w:w="1055" w:type="dxa"/>
            <w:tcBorders/>
            <w:shd w:fill="EEEEEE"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3,938,881</w:t>
            </w:r>
          </w:p>
        </w:tc>
        <w:tc>
          <w:tcPr>
            <w:tcW w:w="75" w:type="dxa"/>
            <w:tcBorders/>
            <w:shd w:fill="EEEEEE" w:val="clear"/>
            <w:vAlign w:val="center"/>
          </w:tcPr>
          <w:p>
            <w:pPr>
              <w:pStyle w:val="TableContents"/>
              <w:bidi w:val="0"/>
              <w:spacing w:before="0" w:after="283"/>
              <w:jc w:val="left"/>
              <w:rPr/>
            </w:pPr>
            <w:r>
              <w:rPr/>
              <w:t> </w:t>
            </w:r>
          </w:p>
        </w:tc>
      </w:tr>
      <w:tr>
        <w:trPr/>
        <w:tc>
          <w:tcPr>
            <w:tcW w:w="46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Prepaid income taxes</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bookmarkStart w:id="505" w:name="xdx_98B_eus-gaap--PrepaidExpenseAndOther"/>
            <w:bookmarkEnd w:id="505"/>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45,718</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bookmarkStart w:id="506" w:name="xdx_984_eus-gaap--PrepaidExpenseAndOther"/>
            <w:bookmarkEnd w:id="506"/>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375,087</w:t>
            </w:r>
          </w:p>
        </w:tc>
        <w:tc>
          <w:tcPr>
            <w:tcW w:w="75" w:type="dxa"/>
            <w:tcBorders/>
            <w:shd w:fill="FFFFFF" w:val="clear"/>
            <w:vAlign w:val="center"/>
          </w:tcPr>
          <w:p>
            <w:pPr>
              <w:pStyle w:val="TableContents"/>
              <w:bidi w:val="0"/>
              <w:spacing w:before="0" w:after="283"/>
              <w:jc w:val="left"/>
              <w:rPr/>
            </w:pPr>
            <w:r>
              <w:rPr/>
              <w:t> </w:t>
            </w:r>
          </w:p>
        </w:tc>
      </w:tr>
      <w:tr>
        <w:trPr/>
        <w:tc>
          <w:tcPr>
            <w:tcW w:w="4685" w:type="dxa"/>
            <w:tcBorders/>
            <w:shd w:fill="EEEEEE" w:val="clear"/>
            <w:vAlign w:val="center"/>
          </w:tcPr>
          <w:p>
            <w:pPr>
              <w:pStyle w:val="TableContents"/>
              <w:bidi w:val="0"/>
              <w:spacing w:before="0" w:after="283"/>
              <w:jc w:val="left"/>
              <w:rPr/>
            </w:pPr>
            <w:r>
              <w:rPr/>
              <w:t>Prepaid expenses and other receivables</w:t>
            </w:r>
          </w:p>
        </w:tc>
        <w:tc>
          <w:tcPr>
            <w:tcW w:w="60" w:type="dxa"/>
            <w:tcBorders/>
            <w:shd w:fill="EEEEEE" w:val="clear"/>
            <w:vAlign w:val="center"/>
          </w:tcPr>
          <w:p>
            <w:pPr>
              <w:pStyle w:val="TableContents"/>
              <w:bidi w:val="0"/>
              <w:spacing w:before="0" w:after="283"/>
              <w:jc w:val="left"/>
              <w:rPr/>
            </w:pPr>
            <w:r>
              <w:rPr/>
              <w:t> </w:t>
            </w:r>
          </w:p>
        </w:tc>
        <w:tc>
          <w:tcPr>
            <w:tcW w:w="134" w:type="dxa"/>
            <w:tcBorders/>
            <w:shd w:fill="EEEEEE" w:val="clear"/>
            <w:vAlign w:val="center"/>
          </w:tcPr>
          <w:p>
            <w:pPr>
              <w:pStyle w:val="TableContents"/>
              <w:bidi w:val="0"/>
              <w:spacing w:before="0" w:after="283"/>
              <w:jc w:val="left"/>
              <w:rPr/>
            </w:pPr>
            <w:r>
              <w:rPr/>
              <w:t> </w:t>
            </w:r>
            <w:bookmarkStart w:id="507" w:name="xdx_983_eus-gaap--PrepaidExpenseAndOther"/>
            <w:bookmarkEnd w:id="507"/>
          </w:p>
        </w:tc>
        <w:tc>
          <w:tcPr>
            <w:tcW w:w="1055" w:type="dxa"/>
            <w:tcBorders/>
            <w:shd w:fill="EEEEEE" w:val="clear"/>
            <w:vAlign w:val="center"/>
          </w:tcPr>
          <w:p>
            <w:pPr>
              <w:pStyle w:val="TableContents"/>
              <w:bidi w:val="0"/>
              <w:spacing w:before="0" w:after="283"/>
              <w:jc w:val="right"/>
              <w:rPr/>
            </w:pPr>
            <w:r>
              <w:rPr/>
              <w:t>1,393,433</w:t>
            </w:r>
          </w:p>
        </w:tc>
        <w:tc>
          <w:tcPr>
            <w:tcW w:w="15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34" w:type="dxa"/>
            <w:tcBorders/>
            <w:shd w:fill="EEEEEE" w:val="clear"/>
            <w:vAlign w:val="center"/>
          </w:tcPr>
          <w:p>
            <w:pPr>
              <w:pStyle w:val="TableContents"/>
              <w:bidi w:val="0"/>
              <w:spacing w:before="0" w:after="283"/>
              <w:jc w:val="left"/>
              <w:rPr/>
            </w:pPr>
            <w:r>
              <w:rPr/>
              <w:t> </w:t>
            </w:r>
            <w:bookmarkStart w:id="508" w:name="xdx_988_eus-gaap--PrepaidExpenseAndOther"/>
            <w:bookmarkEnd w:id="508"/>
          </w:p>
        </w:tc>
        <w:tc>
          <w:tcPr>
            <w:tcW w:w="1055" w:type="dxa"/>
            <w:tcBorders/>
            <w:shd w:fill="EEEEEE" w:val="clear"/>
            <w:vAlign w:val="center"/>
          </w:tcPr>
          <w:p>
            <w:pPr>
              <w:pStyle w:val="TableContents"/>
              <w:bidi w:val="0"/>
              <w:spacing w:before="0" w:after="283"/>
              <w:jc w:val="right"/>
              <w:rPr/>
            </w:pPr>
            <w:r>
              <w:rPr/>
              <w:t>1,130,495</w:t>
            </w:r>
          </w:p>
        </w:tc>
        <w:tc>
          <w:tcPr>
            <w:tcW w:w="75" w:type="dxa"/>
            <w:tcBorders/>
            <w:shd w:fill="EEEEEE" w:val="clear"/>
            <w:vAlign w:val="center"/>
          </w:tcPr>
          <w:p>
            <w:pPr>
              <w:pStyle w:val="TableContents"/>
              <w:bidi w:val="0"/>
              <w:spacing w:before="0" w:after="283"/>
              <w:jc w:val="left"/>
              <w:rPr/>
            </w:pPr>
            <w:r>
              <w:rPr/>
              <w:t> </w:t>
            </w:r>
          </w:p>
        </w:tc>
      </w:tr>
      <w:tr>
        <w:trPr/>
        <w:tc>
          <w:tcPr>
            <w:tcW w:w="46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Less: Allowance for credit losses</w:t>
            </w:r>
          </w:p>
        </w:tc>
        <w:tc>
          <w:tcPr>
            <w:tcW w:w="60" w:type="dxa"/>
            <w:tcBorders/>
            <w:shd w:fill="FFFFFF" w:val="clear"/>
            <w:vAlign w:val="center"/>
          </w:tcPr>
          <w:p>
            <w:pPr>
              <w:pStyle w:val="TableContents"/>
              <w:bidi w:val="0"/>
              <w:spacing w:before="0" w:after="283"/>
              <w:jc w:val="left"/>
              <w:rPr/>
            </w:pPr>
            <w:r>
              <w:rPr/>
              <w:t> </w:t>
            </w:r>
          </w:p>
        </w:tc>
        <w:tc>
          <w:tcPr>
            <w:tcW w:w="13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09" w:name="xdx_988_eus-gaap--AccountsAndFinancingRe"/>
            <w:bookmarkEnd w:id="509"/>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(249,128</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10" w:name="xdx_98D_eus-gaap--AccountsAndFinancingRe"/>
            <w:bookmarkEnd w:id="510"/>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68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34" w:type="dxa"/>
            <w:tcBorders/>
            <w:shd w:fill="EEEEEE" w:val="clear"/>
            <w:vAlign w:val="center"/>
          </w:tcPr>
          <w:p>
            <w:pPr>
              <w:pStyle w:val="TableContents"/>
              <w:bidi w:val="0"/>
              <w:spacing w:before="0" w:after="283"/>
              <w:jc w:val="left"/>
              <w:rPr/>
            </w:pPr>
            <w:r>
              <w:rPr/>
              <w:t> </w:t>
            </w:r>
          </w:p>
        </w:tc>
        <w:tc>
          <w:tcPr>
            <w:tcW w:w="1055" w:type="dxa"/>
            <w:tcBorders/>
            <w:shd w:fill="EEEEEE" w:val="clear"/>
            <w:vAlign w:val="center"/>
          </w:tcPr>
          <w:p>
            <w:pPr>
              <w:pStyle w:val="TableContents"/>
              <w:bidi w:val="0"/>
              <w:spacing w:before="0" w:after="283"/>
              <w:jc w:val="right"/>
              <w:rPr/>
            </w:pPr>
            <w:r>
              <w:rPr/>
              <w:t> </w:t>
            </w:r>
          </w:p>
        </w:tc>
        <w:tc>
          <w:tcPr>
            <w:tcW w:w="15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34" w:type="dxa"/>
            <w:tcBorders/>
            <w:shd w:fill="EEEEEE" w:val="clear"/>
            <w:vAlign w:val="center"/>
          </w:tcPr>
          <w:p>
            <w:pPr>
              <w:pStyle w:val="TableContents"/>
              <w:bidi w:val="0"/>
              <w:spacing w:before="0" w:after="283"/>
              <w:jc w:val="left"/>
              <w:rPr/>
            </w:pPr>
            <w:r>
              <w:rPr/>
              <w:t> </w:t>
            </w:r>
          </w:p>
        </w:tc>
        <w:tc>
          <w:tcPr>
            <w:tcW w:w="1055" w:type="dxa"/>
            <w:tcBorders/>
            <w:shd w:fill="EEEEEE" w:val="clear"/>
            <w:vAlign w:val="center"/>
          </w:tcPr>
          <w:p>
            <w:pPr>
              <w:pStyle w:val="TableContents"/>
              <w:bidi w:val="0"/>
              <w:spacing w:before="0" w:after="283"/>
              <w:jc w:val="right"/>
              <w:rPr/>
            </w:pPr>
            <w:r>
              <w:rPr/>
              <w:t> </w:t>
            </w:r>
          </w:p>
        </w:tc>
        <w:tc>
          <w:tcPr>
            <w:tcW w:w="75" w:type="dxa"/>
            <w:tcBorders/>
            <w:shd w:fill="EEEEEE" w:val="clear"/>
            <w:vAlign w:val="center"/>
          </w:tcPr>
          <w:p>
            <w:pPr>
              <w:pStyle w:val="TableContents"/>
              <w:bidi w:val="0"/>
              <w:spacing w:before="0" w:after="283"/>
              <w:jc w:val="left"/>
              <w:rPr/>
            </w:pPr>
            <w:r>
              <w:rPr/>
              <w:t> </w:t>
            </w:r>
          </w:p>
        </w:tc>
      </w:tr>
      <w:tr>
        <w:trPr/>
        <w:tc>
          <w:tcPr>
            <w:tcW w:w="46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w:t>
            </w:r>
          </w:p>
        </w:tc>
        <w:tc>
          <w:tcPr>
            <w:tcW w:w="60" w:type="dxa"/>
            <w:tcBorders/>
            <w:shd w:fill="FFFFFF" w:val="clear"/>
            <w:vAlign w:val="center"/>
          </w:tcPr>
          <w:p>
            <w:pPr>
              <w:pStyle w:val="TableContents"/>
              <w:bidi w:val="0"/>
              <w:spacing w:before="0" w:after="283"/>
              <w:jc w:val="left"/>
              <w:rPr/>
            </w:pPr>
            <w:r>
              <w:rPr/>
              <w:t> </w:t>
            </w:r>
          </w:p>
        </w:tc>
        <w:tc>
          <w:tcPr>
            <w:tcW w:w="13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11" w:name="xdx_98A_eus-gaap--PrepaidExpenseAndOther"/>
            <w:bookmarkEnd w:id="511"/>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2,858,196</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12" w:name="xdx_985_eus-gaap--PrepaidExpenseAndOther"/>
            <w:bookmarkEnd w:id="512"/>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5,444,463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receivables consisted of delivery fees of $</w:t>
      </w:r>
      <w:bookmarkStart w:id="513" w:name="xdx_90E_ecustom--DeliveryFeesReceivable_"/>
      <w:bookmarkEnd w:id="513"/>
      <w:r>
        <w:rPr>
          <w:rFonts w:ascii="Times New Roman;Times;Serif" w:hAnsi="Times New Roman;Times;Serif"/>
          <w:b w:val="false"/>
          <w:i w:val="false"/>
          <w:caps w:val="false"/>
          <w:smallCaps w:val="false"/>
          <w:sz w:val="20"/>
        </w:rPr>
        <w:t>165,962 and $</w:t>
      </w:r>
      <w:bookmarkStart w:id="514" w:name="xdx_90E_ecustom--DeliveryFeesReceivable_"/>
      <w:bookmarkEnd w:id="514"/>
      <w:r>
        <w:rPr>
          <w:rFonts w:ascii="Times New Roman;Times;Serif" w:hAnsi="Times New Roman;Times;Serif"/>
          <w:b w:val="false"/>
          <w:i w:val="false"/>
          <w:caps w:val="false"/>
          <w:smallCaps w:val="false"/>
          <w:sz w:val="20"/>
        </w:rPr>
        <w:t>56,884 and receivables from one and two unrelated parties for their use of the Company’s courier accounts at June 30, 2023 and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changes in allowance for credit losses on other receivables are summarized below:</w:t>
      </w:r>
    </w:p>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515" w:name="xdx_88D_ecustom--ScheduleOfCreditLossesO"/>
      <w:bookmarkStart w:id="516" w:name="xdx_88D_ecustom--ScheduleOfCreditLossesO"/>
      <w:bookmarkEnd w:id="516"/>
    </w:p>
    <w:tbl>
      <w:tblPr>
        <w:tblW w:w="7649" w:type="dxa"/>
        <w:jc w:val="left"/>
        <w:tblInd w:w="0" w:type="dxa"/>
        <w:tblLayout w:type="fixed"/>
        <w:tblCellMar>
          <w:top w:w="0" w:type="dxa"/>
          <w:left w:w="0" w:type="dxa"/>
          <w:bottom w:w="0" w:type="dxa"/>
          <w:right w:w="0" w:type="dxa"/>
        </w:tblCellMar>
      </w:tblPr>
      <w:tblGrid>
        <w:gridCol w:w="4655"/>
        <w:gridCol w:w="60"/>
        <w:gridCol w:w="65"/>
        <w:gridCol w:w="60"/>
        <w:gridCol w:w="414"/>
        <w:gridCol w:w="2320"/>
        <w:gridCol w:w="75"/>
      </w:tblGrid>
      <w:tr>
        <w:trPr/>
        <w:tc>
          <w:tcPr>
            <w:tcW w:w="4655" w:type="dxa"/>
            <w:tcBorders/>
            <w:vAlign w:val="center"/>
          </w:tcPr>
          <w:p>
            <w:pPr>
              <w:pStyle w:val="TableContents"/>
              <w:bidi w:val="0"/>
              <w:spacing w:before="0" w:after="283"/>
              <w:jc w:val="left"/>
              <w:rPr>
                <w:b/>
                <w:sz w:val="20"/>
              </w:rPr>
            </w:pPr>
            <w:bookmarkStart w:id="517" w:name="xdx_8B1_zOAvXktsbokk"/>
            <w:bookmarkEnd w:id="517"/>
            <w:r>
              <w:rPr>
                <w:b/>
                <w:sz w:val="20"/>
              </w:rPr>
              <w:t>Schedule of credit losses on other receivables</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734" w:type="dxa"/>
            <w:gridSpan w:val="2"/>
            <w:tcBorders>
              <w:bottom w:val="single" w:sz="8" w:space="0" w:color="000000"/>
            </w:tcBorders>
            <w:tcMar>
              <w:bottom w:w="28" w:type="dxa"/>
            </w:tcMar>
            <w:vAlign w:val="center"/>
          </w:tcPr>
          <w:p>
            <w:pPr>
              <w:pStyle w:val="TableContents"/>
              <w:bidi w:val="0"/>
              <w:spacing w:before="0" w:after="283"/>
              <w:jc w:val="center"/>
              <w:rPr/>
            </w:pPr>
            <w:r>
              <w:rPr/>
              <w:t>Allowance for Credit Losses</w:t>
            </w:r>
          </w:p>
        </w:tc>
        <w:tc>
          <w:tcPr>
            <w:tcW w:w="75" w:type="dxa"/>
            <w:tcBorders/>
            <w:vAlign w:val="center"/>
          </w:tcPr>
          <w:p>
            <w:pPr>
              <w:pStyle w:val="TableContents"/>
              <w:bidi w:val="0"/>
              <w:spacing w:before="0" w:after="283"/>
              <w:jc w:val="left"/>
              <w:rPr/>
            </w:pPr>
            <w:r>
              <w:rPr/>
              <w:t> </w:t>
            </w:r>
            <w:bookmarkStart w:id="518" w:name="xdx_43B_c20210701__20220630_eus-gaap--Ac"/>
            <w:bookmarkEnd w:id="518"/>
          </w:p>
        </w:tc>
      </w:tr>
      <w:tr>
        <w:trPr/>
        <w:tc>
          <w:tcPr>
            <w:tcW w:w="4655" w:type="dxa"/>
            <w:tcBorders/>
            <w:shd w:fill="FFFFFF" w:val="clear"/>
            <w:vAlign w:val="center"/>
          </w:tcPr>
          <w:p>
            <w:pPr>
              <w:pStyle w:val="TableContents"/>
              <w:bidi w:val="0"/>
              <w:spacing w:before="0" w:after="283"/>
              <w:jc w:val="left"/>
              <w:rPr>
                <w:sz w:val="20"/>
              </w:rPr>
            </w:pPr>
            <w:r>
              <w:rPr>
                <w:sz w:val="20"/>
              </w:rPr>
              <w:t>Balance at June 30, 2021</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sz w:val="20"/>
              </w:rPr>
            </w:pPr>
            <w:r>
              <w:rPr>
                <w:sz w:val="20"/>
              </w:rPr>
              <w:t>$</w:t>
            </w:r>
          </w:p>
        </w:tc>
        <w:tc>
          <w:tcPr>
            <w:tcW w:w="232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519" w:name="xdx_40E_eus-gaap--AllowanceForLoanAndLea"/>
            <w:bookmarkEnd w:id="519"/>
          </w:p>
        </w:tc>
      </w:tr>
      <w:tr>
        <w:trPr/>
        <w:tc>
          <w:tcPr>
            <w:tcW w:w="4655" w:type="dxa"/>
            <w:tcBorders/>
            <w:shd w:fill="EEEEEE" w:val="clear"/>
            <w:vAlign w:val="center"/>
          </w:tcPr>
          <w:p>
            <w:pPr>
              <w:pStyle w:val="TableContents"/>
              <w:bidi w:val="0"/>
              <w:spacing w:before="0" w:after="283"/>
              <w:jc w:val="left"/>
              <w:rPr>
                <w:sz w:val="20"/>
              </w:rPr>
            </w:pPr>
            <w:r>
              <w:rPr>
                <w:sz w:val="20"/>
              </w:rPr>
              <w:t>Allowance recorded during the year ended June 30, 2022</w:t>
            </w:r>
          </w:p>
        </w:tc>
        <w:tc>
          <w:tcPr>
            <w:tcW w:w="60" w:type="dxa"/>
            <w:tcBorders/>
            <w:shd w:fill="EEEEEE" w:val="clear"/>
            <w:vAlign w:val="center"/>
          </w:tcPr>
          <w:p>
            <w:pPr>
              <w:pStyle w:val="TableContents"/>
              <w:bidi w:val="0"/>
              <w:spacing w:before="0" w:after="283"/>
              <w:jc w:val="left"/>
              <w:rPr/>
            </w:pPr>
            <w:r>
              <w:rPr/>
              <w:t> </w:t>
            </w:r>
          </w:p>
        </w:tc>
        <w:tc>
          <w:tcPr>
            <w:tcW w:w="6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414"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2320"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75" w:type="dxa"/>
            <w:tcBorders/>
            <w:shd w:fill="EEEEEE" w:val="clear"/>
            <w:vAlign w:val="center"/>
          </w:tcPr>
          <w:p>
            <w:pPr>
              <w:pStyle w:val="TableContents"/>
              <w:bidi w:val="0"/>
              <w:spacing w:before="0" w:after="283"/>
              <w:jc w:val="left"/>
              <w:rPr/>
            </w:pPr>
            <w:r>
              <w:rPr/>
              <w:t> </w:t>
            </w:r>
            <w:bookmarkStart w:id="520" w:name="xdx_43C_c20220701__20230630_eus-gaap--Ac"/>
            <w:bookmarkEnd w:id="520"/>
          </w:p>
        </w:tc>
      </w:tr>
      <w:tr>
        <w:trPr/>
        <w:tc>
          <w:tcPr>
            <w:tcW w:w="4655" w:type="dxa"/>
            <w:tcBorders/>
            <w:shd w:fill="FFFFFF" w:val="clear"/>
            <w:vAlign w:val="center"/>
          </w:tcPr>
          <w:p>
            <w:pPr>
              <w:pStyle w:val="TableContents"/>
              <w:bidi w:val="0"/>
              <w:spacing w:before="0" w:after="283"/>
              <w:jc w:val="left"/>
              <w:rPr>
                <w:sz w:val="20"/>
              </w:rPr>
            </w:pPr>
            <w:r>
              <w:rPr>
                <w:sz w:val="20"/>
              </w:rPr>
              <w:t>Balance at June 30, 2022</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232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521" w:name="xdx_403_eus-gaap--AllowanceForLoanAndLea"/>
            <w:bookmarkEnd w:id="521"/>
          </w:p>
        </w:tc>
      </w:tr>
      <w:tr>
        <w:trPr/>
        <w:tc>
          <w:tcPr>
            <w:tcW w:w="4655" w:type="dxa"/>
            <w:tcBorders/>
            <w:shd w:fill="EEEEEE" w:val="clear"/>
            <w:vAlign w:val="center"/>
          </w:tcPr>
          <w:p>
            <w:pPr>
              <w:pStyle w:val="TableContents"/>
              <w:bidi w:val="0"/>
              <w:spacing w:before="0" w:after="283"/>
              <w:jc w:val="left"/>
              <w:rPr>
                <w:sz w:val="20"/>
              </w:rPr>
            </w:pPr>
            <w:r>
              <w:rPr>
                <w:sz w:val="20"/>
              </w:rPr>
              <w:t>Allowance recorded during the year ended June 30, 2023</w:t>
            </w:r>
          </w:p>
        </w:tc>
        <w:tc>
          <w:tcPr>
            <w:tcW w:w="60" w:type="dxa"/>
            <w:tcBorders/>
            <w:shd w:fill="EEEEEE" w:val="clear"/>
            <w:vAlign w:val="center"/>
          </w:tcPr>
          <w:p>
            <w:pPr>
              <w:pStyle w:val="TableContents"/>
              <w:bidi w:val="0"/>
              <w:spacing w:before="0" w:after="283"/>
              <w:jc w:val="left"/>
              <w:rPr/>
            </w:pPr>
            <w:r>
              <w:rPr/>
              <w:t> </w:t>
            </w:r>
          </w:p>
        </w:tc>
        <w:tc>
          <w:tcPr>
            <w:tcW w:w="6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414"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2320" w:type="dxa"/>
            <w:tcBorders>
              <w:bottom w:val="single" w:sz="8" w:space="0" w:color="000000"/>
            </w:tcBorders>
            <w:shd w:fill="EEEEEE" w:val="clear"/>
            <w:tcMar>
              <w:bottom w:w="28" w:type="dxa"/>
            </w:tcMar>
            <w:vAlign w:val="center"/>
          </w:tcPr>
          <w:p>
            <w:pPr>
              <w:pStyle w:val="TableContents"/>
              <w:bidi w:val="0"/>
              <w:spacing w:before="0" w:after="283"/>
              <w:jc w:val="right"/>
              <w:rPr>
                <w:sz w:val="20"/>
              </w:rPr>
            </w:pPr>
            <w:r>
              <w:rPr>
                <w:sz w:val="20"/>
              </w:rPr>
              <w:t>249,128</w:t>
            </w:r>
          </w:p>
        </w:tc>
        <w:tc>
          <w:tcPr>
            <w:tcW w:w="75" w:type="dxa"/>
            <w:tcBorders/>
            <w:shd w:fill="EEEEEE" w:val="clear"/>
            <w:vAlign w:val="center"/>
          </w:tcPr>
          <w:p>
            <w:pPr>
              <w:pStyle w:val="TableContents"/>
              <w:bidi w:val="0"/>
              <w:spacing w:before="0" w:after="283"/>
              <w:jc w:val="left"/>
              <w:rPr/>
            </w:pPr>
            <w:r>
              <w:rPr/>
              <w:t> </w:t>
            </w:r>
            <w:bookmarkStart w:id="522" w:name="xdx_43B_c20220701__20230630_eus-gaap--Ac"/>
            <w:bookmarkEnd w:id="522"/>
          </w:p>
        </w:tc>
      </w:tr>
      <w:tr>
        <w:trPr/>
        <w:tc>
          <w:tcPr>
            <w:tcW w:w="4655" w:type="dxa"/>
            <w:tcBorders/>
            <w:shd w:fill="FFFFFF" w:val="clear"/>
            <w:vAlign w:val="center"/>
          </w:tcPr>
          <w:p>
            <w:pPr>
              <w:pStyle w:val="TableContents"/>
              <w:bidi w:val="0"/>
              <w:spacing w:before="0" w:after="283"/>
              <w:jc w:val="left"/>
              <w:rPr>
                <w:sz w:val="20"/>
              </w:rPr>
            </w:pPr>
            <w:r>
              <w:rPr>
                <w:sz w:val="20"/>
              </w:rPr>
              <w:t>Balance at June 30, 2023</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4"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232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249,128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523" w:name="xdx_23A_zDkUXXR8SlWl"/>
      <w:bookmarkEnd w:id="523"/>
      <w:r>
        <w:rPr>
          <w:caps w:val="false"/>
          <w:smallCaps w:val="false"/>
        </w:rPr>
        <w:t> </w:t>
      </w:r>
    </w:p>
    <w:p>
      <w:pPr>
        <w:pStyle w:val="TextBody"/>
        <w:bidi w:val="0"/>
        <w:spacing w:before="0" w:after="0"/>
        <w:ind w:left="0" w:right="0" w:hanging="0"/>
        <w:jc w:val="both"/>
        <w:rPr>
          <w:caps w:val="false"/>
          <w:smallCaps w:val="false"/>
        </w:rPr>
      </w:pPr>
      <w:bookmarkStart w:id="524" w:name="xdx_238_zHmpCEAdUCz"/>
      <w:bookmarkEnd w:id="524"/>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F-20</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525" w:name="xdx_235_zGNkW3rGAECc"/>
      <w:bookmarkEnd w:id="525"/>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26" w:name="xdx_809_ecustom--NoncurerntPrepaymentTex"/>
      <w:bookmarkEnd w:id="526"/>
      <w:r>
        <w:rPr>
          <w:rFonts w:ascii="Times New Roman;Times;Serif" w:hAnsi="Times New Roman;Times;Serif"/>
          <w:b/>
          <w:i w:val="false"/>
          <w:caps w:val="false"/>
          <w:smallCaps w:val="false"/>
          <w:sz w:val="20"/>
        </w:rPr>
        <w:t xml:space="preserve">Note 9 – </w:t>
      </w:r>
      <w:bookmarkStart w:id="527" w:name="xdx_82C_z0AqemPtNycf"/>
      <w:bookmarkEnd w:id="527"/>
      <w:r>
        <w:rPr>
          <w:rFonts w:ascii="Times New Roman;Times;Serif" w:hAnsi="Times New Roman;Times;Serif"/>
          <w:b/>
          <w:i w:val="false"/>
          <w:caps w:val="false"/>
          <w:smallCaps w:val="false"/>
          <w:sz w:val="20"/>
        </w:rPr>
        <w:t>Non-current prepayments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Non-current prepayments included $</w:t>
      </w:r>
      <w:bookmarkStart w:id="528" w:name="xdx_902_ecustom--NoncurrentPrepayments_i"/>
      <w:bookmarkEnd w:id="528"/>
      <w:r>
        <w:rPr>
          <w:rFonts w:ascii="Times New Roman;Times;Serif" w:hAnsi="Times New Roman;Times;Serif"/>
          <w:b w:val="false"/>
          <w:i w:val="false"/>
          <w:caps w:val="false"/>
          <w:smallCaps w:val="false"/>
          <w:sz w:val="20"/>
        </w:rPr>
        <w:t>484,581 for product sourcing, marketing research and promotion, and other management advisory and consulting services to companies owned by an employee and minority shareholder and by relatives of a minority shareholder of the Company. The terms of these services are from two years to five years. In addition, there was a $</w:t>
      </w:r>
      <w:bookmarkStart w:id="529" w:name="xdx_904_ecustom--NoncurrentPrepayments_i"/>
      <w:bookmarkEnd w:id="529"/>
      <w:r>
        <w:rPr>
          <w:rFonts w:ascii="Times New Roman;Times;Serif" w:hAnsi="Times New Roman;Times;Serif"/>
          <w:b w:val="false"/>
          <w:i w:val="false"/>
          <w:caps w:val="false"/>
          <w:smallCaps w:val="false"/>
          <w:sz w:val="20"/>
        </w:rPr>
        <w:t>46,875 down payment on a four-year car lease. As of June 30, 2023 and 2022, total non-current prepayments were $</w:t>
      </w:r>
      <w:bookmarkStart w:id="530" w:name="xdx_90F_ecustom--NoncurrentPrepayments_i"/>
      <w:bookmarkEnd w:id="530"/>
      <w:r>
        <w:rPr>
          <w:rFonts w:ascii="Times New Roman;Times;Serif" w:hAnsi="Times New Roman;Times;Serif"/>
          <w:b w:val="false"/>
          <w:i w:val="false"/>
          <w:caps w:val="false"/>
          <w:smallCaps w:val="false"/>
          <w:sz w:val="20"/>
        </w:rPr>
        <w:t>531,456 and $</w:t>
      </w:r>
      <w:bookmarkStart w:id="531" w:name="xdx_90B_ecustom--NoncurrentPrepayments_i"/>
      <w:bookmarkEnd w:id="531"/>
      <w:r>
        <w:rPr>
          <w:rFonts w:ascii="Times New Roman;Times;Serif" w:hAnsi="Times New Roman;Times;Serif"/>
          <w:b w:val="false"/>
          <w:i w:val="false"/>
          <w:caps w:val="false"/>
          <w:smallCaps w:val="false"/>
          <w:sz w:val="20"/>
        </w:rPr>
        <w:t>925,624, respectively. For the years ended June 30, 2023 and 2022, the Company recorded amortization expenses of $</w:t>
      </w:r>
      <w:bookmarkStart w:id="532" w:name="xdx_907_eus-gaap--AdjustmentForAmortizat"/>
      <w:bookmarkEnd w:id="532"/>
      <w:r>
        <w:rPr>
          <w:rFonts w:ascii="Times New Roman;Times;Serif" w:hAnsi="Times New Roman;Times;Serif"/>
          <w:b w:val="false"/>
          <w:i w:val="false"/>
          <w:caps w:val="false"/>
          <w:smallCaps w:val="false"/>
          <w:sz w:val="20"/>
        </w:rPr>
        <w:t>394,168 and $</w:t>
      </w:r>
      <w:bookmarkStart w:id="533" w:name="xdx_90E_eus-gaap--AdjustmentForAmortizat"/>
      <w:bookmarkEnd w:id="533"/>
      <w:r>
        <w:rPr>
          <w:rFonts w:ascii="Times New Roman;Times;Serif" w:hAnsi="Times New Roman;Times;Serif"/>
          <w:b w:val="false"/>
          <w:i w:val="false"/>
          <w:caps w:val="false"/>
          <w:smallCaps w:val="false"/>
          <w:sz w:val="20"/>
        </w:rPr>
        <w:t>431,668,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34" w:name="xdx_801_eus-gaap--IntangibleAssetsDisclo"/>
      <w:bookmarkEnd w:id="534"/>
      <w:r>
        <w:rPr>
          <w:rFonts w:ascii="Times New Roman;Times;Serif" w:hAnsi="Times New Roman;Times;Serif"/>
          <w:b/>
          <w:i w:val="false"/>
          <w:caps w:val="false"/>
          <w:smallCaps w:val="false"/>
          <w:sz w:val="20"/>
        </w:rPr>
        <w:t xml:space="preserve">Note 10 – </w:t>
      </w:r>
      <w:bookmarkStart w:id="535" w:name="xdx_82B_z6n7h4xU6Su"/>
      <w:bookmarkEnd w:id="535"/>
      <w:r>
        <w:rPr>
          <w:rFonts w:ascii="Times New Roman;Times;Serif" w:hAnsi="Times New Roman;Times;Serif"/>
          <w:b/>
          <w:i w:val="false"/>
          <w:caps w:val="false"/>
          <w:smallCaps w:val="false"/>
          <w:sz w:val="20"/>
        </w:rPr>
        <w:t>Intangible assets,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2023 and 2022, intangible assets, net, consisted of the following: </w:t>
      </w:r>
    </w:p>
    <w:p>
      <w:pPr>
        <w:pStyle w:val="Normal"/>
        <w:bidi w:val="0"/>
        <w:spacing w:before="0" w:after="0"/>
        <w:jc w:val="left"/>
        <w:rPr>
          <w:sz w:val="4"/>
          <w:szCs w:val="4"/>
        </w:rPr>
      </w:pPr>
      <w:r>
        <w:rPr>
          <w:sz w:val="4"/>
          <w:szCs w:val="4"/>
        </w:rPr>
      </w:r>
      <w:bookmarkStart w:id="536" w:name="xdx_89D_eus-gaap--ScheduleOfFiniteLivedI"/>
      <w:bookmarkStart w:id="537" w:name="xdx_89D_eus-gaap--ScheduleOfFiniteLivedI"/>
      <w:bookmarkEnd w:id="537"/>
    </w:p>
    <w:tbl>
      <w:tblPr>
        <w:tblW w:w="5903" w:type="dxa"/>
        <w:jc w:val="left"/>
        <w:tblInd w:w="0" w:type="dxa"/>
        <w:tblLayout w:type="fixed"/>
        <w:tblCellMar>
          <w:top w:w="0" w:type="dxa"/>
          <w:left w:w="0" w:type="dxa"/>
          <w:bottom w:w="0" w:type="dxa"/>
          <w:right w:w="0" w:type="dxa"/>
        </w:tblCellMar>
      </w:tblPr>
      <w:tblGrid>
        <w:gridCol w:w="2750"/>
        <w:gridCol w:w="60"/>
        <w:gridCol w:w="176"/>
        <w:gridCol w:w="1238"/>
        <w:gridCol w:w="95"/>
        <w:gridCol w:w="60"/>
        <w:gridCol w:w="176"/>
        <w:gridCol w:w="1238"/>
        <w:gridCol w:w="110"/>
      </w:tblGrid>
      <w:tr>
        <w:trPr/>
        <w:tc>
          <w:tcPr>
            <w:tcW w:w="2750" w:type="dxa"/>
            <w:tcBorders/>
            <w:vAlign w:val="center"/>
          </w:tcPr>
          <w:p>
            <w:pPr>
              <w:pStyle w:val="TableContents"/>
              <w:bidi w:val="0"/>
              <w:spacing w:before="0" w:after="283"/>
              <w:jc w:val="left"/>
              <w:rPr/>
            </w:pPr>
            <w:bookmarkStart w:id="538" w:name="xdx_8B1_z0lTuA3O9Xp"/>
            <w:bookmarkEnd w:id="538"/>
            <w:r>
              <w:rPr/>
              <w:t>Schedule of intangible assets</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2022</w:t>
            </w:r>
          </w:p>
        </w:tc>
        <w:tc>
          <w:tcPr>
            <w:tcW w:w="110" w:type="dxa"/>
            <w:tcBorders/>
            <w:vAlign w:val="center"/>
          </w:tcPr>
          <w:p>
            <w:pPr>
              <w:pStyle w:val="TableContents"/>
              <w:bidi w:val="0"/>
              <w:spacing w:before="0" w:after="283"/>
              <w:jc w:val="left"/>
              <w:rPr/>
            </w:pPr>
            <w:r>
              <w:rPr/>
              <w:t> </w:t>
            </w:r>
          </w:p>
        </w:tc>
      </w:tr>
      <w:tr>
        <w:trPr/>
        <w:tc>
          <w:tcPr>
            <w:tcW w:w="2750" w:type="dxa"/>
            <w:tcBorders/>
            <w:shd w:fill="EEEEEE" w:val="clear"/>
            <w:vAlign w:val="center"/>
          </w:tcPr>
          <w:p>
            <w:pPr>
              <w:pStyle w:val="TableContents"/>
              <w:bidi w:val="0"/>
              <w:spacing w:before="0" w:after="283"/>
              <w:jc w:val="left"/>
              <w:rPr/>
            </w:pPr>
            <w:r>
              <w:rPr/>
              <w:t>Covenant not to compete</w:t>
            </w:r>
          </w:p>
        </w:tc>
        <w:tc>
          <w:tcPr>
            <w:tcW w:w="60" w:type="dxa"/>
            <w:tcBorders/>
            <w:shd w:fill="EEEEEE" w:val="clear"/>
            <w:vAlign w:val="center"/>
          </w:tcPr>
          <w:p>
            <w:pPr>
              <w:pStyle w:val="TableContents"/>
              <w:bidi w:val="0"/>
              <w:spacing w:before="0" w:after="283"/>
              <w:jc w:val="left"/>
              <w:rPr/>
            </w:pPr>
            <w:r>
              <w:rPr/>
              <w:t> </w:t>
            </w:r>
          </w:p>
        </w:tc>
        <w:tc>
          <w:tcPr>
            <w:tcW w:w="176" w:type="dxa"/>
            <w:tcBorders/>
            <w:shd w:fill="EEEEEE" w:val="clear"/>
            <w:vAlign w:val="center"/>
          </w:tcPr>
          <w:p>
            <w:pPr>
              <w:pStyle w:val="TableContents"/>
              <w:bidi w:val="0"/>
              <w:spacing w:before="0" w:after="283"/>
              <w:jc w:val="left"/>
              <w:rPr/>
            </w:pPr>
            <w:r>
              <w:rPr/>
              <w:t>$</w:t>
            </w:r>
            <w:bookmarkStart w:id="539" w:name="xdx_98A_eus-gaap--FiniteLivedIntangibleA"/>
            <w:bookmarkEnd w:id="539"/>
          </w:p>
        </w:tc>
        <w:tc>
          <w:tcPr>
            <w:tcW w:w="1238" w:type="dxa"/>
            <w:tcBorders/>
            <w:shd w:fill="EEEEEE" w:val="clear"/>
            <w:vAlign w:val="center"/>
          </w:tcPr>
          <w:p>
            <w:pPr>
              <w:pStyle w:val="TableContents"/>
              <w:bidi w:val="0"/>
              <w:spacing w:before="0" w:after="283"/>
              <w:jc w:val="right"/>
              <w:rPr/>
            </w:pPr>
            <w:r>
              <w:rPr/>
              <w:t>3,459,120</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76" w:type="dxa"/>
            <w:tcBorders/>
            <w:shd w:fill="EEEEEE" w:val="clear"/>
            <w:vAlign w:val="center"/>
          </w:tcPr>
          <w:p>
            <w:pPr>
              <w:pStyle w:val="TableContents"/>
              <w:bidi w:val="0"/>
              <w:spacing w:before="0" w:after="283"/>
              <w:jc w:val="left"/>
              <w:rPr/>
            </w:pPr>
            <w:r>
              <w:rPr/>
              <w:t>$</w:t>
            </w:r>
            <w:bookmarkStart w:id="540" w:name="xdx_98B_eus-gaap--FiniteLivedIntangibleA"/>
            <w:bookmarkEnd w:id="540"/>
          </w:p>
        </w:tc>
        <w:tc>
          <w:tcPr>
            <w:tcW w:w="1238" w:type="dxa"/>
            <w:tcBorders/>
            <w:shd w:fill="EEEEEE" w:val="clear"/>
            <w:vAlign w:val="center"/>
          </w:tcPr>
          <w:p>
            <w:pPr>
              <w:pStyle w:val="TableContents"/>
              <w:bidi w:val="0"/>
              <w:spacing w:before="0" w:after="283"/>
              <w:jc w:val="right"/>
              <w:rPr/>
            </w:pPr>
            <w:r>
              <w:rPr/>
              <w:t>3,459,120</w:t>
            </w:r>
          </w:p>
        </w:tc>
        <w:tc>
          <w:tcPr>
            <w:tcW w:w="110" w:type="dxa"/>
            <w:tcBorders/>
            <w:shd w:fill="EEEEEE" w:val="clear"/>
            <w:vAlign w:val="center"/>
          </w:tcPr>
          <w:p>
            <w:pPr>
              <w:pStyle w:val="TableContents"/>
              <w:bidi w:val="0"/>
              <w:spacing w:before="0" w:after="283"/>
              <w:jc w:val="left"/>
              <w:rPr/>
            </w:pPr>
            <w:r>
              <w:rPr/>
              <w:t> </w:t>
            </w:r>
          </w:p>
        </w:tc>
      </w:tr>
      <w:tr>
        <w:trPr/>
        <w:tc>
          <w:tcPr>
            <w:tcW w:w="2750" w:type="dxa"/>
            <w:tcBorders/>
            <w:shd w:fill="FFFFFF" w:val="clear"/>
            <w:vAlign w:val="center"/>
          </w:tcPr>
          <w:p>
            <w:pPr>
              <w:pStyle w:val="TableContents"/>
              <w:bidi w:val="0"/>
              <w:spacing w:before="0" w:after="283"/>
              <w:jc w:val="left"/>
              <w:rPr/>
            </w:pPr>
            <w:r>
              <w:rPr/>
              <w:t>Supplier relationships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bookmarkStart w:id="541" w:name="xdx_98B_eus-gaap--FiniteLivedIntangibleA"/>
            <w:bookmarkEnd w:id="541"/>
          </w:p>
        </w:tc>
        <w:tc>
          <w:tcPr>
            <w:tcW w:w="1238" w:type="dxa"/>
            <w:tcBorders/>
            <w:shd w:fill="FFFFFF" w:val="clear"/>
            <w:vAlign w:val="center"/>
          </w:tcPr>
          <w:p>
            <w:pPr>
              <w:pStyle w:val="TableContents"/>
              <w:bidi w:val="0"/>
              <w:spacing w:before="0" w:after="283"/>
              <w:jc w:val="right"/>
              <w:rPr/>
            </w:pPr>
            <w:r>
              <w:rPr/>
              <w:t>1,179,246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bookmarkStart w:id="542" w:name="xdx_98A_eus-gaap--FiniteLivedIntangibleA"/>
            <w:bookmarkEnd w:id="542"/>
          </w:p>
        </w:tc>
        <w:tc>
          <w:tcPr>
            <w:tcW w:w="1238" w:type="dxa"/>
            <w:tcBorders/>
            <w:shd w:fill="FFFFFF" w:val="clear"/>
            <w:vAlign w:val="center"/>
          </w:tcPr>
          <w:p>
            <w:pPr>
              <w:pStyle w:val="TableContents"/>
              <w:bidi w:val="0"/>
              <w:spacing w:before="0" w:after="283"/>
              <w:jc w:val="right"/>
              <w:rPr/>
            </w:pPr>
            <w:r>
              <w:rPr/>
              <w:t>1,179,246</w:t>
            </w:r>
          </w:p>
        </w:tc>
        <w:tc>
          <w:tcPr>
            <w:tcW w:w="110" w:type="dxa"/>
            <w:tcBorders/>
            <w:shd w:fill="FFFFFF" w:val="clear"/>
            <w:vAlign w:val="center"/>
          </w:tcPr>
          <w:p>
            <w:pPr>
              <w:pStyle w:val="TableContents"/>
              <w:bidi w:val="0"/>
              <w:spacing w:before="0" w:after="283"/>
              <w:jc w:val="left"/>
              <w:rPr/>
            </w:pPr>
            <w:r>
              <w:rPr/>
              <w:t> </w:t>
            </w:r>
          </w:p>
        </w:tc>
      </w:tr>
      <w:tr>
        <w:trPr/>
        <w:tc>
          <w:tcPr>
            <w:tcW w:w="2750" w:type="dxa"/>
            <w:tcBorders/>
            <w:shd w:fill="EEEEEE" w:val="clear"/>
            <w:vAlign w:val="center"/>
          </w:tcPr>
          <w:p>
            <w:pPr>
              <w:pStyle w:val="TableContents"/>
              <w:bidi w:val="0"/>
              <w:spacing w:before="0" w:after="283"/>
              <w:jc w:val="left"/>
              <w:rPr/>
            </w:pPr>
            <w:r>
              <w:rPr/>
              <w:t>Software</w:t>
            </w:r>
          </w:p>
        </w:tc>
        <w:tc>
          <w:tcPr>
            <w:tcW w:w="60" w:type="dxa"/>
            <w:tcBorders/>
            <w:shd w:fill="EEEEEE" w:val="clear"/>
            <w:vAlign w:val="center"/>
          </w:tcPr>
          <w:p>
            <w:pPr>
              <w:pStyle w:val="TableContents"/>
              <w:bidi w:val="0"/>
              <w:spacing w:before="0" w:after="283"/>
              <w:jc w:val="left"/>
              <w:rPr/>
            </w:pPr>
            <w:r>
              <w:rPr/>
              <w:t> </w:t>
            </w:r>
          </w:p>
        </w:tc>
        <w:tc>
          <w:tcPr>
            <w:tcW w:w="176" w:type="dxa"/>
            <w:tcBorders/>
            <w:shd w:fill="EEEEEE" w:val="clear"/>
            <w:vAlign w:val="center"/>
          </w:tcPr>
          <w:p>
            <w:pPr>
              <w:pStyle w:val="TableContents"/>
              <w:bidi w:val="0"/>
              <w:spacing w:before="0" w:after="283"/>
              <w:jc w:val="left"/>
              <w:rPr/>
            </w:pPr>
            <w:r>
              <w:rPr/>
              <w:t> </w:t>
            </w:r>
            <w:bookmarkStart w:id="543" w:name="xdx_983_eus-gaap--FiniteLivedIntangibleA"/>
            <w:bookmarkEnd w:id="543"/>
          </w:p>
        </w:tc>
        <w:tc>
          <w:tcPr>
            <w:tcW w:w="1238" w:type="dxa"/>
            <w:tcBorders/>
            <w:shd w:fill="EEEEEE" w:val="clear"/>
            <w:vAlign w:val="center"/>
          </w:tcPr>
          <w:p>
            <w:pPr>
              <w:pStyle w:val="TableContents"/>
              <w:bidi w:val="0"/>
              <w:spacing w:before="0" w:after="283"/>
              <w:jc w:val="right"/>
              <w:rPr/>
            </w:pPr>
            <w:r>
              <w:rPr/>
              <w:t>534,591</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76" w:type="dxa"/>
            <w:tcBorders/>
            <w:shd w:fill="EEEEEE" w:val="clear"/>
            <w:vAlign w:val="center"/>
          </w:tcPr>
          <w:p>
            <w:pPr>
              <w:pStyle w:val="TableContents"/>
              <w:bidi w:val="0"/>
              <w:spacing w:before="0" w:after="283"/>
              <w:jc w:val="left"/>
              <w:rPr/>
            </w:pPr>
            <w:r>
              <w:rPr/>
              <w:t> </w:t>
            </w:r>
            <w:bookmarkStart w:id="544" w:name="xdx_980_eus-gaap--FiniteLivedIntangibleA"/>
            <w:bookmarkEnd w:id="544"/>
          </w:p>
        </w:tc>
        <w:tc>
          <w:tcPr>
            <w:tcW w:w="1238" w:type="dxa"/>
            <w:tcBorders/>
            <w:shd w:fill="EEEEEE" w:val="clear"/>
            <w:vAlign w:val="center"/>
          </w:tcPr>
          <w:p>
            <w:pPr>
              <w:pStyle w:val="TableContents"/>
              <w:bidi w:val="0"/>
              <w:spacing w:before="0" w:after="283"/>
              <w:jc w:val="right"/>
              <w:rPr/>
            </w:pPr>
            <w:r>
              <w:rPr/>
              <w:t>534,591</w:t>
            </w:r>
          </w:p>
        </w:tc>
        <w:tc>
          <w:tcPr>
            <w:tcW w:w="110" w:type="dxa"/>
            <w:tcBorders/>
            <w:shd w:fill="EEEEEE" w:val="clear"/>
            <w:vAlign w:val="center"/>
          </w:tcPr>
          <w:p>
            <w:pPr>
              <w:pStyle w:val="TableContents"/>
              <w:bidi w:val="0"/>
              <w:spacing w:before="0" w:after="283"/>
              <w:jc w:val="left"/>
              <w:rPr/>
            </w:pPr>
            <w:r>
              <w:rPr/>
              <w:t> </w:t>
            </w:r>
          </w:p>
        </w:tc>
      </w:tr>
      <w:tr>
        <w:trPr/>
        <w:tc>
          <w:tcPr>
            <w:tcW w:w="2750" w:type="dxa"/>
            <w:tcBorders/>
            <w:shd w:fill="FFFFFF" w:val="clear"/>
            <w:vAlign w:val="center"/>
          </w:tcPr>
          <w:p>
            <w:pPr>
              <w:pStyle w:val="TableContents"/>
              <w:bidi w:val="0"/>
              <w:spacing w:before="0" w:after="283"/>
              <w:jc w:val="left"/>
              <w:rPr/>
            </w:pPr>
            <w:r>
              <w:rPr/>
              <w:t>Accumulated amortization</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45" w:name="xdx_98B_eus-gaap--FiniteLivedIntangibleA"/>
            <w:bookmarkEnd w:id="545"/>
          </w:p>
        </w:tc>
        <w:tc>
          <w:tcPr>
            <w:tcW w:w="1238" w:type="dxa"/>
            <w:tcBorders>
              <w:bottom w:val="single" w:sz="8" w:space="0" w:color="000000"/>
            </w:tcBorders>
            <w:shd w:fill="FFFFFF" w:val="clear"/>
            <w:tcMar>
              <w:bottom w:w="28" w:type="dxa"/>
            </w:tcMar>
            <w:vAlign w:val="center"/>
          </w:tcPr>
          <w:p>
            <w:pPr>
              <w:pStyle w:val="TableContents"/>
              <w:bidi w:val="0"/>
              <w:spacing w:before="0" w:after="283"/>
              <w:jc w:val="right"/>
              <w:rPr/>
            </w:pPr>
            <w:r>
              <w:rPr/>
              <w:t>(892,886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46" w:name="xdx_98A_eus-gaap--FiniteLivedIntangibleA"/>
            <w:bookmarkEnd w:id="546"/>
          </w:p>
        </w:tc>
        <w:tc>
          <w:tcPr>
            <w:tcW w:w="1238" w:type="dxa"/>
            <w:tcBorders>
              <w:bottom w:val="single" w:sz="8" w:space="0" w:color="000000"/>
            </w:tcBorders>
            <w:shd w:fill="FFFFFF" w:val="clear"/>
            <w:tcMar>
              <w:bottom w:w="28" w:type="dxa"/>
            </w:tcMar>
            <w:vAlign w:val="center"/>
          </w:tcPr>
          <w:p>
            <w:pPr>
              <w:pStyle w:val="TableContents"/>
              <w:bidi w:val="0"/>
              <w:spacing w:before="0" w:after="283"/>
              <w:jc w:val="right"/>
              <w:rPr/>
            </w:pPr>
            <w:r>
              <w:rPr/>
              <w:t>(243,515</w:t>
            </w:r>
          </w:p>
        </w:tc>
        <w:tc>
          <w:tcPr>
            <w:tcW w:w="110" w:type="dxa"/>
            <w:tcBorders/>
            <w:shd w:fill="FFFFFF" w:val="clear"/>
            <w:vAlign w:val="center"/>
          </w:tcPr>
          <w:p>
            <w:pPr>
              <w:pStyle w:val="TableContents"/>
              <w:bidi w:val="0"/>
              <w:spacing w:before="0" w:after="283"/>
              <w:jc w:val="left"/>
              <w:rPr/>
            </w:pPr>
            <w:r>
              <w:rPr/>
              <w:t>)</w:t>
            </w:r>
          </w:p>
        </w:tc>
      </w:tr>
      <w:tr>
        <w:trPr/>
        <w:tc>
          <w:tcPr>
            <w:tcW w:w="2750" w:type="dxa"/>
            <w:tcBorders/>
            <w:shd w:fill="EEEEEE" w:val="clear"/>
            <w:vAlign w:val="center"/>
          </w:tcPr>
          <w:p>
            <w:pPr>
              <w:pStyle w:val="TableContents"/>
              <w:bidi w:val="0"/>
              <w:spacing w:before="0" w:after="283"/>
              <w:jc w:val="left"/>
              <w:rPr/>
            </w:pPr>
            <w:r>
              <w:rPr/>
              <w:t>Total</w:t>
            </w:r>
          </w:p>
        </w:tc>
        <w:tc>
          <w:tcPr>
            <w:tcW w:w="60" w:type="dxa"/>
            <w:tcBorders/>
            <w:shd w:fill="EEEEEE" w:val="clear"/>
            <w:vAlign w:val="center"/>
          </w:tcPr>
          <w:p>
            <w:pPr>
              <w:pStyle w:val="TableContents"/>
              <w:bidi w:val="0"/>
              <w:spacing w:before="0" w:after="283"/>
              <w:jc w:val="left"/>
              <w:rPr/>
            </w:pPr>
            <w:r>
              <w:rPr/>
              <w:t> </w:t>
            </w:r>
          </w:p>
        </w:tc>
        <w:tc>
          <w:tcPr>
            <w:tcW w:w="176" w:type="dxa"/>
            <w:tcBorders>
              <w:bottom w:val="double" w:sz="6" w:space="0" w:color="000000"/>
            </w:tcBorders>
            <w:shd w:fill="EEEEEE" w:val="clear"/>
            <w:tcMar>
              <w:bottom w:w="28" w:type="dxa"/>
            </w:tcMar>
            <w:vAlign w:val="center"/>
          </w:tcPr>
          <w:p>
            <w:pPr>
              <w:pStyle w:val="TableContents"/>
              <w:bidi w:val="0"/>
              <w:spacing w:before="0" w:after="283"/>
              <w:jc w:val="left"/>
              <w:rPr/>
            </w:pPr>
            <w:r>
              <w:rPr/>
              <w:t>$</w:t>
            </w:r>
            <w:bookmarkStart w:id="547" w:name="xdx_985_eus-gaap--FiniteLivedIntangibleA"/>
            <w:bookmarkEnd w:id="547"/>
          </w:p>
        </w:tc>
        <w:tc>
          <w:tcPr>
            <w:tcW w:w="1238" w:type="dxa"/>
            <w:tcBorders>
              <w:bottom w:val="double" w:sz="6" w:space="0" w:color="000000"/>
            </w:tcBorders>
            <w:shd w:fill="EEEEEE" w:val="clear"/>
            <w:tcMar>
              <w:bottom w:w="28" w:type="dxa"/>
            </w:tcMar>
            <w:vAlign w:val="center"/>
          </w:tcPr>
          <w:p>
            <w:pPr>
              <w:pStyle w:val="TableContents"/>
              <w:bidi w:val="0"/>
              <w:spacing w:before="0" w:after="283"/>
              <w:jc w:val="right"/>
              <w:rPr/>
            </w:pPr>
            <w:r>
              <w:rPr/>
              <w:t>4,280,071</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76" w:type="dxa"/>
            <w:tcBorders>
              <w:bottom w:val="double" w:sz="6" w:space="0" w:color="000000"/>
            </w:tcBorders>
            <w:shd w:fill="EEEEEE" w:val="clear"/>
            <w:tcMar>
              <w:bottom w:w="28" w:type="dxa"/>
            </w:tcMar>
            <w:vAlign w:val="center"/>
          </w:tcPr>
          <w:p>
            <w:pPr>
              <w:pStyle w:val="TableContents"/>
              <w:bidi w:val="0"/>
              <w:spacing w:before="0" w:after="283"/>
              <w:jc w:val="left"/>
              <w:rPr/>
            </w:pPr>
            <w:r>
              <w:rPr/>
              <w:t>$</w:t>
            </w:r>
            <w:bookmarkStart w:id="548" w:name="xdx_984_eus-gaap--FiniteLivedIntangibleA"/>
            <w:bookmarkEnd w:id="548"/>
          </w:p>
        </w:tc>
        <w:tc>
          <w:tcPr>
            <w:tcW w:w="1238" w:type="dxa"/>
            <w:tcBorders>
              <w:bottom w:val="double" w:sz="6" w:space="0" w:color="000000"/>
            </w:tcBorders>
            <w:shd w:fill="EEEEEE" w:val="clear"/>
            <w:tcMar>
              <w:bottom w:w="28" w:type="dxa"/>
            </w:tcMar>
            <w:vAlign w:val="center"/>
          </w:tcPr>
          <w:p>
            <w:pPr>
              <w:pStyle w:val="TableContents"/>
              <w:bidi w:val="0"/>
              <w:spacing w:before="0" w:after="283"/>
              <w:jc w:val="right"/>
              <w:rPr/>
            </w:pPr>
            <w:r>
              <w:rPr/>
              <w:t>4,929,442</w:t>
            </w:r>
          </w:p>
        </w:tc>
        <w:tc>
          <w:tcPr>
            <w:tcW w:w="110" w:type="dxa"/>
            <w:tcBorders/>
            <w:shd w:fill="EEEEEE"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49" w:name="xdx_8AB_zqOKjWOdmWp4"/>
      <w:bookmarkEnd w:id="54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intangible assets were acquired on February 15, 2022 through acquisition of Anivia. The weighted average remaining life for finite-lived intangible assets at June 30, 2023 was approximately </w:t>
      </w:r>
      <w:bookmarkStart w:id="550" w:name="xdx_903_ecustom--FiniteLivedIntangibleAs"/>
      <w:bookmarkEnd w:id="550"/>
      <w:r>
        <w:rPr>
          <w:rFonts w:ascii="Times New Roman;Times;Serif" w:hAnsi="Times New Roman;Times;Serif"/>
          <w:b w:val="false"/>
          <w:i w:val="false"/>
          <w:caps w:val="false"/>
          <w:smallCaps w:val="false"/>
          <w:sz w:val="20"/>
        </w:rPr>
        <w:t>7.2 years. The amortization expense for the years ended June 30, 2023 and 2022 was $</w:t>
      </w:r>
      <w:bookmarkStart w:id="551" w:name="xdx_90A_eus-gaap--AmortizationOfIntangib"/>
      <w:bookmarkEnd w:id="551"/>
      <w:r>
        <w:rPr>
          <w:rFonts w:ascii="Times New Roman;Times;Serif" w:hAnsi="Times New Roman;Times;Serif"/>
          <w:b w:val="false"/>
          <w:i w:val="false"/>
          <w:caps w:val="false"/>
          <w:smallCaps w:val="false"/>
          <w:sz w:val="20"/>
        </w:rPr>
        <w:t>649,371 and $</w:t>
      </w:r>
      <w:bookmarkStart w:id="552" w:name="xdx_901_eus-gaap--AmortizationOfIntangib"/>
      <w:bookmarkEnd w:id="552"/>
      <w:r>
        <w:rPr>
          <w:rFonts w:ascii="Times New Roman;Times;Serif" w:hAnsi="Times New Roman;Times;Serif"/>
          <w:b w:val="false"/>
          <w:i w:val="false"/>
          <w:caps w:val="false"/>
          <w:smallCaps w:val="false"/>
          <w:sz w:val="20"/>
        </w:rPr>
        <w:t>243,515, respectively. At June 30, 2023, finite-lived intangible assets are expected to be amortized over their estimated useful lives, which ranges from a period of five to 10 years, and the estimated remaining amortization expense for each of the five succeeding years thereafter is as follows:</w:t>
      </w:r>
    </w:p>
    <w:p>
      <w:pPr>
        <w:pStyle w:val="Normal"/>
        <w:bidi w:val="0"/>
        <w:spacing w:before="0" w:after="0"/>
        <w:jc w:val="left"/>
        <w:rPr>
          <w:sz w:val="4"/>
          <w:szCs w:val="4"/>
        </w:rPr>
      </w:pPr>
      <w:r>
        <w:rPr>
          <w:sz w:val="4"/>
          <w:szCs w:val="4"/>
        </w:rPr>
      </w:r>
      <w:bookmarkStart w:id="553" w:name="xdx_896_eus-gaap--ScheduleofFiniteLivedI"/>
      <w:bookmarkStart w:id="554" w:name="xdx_896_eus-gaap--ScheduleofFiniteLivedI"/>
      <w:bookmarkEnd w:id="554"/>
    </w:p>
    <w:tbl>
      <w:tblPr>
        <w:tblW w:w="4260" w:type="dxa"/>
        <w:jc w:val="left"/>
        <w:tblInd w:w="0" w:type="dxa"/>
        <w:tblLayout w:type="fixed"/>
        <w:tblCellMar>
          <w:top w:w="0" w:type="dxa"/>
          <w:left w:w="0" w:type="dxa"/>
          <w:bottom w:w="0" w:type="dxa"/>
          <w:right w:w="0" w:type="dxa"/>
        </w:tblCellMar>
      </w:tblPr>
      <w:tblGrid>
        <w:gridCol w:w="3005"/>
        <w:gridCol w:w="60"/>
        <w:gridCol w:w="140"/>
        <w:gridCol w:w="980"/>
        <w:gridCol w:w="75"/>
      </w:tblGrid>
      <w:tr>
        <w:trPr/>
        <w:tc>
          <w:tcPr>
            <w:tcW w:w="3005" w:type="dxa"/>
            <w:tcBorders/>
            <w:vAlign w:val="center"/>
          </w:tcPr>
          <w:p>
            <w:pPr>
              <w:pStyle w:val="TableContents"/>
              <w:bidi w:val="0"/>
              <w:spacing w:before="0" w:after="283"/>
              <w:jc w:val="left"/>
              <w:rPr/>
            </w:pPr>
            <w:bookmarkStart w:id="555" w:name="xdx_8B0_z7v3nWslGBgi"/>
            <w:bookmarkEnd w:id="555"/>
            <w:r>
              <w:rPr/>
              <w:t>Schedule of future amortization</w:t>
            </w:r>
          </w:p>
        </w:tc>
        <w:tc>
          <w:tcPr>
            <w:tcW w:w="60" w:type="dxa"/>
            <w:tcBorders/>
            <w:vAlign w:val="center"/>
          </w:tcPr>
          <w:p>
            <w:pPr>
              <w:pStyle w:val="TableContents"/>
              <w:bidi w:val="0"/>
              <w:spacing w:before="0" w:after="283"/>
              <w:jc w:val="left"/>
              <w:rPr/>
            </w:pPr>
            <w:r>
              <w:rPr/>
              <w:t> </w:t>
            </w:r>
            <w:bookmarkStart w:id="556" w:name="xdx_498_20230630_zdMWv2ymz2ei"/>
            <w:bookmarkEnd w:id="556"/>
          </w:p>
        </w:tc>
        <w:tc>
          <w:tcPr>
            <w:tcW w:w="112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b/>
              </w:rPr>
            </w:pPr>
            <w:r>
              <w:rPr>
                <w:b/>
              </w:rPr>
              <w:t>Year Ending June 30,</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75" w:type="dxa"/>
            <w:tcBorders/>
            <w:vAlign w:val="center"/>
          </w:tcPr>
          <w:p>
            <w:pPr>
              <w:pStyle w:val="TableContents"/>
              <w:bidi w:val="0"/>
              <w:spacing w:before="0" w:after="283"/>
              <w:jc w:val="left"/>
              <w:rPr/>
            </w:pPr>
            <w:r>
              <w:rPr/>
              <w:t> </w:t>
            </w:r>
            <w:bookmarkStart w:id="557" w:name="xdx_402_eus-gaap--FiniteLivedIntangibleA"/>
            <w:bookmarkEnd w:id="557"/>
          </w:p>
        </w:tc>
      </w:tr>
      <w:tr>
        <w:trPr/>
        <w:tc>
          <w:tcPr>
            <w:tcW w:w="3005" w:type="dxa"/>
            <w:tcBorders/>
            <w:shd w:fill="EEEEEE" w:val="clear"/>
            <w:vAlign w:val="center"/>
          </w:tcPr>
          <w:p>
            <w:pPr>
              <w:pStyle w:val="TableContents"/>
              <w:bidi w:val="0"/>
              <w:spacing w:before="0" w:after="283"/>
              <w:jc w:val="left"/>
              <w:rPr/>
            </w:pPr>
            <w:r>
              <w:rPr/>
              <w:t>2024</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980" w:type="dxa"/>
            <w:tcBorders/>
            <w:shd w:fill="EEEEEE" w:val="clear"/>
            <w:vAlign w:val="center"/>
          </w:tcPr>
          <w:p>
            <w:pPr>
              <w:pStyle w:val="TableContents"/>
              <w:bidi w:val="0"/>
              <w:spacing w:before="0" w:after="283"/>
              <w:jc w:val="right"/>
              <w:rPr/>
            </w:pPr>
            <w:r>
              <w:rPr/>
              <w:t>649,371</w:t>
            </w:r>
          </w:p>
        </w:tc>
        <w:tc>
          <w:tcPr>
            <w:tcW w:w="75" w:type="dxa"/>
            <w:tcBorders/>
            <w:shd w:fill="EEEEEE" w:val="clear"/>
            <w:vAlign w:val="center"/>
          </w:tcPr>
          <w:p>
            <w:pPr>
              <w:pStyle w:val="TableContents"/>
              <w:bidi w:val="0"/>
              <w:spacing w:before="0" w:after="283"/>
              <w:jc w:val="left"/>
              <w:rPr/>
            </w:pPr>
            <w:r>
              <w:rPr/>
              <w:t> </w:t>
            </w:r>
            <w:bookmarkStart w:id="558" w:name="xdx_40F_eus-gaap--FiniteLivedIntangibleA"/>
            <w:bookmarkEnd w:id="558"/>
          </w:p>
        </w:tc>
      </w:tr>
      <w:tr>
        <w:trPr/>
        <w:tc>
          <w:tcPr>
            <w:tcW w:w="3005" w:type="dxa"/>
            <w:tcBorders/>
            <w:shd w:fill="FFFFFF" w:val="clear"/>
            <w:vAlign w:val="center"/>
          </w:tcPr>
          <w:p>
            <w:pPr>
              <w:pStyle w:val="TableContents"/>
              <w:bidi w:val="0"/>
              <w:spacing w:before="0" w:after="283"/>
              <w:jc w:val="left"/>
              <w:rPr/>
            </w:pPr>
            <w:r>
              <w:rPr/>
              <w:t>2025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649,371</w:t>
            </w:r>
          </w:p>
        </w:tc>
        <w:tc>
          <w:tcPr>
            <w:tcW w:w="75" w:type="dxa"/>
            <w:tcBorders/>
            <w:shd w:fill="FFFFFF" w:val="clear"/>
            <w:vAlign w:val="center"/>
          </w:tcPr>
          <w:p>
            <w:pPr>
              <w:pStyle w:val="TableContents"/>
              <w:bidi w:val="0"/>
              <w:spacing w:before="0" w:after="283"/>
              <w:jc w:val="left"/>
              <w:rPr/>
            </w:pPr>
            <w:r>
              <w:rPr/>
              <w:t> </w:t>
            </w:r>
            <w:bookmarkStart w:id="559" w:name="xdx_403_eus-gaap--FiniteLivedIntangibleA"/>
            <w:bookmarkEnd w:id="559"/>
          </w:p>
        </w:tc>
      </w:tr>
      <w:tr>
        <w:trPr/>
        <w:tc>
          <w:tcPr>
            <w:tcW w:w="3005" w:type="dxa"/>
            <w:tcBorders/>
            <w:shd w:fill="EEEEEE" w:val="clear"/>
            <w:vAlign w:val="center"/>
          </w:tcPr>
          <w:p>
            <w:pPr>
              <w:pStyle w:val="TableContents"/>
              <w:bidi w:val="0"/>
              <w:spacing w:before="0" w:after="283"/>
              <w:jc w:val="left"/>
              <w:rPr/>
            </w:pPr>
            <w:r>
              <w:rPr/>
              <w:t>2026</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649,371</w:t>
            </w:r>
          </w:p>
        </w:tc>
        <w:tc>
          <w:tcPr>
            <w:tcW w:w="75" w:type="dxa"/>
            <w:tcBorders/>
            <w:shd w:fill="EEEEEE" w:val="clear"/>
            <w:vAlign w:val="center"/>
          </w:tcPr>
          <w:p>
            <w:pPr>
              <w:pStyle w:val="TableContents"/>
              <w:bidi w:val="0"/>
              <w:spacing w:before="0" w:after="283"/>
              <w:jc w:val="left"/>
              <w:rPr/>
            </w:pPr>
            <w:r>
              <w:rPr/>
              <w:t> </w:t>
            </w:r>
            <w:bookmarkStart w:id="560" w:name="xdx_408_eus-gaap--FiniteLivedIntangibleA"/>
            <w:bookmarkEnd w:id="560"/>
          </w:p>
        </w:tc>
      </w:tr>
      <w:tr>
        <w:trPr/>
        <w:tc>
          <w:tcPr>
            <w:tcW w:w="3005" w:type="dxa"/>
            <w:tcBorders/>
            <w:shd w:fill="FFFFFF" w:val="clear"/>
            <w:vAlign w:val="center"/>
          </w:tcPr>
          <w:p>
            <w:pPr>
              <w:pStyle w:val="TableContents"/>
              <w:bidi w:val="0"/>
              <w:spacing w:before="0" w:after="283"/>
              <w:jc w:val="left"/>
              <w:rPr/>
            </w:pPr>
            <w:r>
              <w:rPr/>
              <w:t>2027</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609,277</w:t>
            </w:r>
          </w:p>
        </w:tc>
        <w:tc>
          <w:tcPr>
            <w:tcW w:w="75" w:type="dxa"/>
            <w:tcBorders/>
            <w:shd w:fill="FFFFFF" w:val="clear"/>
            <w:vAlign w:val="center"/>
          </w:tcPr>
          <w:p>
            <w:pPr>
              <w:pStyle w:val="TableContents"/>
              <w:bidi w:val="0"/>
              <w:spacing w:before="0" w:after="283"/>
              <w:jc w:val="left"/>
              <w:rPr/>
            </w:pPr>
            <w:r>
              <w:rPr/>
              <w:t> </w:t>
            </w:r>
            <w:bookmarkStart w:id="561" w:name="xdx_400_eus-gaap--FiniteLivedIntangibleA"/>
            <w:bookmarkEnd w:id="561"/>
          </w:p>
        </w:tc>
      </w:tr>
      <w:tr>
        <w:trPr/>
        <w:tc>
          <w:tcPr>
            <w:tcW w:w="3005" w:type="dxa"/>
            <w:tcBorders/>
            <w:shd w:fill="EEEEEE" w:val="clear"/>
            <w:vAlign w:val="center"/>
          </w:tcPr>
          <w:p>
            <w:pPr>
              <w:pStyle w:val="TableContents"/>
              <w:bidi w:val="0"/>
              <w:spacing w:before="0" w:after="283"/>
              <w:jc w:val="left"/>
              <w:rPr/>
            </w:pPr>
            <w:r>
              <w:rPr/>
              <w:t>2028</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468,750</w:t>
            </w:r>
          </w:p>
        </w:tc>
        <w:tc>
          <w:tcPr>
            <w:tcW w:w="75" w:type="dxa"/>
            <w:tcBorders/>
            <w:shd w:fill="EEEEEE" w:val="clear"/>
            <w:vAlign w:val="center"/>
          </w:tcPr>
          <w:p>
            <w:pPr>
              <w:pStyle w:val="TableContents"/>
              <w:bidi w:val="0"/>
              <w:spacing w:before="0" w:after="283"/>
              <w:jc w:val="left"/>
              <w:rPr/>
            </w:pPr>
            <w:r>
              <w:rPr/>
              <w:t> </w:t>
            </w:r>
            <w:bookmarkStart w:id="562" w:name="xdx_40B_eus-gaap--FiniteLivedIntangibleA"/>
            <w:bookmarkEnd w:id="562"/>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Thereafter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1,253,931</w:t>
            </w:r>
          </w:p>
        </w:tc>
        <w:tc>
          <w:tcPr>
            <w:tcW w:w="75" w:type="dxa"/>
            <w:tcBorders/>
            <w:shd w:fill="FFFFFF" w:val="clear"/>
            <w:vAlign w:val="center"/>
          </w:tcPr>
          <w:p>
            <w:pPr>
              <w:pStyle w:val="TableContents"/>
              <w:bidi w:val="0"/>
              <w:spacing w:before="0" w:after="283"/>
              <w:jc w:val="left"/>
              <w:rPr/>
            </w:pPr>
            <w:r>
              <w:rPr/>
              <w:t> </w:t>
            </w:r>
            <w:bookmarkStart w:id="563" w:name="xdx_409_eus-gaap--FiniteLivedIntangibleA"/>
            <w:bookmarkEnd w:id="563"/>
          </w:p>
        </w:tc>
      </w:tr>
      <w:tr>
        <w:trPr/>
        <w:tc>
          <w:tcPr>
            <w:tcW w:w="3005" w:type="dxa"/>
            <w:tcBorders/>
            <w:shd w:fill="EEEEEE" w:val="clear"/>
            <w:vAlign w:val="center"/>
          </w:tcPr>
          <w:p>
            <w:pPr>
              <w:pStyle w:val="TableContents"/>
              <w:bidi w:val="0"/>
              <w:spacing w:before="0" w:after="283"/>
              <w:jc w:val="left"/>
              <w:rPr>
                <w:b/>
              </w:rPr>
            </w:pPr>
            <w:r>
              <w:rPr>
                <w:b/>
              </w:rPr>
              <w:t>Intangible assets, net</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EEEEEE" w:val="clear"/>
            <w:tcMar>
              <w:bottom w:w="28" w:type="dxa"/>
            </w:tcMar>
            <w:vAlign w:val="center"/>
          </w:tcPr>
          <w:p>
            <w:pPr>
              <w:pStyle w:val="TableContents"/>
              <w:bidi w:val="0"/>
              <w:spacing w:before="0" w:after="283"/>
              <w:jc w:val="right"/>
              <w:rPr/>
            </w:pPr>
            <w:r>
              <w:rPr/>
              <w:t>4,280,071</w:t>
            </w:r>
          </w:p>
        </w:tc>
        <w:tc>
          <w:tcPr>
            <w:tcW w:w="75" w:type="dxa"/>
            <w:tcBorders/>
            <w:shd w:fill="EEEEEE"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both"/>
        <w:rPr>
          <w:caps w:val="false"/>
          <w:smallCaps w:val="false"/>
        </w:rPr>
      </w:pPr>
      <w:bookmarkStart w:id="564" w:name="xdx_8A3_zKcjK2DY8fC3"/>
      <w:bookmarkEnd w:id="564"/>
      <w:r>
        <w:rPr>
          <w:caps w:val="false"/>
          <w:smallCaps w:val="false"/>
        </w:rPr>
        <w:t> </w:t>
      </w:r>
    </w:p>
    <w:p>
      <w:pPr>
        <w:pStyle w:val="TextBody"/>
        <w:shd w:fill="FFFFFF" w:val="clear"/>
        <w:bidi w:val="0"/>
        <w:spacing w:before="0" w:after="0"/>
        <w:ind w:left="0" w:right="0" w:hanging="0"/>
        <w:jc w:val="both"/>
        <w:rPr>
          <w:caps w:val="false"/>
          <w:smallCaps w:val="false"/>
        </w:rPr>
      </w:pPr>
      <w:bookmarkStart w:id="565" w:name="xdx_232_zgJQHt0buuF8"/>
      <w:bookmarkEnd w:id="565"/>
      <w:r>
        <w:rPr>
          <w:caps w:val="false"/>
          <w:smallCaps w:val="false"/>
        </w:rPr>
        <w:t> </w:t>
      </w:r>
    </w:p>
    <w:p>
      <w:pPr>
        <w:pStyle w:val="TextBody"/>
        <w:shd w:fill="FFFFFF" w:val="clear"/>
        <w:bidi w:val="0"/>
        <w:spacing w:before="0" w:after="0"/>
        <w:ind w:left="0" w:right="0" w:hanging="0"/>
        <w:jc w:val="both"/>
        <w:rPr>
          <w:caps w:val="false"/>
          <w:smallCaps w:val="false"/>
        </w:rPr>
      </w:pPr>
      <w:bookmarkStart w:id="566" w:name="xdx_234_zHTNGZ7CSaVa"/>
      <w:bookmarkEnd w:id="566"/>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F-21</w:t>
            </w:r>
            <w:bookmarkStart w:id="567" w:name="xdx_236_zvwzWPJXdg64"/>
            <w:bookmarkEnd w:id="567"/>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before="0" w:after="0"/>
        <w:ind w:left="0" w:right="0" w:hanging="0"/>
        <w:jc w:val="both"/>
        <w:rPr>
          <w:caps w:val="false"/>
          <w:smallCaps w:val="false"/>
        </w:rPr>
      </w:pPr>
      <w:bookmarkStart w:id="568" w:name="xdx_238_zO9qPb3wXkq5"/>
      <w:bookmarkEnd w:id="568"/>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69" w:name="xdx_80B_eus-gaap--AccountsPayableAndAccr"/>
      <w:bookmarkEnd w:id="569"/>
      <w:r>
        <w:rPr>
          <w:rFonts w:ascii="Times New Roman;Times;Serif" w:hAnsi="Times New Roman;Times;Serif"/>
          <w:b/>
          <w:i w:val="false"/>
          <w:caps w:val="false"/>
          <w:smallCaps w:val="false"/>
          <w:sz w:val="20"/>
        </w:rPr>
        <w:t xml:space="preserve">Note 11 – </w:t>
      </w:r>
      <w:bookmarkStart w:id="570" w:name="xdx_826_zZqHuVViU6O8"/>
      <w:bookmarkEnd w:id="570"/>
      <w:r>
        <w:rPr>
          <w:rFonts w:ascii="Times New Roman;Times;Serif" w:hAnsi="Times New Roman;Times;Serif"/>
          <w:b/>
          <w:i w:val="false"/>
          <w:caps w:val="false"/>
          <w:smallCaps w:val="false"/>
          <w:sz w:val="20"/>
        </w:rPr>
        <w:t>Other payables and accrued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2023 and 2022, other payables and accrued liabilities consisted of the following:</w:t>
      </w:r>
    </w:p>
    <w:p>
      <w:pPr>
        <w:pStyle w:val="Normal"/>
        <w:bidi w:val="0"/>
        <w:spacing w:before="0" w:after="0"/>
        <w:jc w:val="left"/>
        <w:rPr>
          <w:sz w:val="4"/>
          <w:szCs w:val="4"/>
        </w:rPr>
      </w:pPr>
      <w:r>
        <w:rPr>
          <w:sz w:val="4"/>
          <w:szCs w:val="4"/>
        </w:rPr>
      </w:r>
      <w:bookmarkStart w:id="571" w:name="xdx_88F_eus-gaap--ScheduleOfAccountsPaya"/>
      <w:bookmarkStart w:id="572" w:name="xdx_88F_eus-gaap--ScheduleOfAccountsPaya"/>
      <w:bookmarkEnd w:id="572"/>
    </w:p>
    <w:tbl>
      <w:tblPr>
        <w:tblW w:w="7633" w:type="dxa"/>
        <w:jc w:val="left"/>
        <w:tblInd w:w="0" w:type="dxa"/>
        <w:tblLayout w:type="fixed"/>
        <w:tblCellMar>
          <w:top w:w="0" w:type="dxa"/>
          <w:left w:w="0" w:type="dxa"/>
          <w:bottom w:w="0" w:type="dxa"/>
          <w:right w:w="0" w:type="dxa"/>
        </w:tblCellMar>
      </w:tblPr>
      <w:tblGrid>
        <w:gridCol w:w="5000"/>
        <w:gridCol w:w="60"/>
        <w:gridCol w:w="153"/>
        <w:gridCol w:w="1036"/>
        <w:gridCol w:w="60"/>
        <w:gridCol w:w="60"/>
        <w:gridCol w:w="153"/>
        <w:gridCol w:w="1036"/>
        <w:gridCol w:w="75"/>
      </w:tblGrid>
      <w:tr>
        <w:trPr/>
        <w:tc>
          <w:tcPr>
            <w:tcW w:w="5000" w:type="dxa"/>
            <w:tcBorders/>
            <w:vAlign w:val="center"/>
          </w:tcPr>
          <w:p>
            <w:pPr>
              <w:pStyle w:val="TableContents"/>
              <w:bidi w:val="0"/>
              <w:spacing w:before="0" w:after="283"/>
              <w:jc w:val="left"/>
              <w:rPr/>
            </w:pPr>
            <w:bookmarkStart w:id="573" w:name="xdx_8BC_zTnsHpmAW0rd"/>
            <w:bookmarkEnd w:id="573"/>
            <w:r>
              <w:rPr/>
              <w:t>Schedule of accounts payable and accrued liabilities </w:t>
            </w:r>
          </w:p>
        </w:tc>
        <w:tc>
          <w:tcPr>
            <w:tcW w:w="60" w:type="dxa"/>
            <w:tcBorders/>
            <w:vAlign w:val="center"/>
          </w:tcPr>
          <w:p>
            <w:pPr>
              <w:pStyle w:val="TableContents"/>
              <w:bidi w:val="0"/>
              <w:spacing w:before="0" w:after="283"/>
              <w:jc w:val="left"/>
              <w:rPr/>
            </w:pPr>
            <w:r>
              <w:rPr/>
              <w:t> </w:t>
            </w:r>
            <w:bookmarkStart w:id="574" w:name="xdx_49B_20230630_z0Vx0ZDRsQRh"/>
            <w:bookmarkEnd w:id="574"/>
          </w:p>
        </w:tc>
        <w:tc>
          <w:tcPr>
            <w:tcW w:w="1189"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75" w:name="xdx_49C_20220630_zXNXlP64TEH3"/>
            <w:bookmarkEnd w:id="575"/>
          </w:p>
        </w:tc>
        <w:tc>
          <w:tcPr>
            <w:tcW w:w="1189"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5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2022</w:t>
            </w:r>
          </w:p>
        </w:tc>
        <w:tc>
          <w:tcPr>
            <w:tcW w:w="75" w:type="dxa"/>
            <w:tcBorders/>
            <w:vAlign w:val="center"/>
          </w:tcPr>
          <w:p>
            <w:pPr>
              <w:pStyle w:val="TableContents"/>
              <w:bidi w:val="0"/>
              <w:spacing w:before="0" w:after="283"/>
              <w:jc w:val="left"/>
              <w:rPr/>
            </w:pPr>
            <w:r>
              <w:rPr/>
              <w:t> </w:t>
            </w:r>
            <w:bookmarkStart w:id="576" w:name="xdx_400_ecustom--AccruedPayablesForInven"/>
            <w:bookmarkEnd w:id="576"/>
          </w:p>
        </w:tc>
      </w:tr>
      <w:tr>
        <w:trPr/>
        <w:tc>
          <w:tcPr>
            <w:tcW w:w="5000" w:type="dxa"/>
            <w:tcBorders/>
            <w:shd w:fill="EEEEEE"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Accrued payables for inventory in transit</w:t>
            </w:r>
          </w:p>
        </w:tc>
        <w:tc>
          <w:tcPr>
            <w:tcW w:w="60" w:type="dxa"/>
            <w:tcBorders/>
            <w:shd w:fill="EEEEEE" w:val="clear"/>
            <w:vAlign w:val="center"/>
          </w:tcPr>
          <w:p>
            <w:pPr>
              <w:pStyle w:val="TableContents"/>
              <w:bidi w:val="0"/>
              <w:spacing w:before="0" w:after="283"/>
              <w:jc w:val="left"/>
              <w:rPr/>
            </w:pPr>
            <w:r>
              <w:rPr/>
              <w:t> </w:t>
            </w:r>
          </w:p>
        </w:tc>
        <w:tc>
          <w:tcPr>
            <w:tcW w:w="153" w:type="dxa"/>
            <w:tcBorders/>
            <w:shd w:fill="EEEEEE"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36" w:type="dxa"/>
            <w:tcBorders/>
            <w:shd w:fill="EEEEEE"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2,948,551</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3" w:type="dxa"/>
            <w:tcBorders/>
            <w:shd w:fill="EEEEEE"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36" w:type="dxa"/>
            <w:tcBorders/>
            <w:shd w:fill="EEEEEE"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4,217,941</w:t>
            </w:r>
          </w:p>
        </w:tc>
        <w:tc>
          <w:tcPr>
            <w:tcW w:w="75" w:type="dxa"/>
            <w:tcBorders/>
            <w:shd w:fill="EEEEEE" w:val="clear"/>
            <w:vAlign w:val="center"/>
          </w:tcPr>
          <w:p>
            <w:pPr>
              <w:pStyle w:val="TableContents"/>
              <w:bidi w:val="0"/>
              <w:spacing w:before="0" w:after="283"/>
              <w:jc w:val="left"/>
              <w:rPr/>
            </w:pPr>
            <w:r>
              <w:rPr/>
              <w:t> </w:t>
            </w:r>
            <w:bookmarkStart w:id="577" w:name="xdx_409_ecustom--AccruedAmazonFees_iI_zg"/>
            <w:bookmarkEnd w:id="577"/>
          </w:p>
        </w:tc>
      </w:tr>
      <w:tr>
        <w:trPr/>
        <w:tc>
          <w:tcPr>
            <w:tcW w:w="50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Accrued Amazon fees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915,319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640,467</w:t>
            </w:r>
          </w:p>
        </w:tc>
        <w:tc>
          <w:tcPr>
            <w:tcW w:w="75" w:type="dxa"/>
            <w:tcBorders/>
            <w:shd w:fill="FFFFFF" w:val="clear"/>
            <w:vAlign w:val="center"/>
          </w:tcPr>
          <w:p>
            <w:pPr>
              <w:pStyle w:val="TableContents"/>
              <w:bidi w:val="0"/>
              <w:spacing w:before="0" w:after="283"/>
              <w:jc w:val="left"/>
              <w:rPr/>
            </w:pPr>
            <w:r>
              <w:rPr/>
              <w:t> </w:t>
            </w:r>
            <w:bookmarkStart w:id="578" w:name="xdx_405_eus-gaap--SalesAndExciseTaxPayab"/>
            <w:bookmarkEnd w:id="578"/>
          </w:p>
        </w:tc>
      </w:tr>
      <w:tr>
        <w:trPr/>
        <w:tc>
          <w:tcPr>
            <w:tcW w:w="5000" w:type="dxa"/>
            <w:tcBorders/>
            <w:shd w:fill="EEEEEE"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Sales taxes payable</w:t>
            </w:r>
          </w:p>
        </w:tc>
        <w:tc>
          <w:tcPr>
            <w:tcW w:w="60" w:type="dxa"/>
            <w:tcBorders/>
            <w:shd w:fill="EEEEEE" w:val="clear"/>
            <w:vAlign w:val="center"/>
          </w:tcPr>
          <w:p>
            <w:pPr>
              <w:pStyle w:val="TableContents"/>
              <w:bidi w:val="0"/>
              <w:spacing w:before="0" w:after="283"/>
              <w:jc w:val="left"/>
              <w:rPr/>
            </w:pPr>
            <w:r>
              <w:rPr/>
              <w:t> </w:t>
            </w:r>
          </w:p>
        </w:tc>
        <w:tc>
          <w:tcPr>
            <w:tcW w:w="153" w:type="dxa"/>
            <w:tcBorders/>
            <w:shd w:fill="EEEEEE" w:val="clear"/>
            <w:vAlign w:val="center"/>
          </w:tcPr>
          <w:p>
            <w:pPr>
              <w:pStyle w:val="TableContents"/>
              <w:bidi w:val="0"/>
              <w:spacing w:before="0" w:after="283"/>
              <w:jc w:val="left"/>
              <w:rPr/>
            </w:pPr>
            <w:r>
              <w:rPr/>
              <w:t> </w:t>
            </w:r>
          </w:p>
        </w:tc>
        <w:tc>
          <w:tcPr>
            <w:tcW w:w="1036" w:type="dxa"/>
            <w:tcBorders/>
            <w:shd w:fill="EEEEEE"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448,433</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3" w:type="dxa"/>
            <w:tcBorders/>
            <w:shd w:fill="EEEEEE" w:val="clear"/>
            <w:vAlign w:val="center"/>
          </w:tcPr>
          <w:p>
            <w:pPr>
              <w:pStyle w:val="TableContents"/>
              <w:bidi w:val="0"/>
              <w:spacing w:before="0" w:after="283"/>
              <w:jc w:val="left"/>
              <w:rPr/>
            </w:pPr>
            <w:r>
              <w:rPr/>
              <w:t> </w:t>
            </w:r>
          </w:p>
        </w:tc>
        <w:tc>
          <w:tcPr>
            <w:tcW w:w="1036" w:type="dxa"/>
            <w:tcBorders/>
            <w:shd w:fill="EEEEEE"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307,152</w:t>
            </w:r>
          </w:p>
        </w:tc>
        <w:tc>
          <w:tcPr>
            <w:tcW w:w="75" w:type="dxa"/>
            <w:tcBorders/>
            <w:shd w:fill="EEEEEE" w:val="clear"/>
            <w:vAlign w:val="center"/>
          </w:tcPr>
          <w:p>
            <w:pPr>
              <w:pStyle w:val="TableContents"/>
              <w:bidi w:val="0"/>
              <w:spacing w:before="0" w:after="283"/>
              <w:jc w:val="left"/>
              <w:rPr/>
            </w:pPr>
            <w:r>
              <w:rPr/>
              <w:t> </w:t>
            </w:r>
            <w:bookmarkStart w:id="579" w:name="xdx_40C_eus-gaap--AccruedPayrollTaxesCur"/>
            <w:bookmarkEnd w:id="579"/>
          </w:p>
        </w:tc>
      </w:tr>
      <w:tr>
        <w:trPr/>
        <w:tc>
          <w:tcPr>
            <w:tcW w:w="50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Payroll liabilities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222,962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239,248</w:t>
            </w:r>
          </w:p>
        </w:tc>
        <w:tc>
          <w:tcPr>
            <w:tcW w:w="75" w:type="dxa"/>
            <w:tcBorders/>
            <w:shd w:fill="FFFFFF" w:val="clear"/>
            <w:vAlign w:val="center"/>
          </w:tcPr>
          <w:p>
            <w:pPr>
              <w:pStyle w:val="TableContents"/>
              <w:bidi w:val="0"/>
              <w:spacing w:before="0" w:after="283"/>
              <w:jc w:val="left"/>
              <w:rPr/>
            </w:pPr>
            <w:r>
              <w:rPr/>
              <w:t> </w:t>
            </w:r>
            <w:bookmarkStart w:id="580" w:name="xdx_40A_ecustom--OtherAccruedLiabilities"/>
            <w:bookmarkEnd w:id="580"/>
          </w:p>
        </w:tc>
      </w:tr>
      <w:tr>
        <w:trPr/>
        <w:tc>
          <w:tcPr>
            <w:tcW w:w="5000" w:type="dxa"/>
            <w:tcBorders/>
            <w:shd w:fill="EEEEEE"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accrued liabilities and payables</w:t>
            </w:r>
          </w:p>
        </w:tc>
        <w:tc>
          <w:tcPr>
            <w:tcW w:w="60" w:type="dxa"/>
            <w:tcBorders/>
            <w:shd w:fill="EEEEEE" w:val="clear"/>
            <w:vAlign w:val="center"/>
          </w:tcPr>
          <w:p>
            <w:pPr>
              <w:pStyle w:val="TableContents"/>
              <w:bidi w:val="0"/>
              <w:spacing w:before="0" w:after="283"/>
              <w:jc w:val="left"/>
              <w:rPr/>
            </w:pPr>
            <w:r>
              <w:rPr/>
              <w:t> </w:t>
            </w:r>
          </w:p>
        </w:tc>
        <w:tc>
          <w:tcPr>
            <w:tcW w:w="153"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036" w:type="dxa"/>
            <w:tcBorders>
              <w:bottom w:val="single" w:sz="8" w:space="0" w:color="000000"/>
            </w:tcBorders>
            <w:shd w:fill="EEEEEE"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295,802</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3"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036" w:type="dxa"/>
            <w:tcBorders>
              <w:bottom w:val="single" w:sz="8" w:space="0" w:color="000000"/>
            </w:tcBorders>
            <w:shd w:fill="EEEEEE"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510,412</w:t>
            </w:r>
          </w:p>
        </w:tc>
        <w:tc>
          <w:tcPr>
            <w:tcW w:w="75" w:type="dxa"/>
            <w:tcBorders/>
            <w:shd w:fill="EEEEEE" w:val="clear"/>
            <w:vAlign w:val="center"/>
          </w:tcPr>
          <w:p>
            <w:pPr>
              <w:pStyle w:val="TableContents"/>
              <w:bidi w:val="0"/>
              <w:spacing w:before="0" w:after="283"/>
              <w:jc w:val="left"/>
              <w:rPr/>
            </w:pPr>
            <w:r>
              <w:rPr/>
              <w:t> </w:t>
            </w:r>
          </w:p>
        </w:tc>
      </w:tr>
      <w:tr>
        <w:trPr/>
        <w:tc>
          <w:tcPr>
            <w:tcW w:w="50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581" w:name="xdx_405_eus-gaap--AccountsPayableAndOthe"/>
            <w:bookmarkEnd w:id="581"/>
          </w:p>
        </w:tc>
      </w:tr>
      <w:tr>
        <w:trPr/>
        <w:tc>
          <w:tcPr>
            <w:tcW w:w="5000" w:type="dxa"/>
            <w:tcBorders/>
            <w:shd w:fill="EEEEEE"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w:t>
            </w:r>
          </w:p>
        </w:tc>
        <w:tc>
          <w:tcPr>
            <w:tcW w:w="60" w:type="dxa"/>
            <w:tcBorders/>
            <w:shd w:fill="EEEEEE" w:val="clear"/>
            <w:vAlign w:val="center"/>
          </w:tcPr>
          <w:p>
            <w:pPr>
              <w:pStyle w:val="TableContents"/>
              <w:bidi w:val="0"/>
              <w:spacing w:before="0" w:after="283"/>
              <w:jc w:val="left"/>
              <w:rPr/>
            </w:pPr>
            <w:r>
              <w:rPr/>
              <w:t> </w:t>
            </w:r>
          </w:p>
        </w:tc>
        <w:tc>
          <w:tcPr>
            <w:tcW w:w="153" w:type="dxa"/>
            <w:tcBorders>
              <w:bottom w:val="double" w:sz="6" w:space="0" w:color="000000"/>
            </w:tcBorders>
            <w:shd w:fill="EEEEEE"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EEEEEE"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4,831,067</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3" w:type="dxa"/>
            <w:tcBorders>
              <w:bottom w:val="double" w:sz="6" w:space="0" w:color="000000"/>
            </w:tcBorders>
            <w:shd w:fill="EEEEEE"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EEEEEE"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5,915,220</w:t>
            </w:r>
          </w:p>
        </w:tc>
        <w:tc>
          <w:tcPr>
            <w:tcW w:w="75" w:type="dxa"/>
            <w:tcBorders/>
            <w:shd w:fill="EEEEEE"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controlled VIE, DHS, facilitates the Company in the process of inventory procurement. During the years ended June 30, 2023 and 2022, the Company purchased a total of $</w:t>
      </w:r>
      <w:bookmarkStart w:id="582" w:name="xdx_90F_eus-gaap--CostOfGoodsAndServices"/>
      <w:bookmarkEnd w:id="582"/>
      <w:r>
        <w:rPr>
          <w:rFonts w:ascii="Times New Roman;Times;Serif" w:hAnsi="Times New Roman;Times;Serif"/>
          <w:b w:val="false"/>
          <w:i w:val="false"/>
          <w:caps w:val="false"/>
          <w:smallCaps w:val="false"/>
          <w:sz w:val="20"/>
        </w:rPr>
        <w:t>31,385 and $</w:t>
      </w:r>
      <w:bookmarkStart w:id="583" w:name="xdx_904_eus-gaap--CostOfGoodsAndServices"/>
      <w:bookmarkEnd w:id="583"/>
      <w:r>
        <w:rPr>
          <w:rFonts w:ascii="Times New Roman;Times;Serif" w:hAnsi="Times New Roman;Times;Serif"/>
          <w:b w:val="false"/>
          <w:i w:val="false"/>
          <w:caps w:val="false"/>
          <w:smallCaps w:val="false"/>
          <w:sz w:val="20"/>
        </w:rPr>
        <w:t>378,385, respectively, in inventories from a supplier which had a payment term of 90 days with a 2% premium on the purchase price. As of June 30, 2023 and 2022, the outstanding balance included in other payables to this supplier was $</w:t>
      </w:r>
      <w:bookmarkStart w:id="584" w:name="xdx_90D_eus-gaap--AccountsPayableOtherCu"/>
      <w:bookmarkEnd w:id="584"/>
      <w:r>
        <w:rPr>
          <w:rFonts w:ascii="Times New Roman;Times;Serif" w:hAnsi="Times New Roman;Times;Serif"/>
          <w:b w:val="false"/>
          <w:i w:val="false"/>
          <w:caps w:val="false"/>
          <w:smallCaps w:val="false"/>
          <w:sz w:val="20"/>
        </w:rPr>
        <w:t>0 and $</w:t>
      </w:r>
      <w:bookmarkStart w:id="585" w:name="xdx_90D_eus-gaap--AccountsPayableOtherCu"/>
      <w:bookmarkEnd w:id="585"/>
      <w:r>
        <w:rPr>
          <w:rFonts w:ascii="Times New Roman;Times;Serif" w:hAnsi="Times New Roman;Times;Serif"/>
          <w:b w:val="false"/>
          <w:i w:val="false"/>
          <w:caps w:val="false"/>
          <w:smallCaps w:val="false"/>
          <w:sz w:val="20"/>
        </w:rPr>
        <w:t>378,385, which was presented as financing cash flows from short term loans on the statement of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86" w:name="xdx_80D_eus-gaap--DebtDisclosureTextBloc"/>
      <w:bookmarkEnd w:id="586"/>
      <w:r>
        <w:rPr>
          <w:rFonts w:ascii="Times New Roman;Times;Serif" w:hAnsi="Times New Roman;Times;Serif"/>
          <w:b/>
          <w:i w:val="false"/>
          <w:caps w:val="false"/>
          <w:smallCaps w:val="false"/>
          <w:sz w:val="20"/>
        </w:rPr>
        <w:t xml:space="preserve">Note 12 – </w:t>
      </w:r>
      <w:bookmarkStart w:id="587" w:name="xdx_822_zCOu1eHgpxh1"/>
      <w:bookmarkEnd w:id="587"/>
      <w:r>
        <w:rPr>
          <w:rFonts w:ascii="Times New Roman;Times;Serif" w:hAnsi="Times New Roman;Times;Serif"/>
          <w:b/>
          <w:i w:val="false"/>
          <w:caps w:val="false"/>
          <w:smallCaps w:val="false"/>
          <w:sz w:val="20"/>
        </w:rPr>
        <w:t>Loans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Revolving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3, 2019, the Company entered into an agreement with WFC Fund LLC (“WFC”) for a revolving loan of up to $2,000,000. The revolving loan bore interest equal to the prime rate plus 4.25% per annum on the outstanding amount. On May 26, 2020, the Loan and Security Agreement was amended and restated as a Receivable Purchase Agreement (the “Original RPA”). On November 16, 2020, the Original RPA was further amended and restated (the “Restated RPA”) to increase the credit limit of the revolving credit facility from $2,000,000 to $3,000,000. The Restated RPA bore a discount rate of 3.055555%, subject to a rebate of 0.0277% per day. This revolving credit facility was secured by all of the Company’s assets and guaranteed by Chenlong Tan, the CEO and one of the Company’s major shareholders and founders. Pursuant to the terms of the agreement, all purchases of accounts receivable were without recourse to the Company, and WFC assumed the risk of nonpayment of the accounts receivable due to a customer’s financial inability to pay the accounts receivable or the customer’s insolvency but not the risk of non-payment of the accounts receivable for any other reason. The Company was obligated to collect the accounts receivable and to repurchase or pay back the amount drawn down if the accounts receivable were not collected.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September 30, 2021, the Company terminated the Restated RPA and paid off the balance due to WFC.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2023 and 2022, the outstanding balance due under the RPA was $</w:t>
      </w:r>
      <w:bookmarkStart w:id="588" w:name="xdx_90A_eus-gaap--LineOfCredit_iI_pp0p0_"/>
      <w:bookmarkEnd w:id="588"/>
      <w:r>
        <w:rPr>
          <w:rFonts w:ascii="Times New Roman;Times;Serif" w:hAnsi="Times New Roman;Times;Serif"/>
          <w:b w:val="false"/>
          <w:i w:val="false"/>
          <w:caps w:val="false"/>
          <w:smallCaps w:val="false"/>
          <w:sz w:val="20"/>
        </w:rPr>
        <w:t>0 and $</w:t>
      </w:r>
      <w:bookmarkStart w:id="589" w:name="xdx_908_eus-gaap--LineOfCredit_iI_pp0p0_"/>
      <w:bookmarkEnd w:id="589"/>
      <w:r>
        <w:rPr>
          <w:rFonts w:ascii="Times New Roman;Times;Serif" w:hAnsi="Times New Roman;Times;Serif"/>
          <w:b w:val="false"/>
          <w:i w:val="false"/>
          <w:caps w:val="false"/>
          <w:smallCaps w:val="false"/>
          <w:sz w:val="20"/>
        </w:rPr>
        <w:t>0,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Long-term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SBA loan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18, 2020, the Company entered into an agreement with the U.S. Small Business Administration (“SBA”) for a loan of $500,000 under Section 7(b) of the Small Business Act pursuant to which we issued a promissory note (the “SBA Note”) to the SBA. The SBA Note bears interest at the rate of 3.75% per annum and matures 30 years from the date of the SBA Note. Monthly installment payments, including principal and interest, will begin twelve months from the date of the SBA Note. During the quarter ended June 30, 2022, the Company paid off the SBA Note, including accrued interest expense of $</w:t>
      </w:r>
      <w:bookmarkStart w:id="590" w:name="xdx_90A_eus-gaap--InterestPaid_pp0p0_c20"/>
      <w:bookmarkEnd w:id="590"/>
      <w:r>
        <w:rPr>
          <w:rFonts w:ascii="Times New Roman;Times;Serif" w:hAnsi="Times New Roman;Times;Serif"/>
          <w:b w:val="false"/>
          <w:i w:val="false"/>
          <w:caps w:val="false"/>
          <w:smallCaps w:val="false"/>
          <w:sz w:val="20"/>
        </w:rPr>
        <w:t>39,237. As of June 30, 2023 and 2022, the outstanding balance of the SBA Note was $</w:t>
      </w:r>
      <w:bookmarkStart w:id="591" w:name="xdx_903_eus-gaap--NotesPayable_iI_pp0p0_"/>
      <w:bookmarkEnd w:id="591"/>
      <w:r>
        <w:rPr>
          <w:rFonts w:ascii="Times New Roman;Times;Serif" w:hAnsi="Times New Roman;Times;Serif"/>
          <w:b w:val="false"/>
          <w:i w:val="false"/>
          <w:caps w:val="false"/>
          <w:smallCaps w:val="false"/>
          <w:sz w:val="20"/>
        </w:rPr>
        <w:t>0 and $</w:t>
      </w:r>
      <w:bookmarkStart w:id="592" w:name="xdx_90B_eus-gaap--NotesPayable_iI_pp0p0_"/>
      <w:bookmarkEnd w:id="592"/>
      <w:r>
        <w:rPr>
          <w:rFonts w:ascii="Times New Roman;Times;Serif" w:hAnsi="Times New Roman;Times;Serif"/>
          <w:b w:val="false"/>
          <w:i w:val="false"/>
          <w:caps w:val="false"/>
          <w:smallCaps w:val="false"/>
          <w:sz w:val="20"/>
        </w:rPr>
        <w:t>0,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Asset-based revolving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12, 2021, the Company entered to a Credit Agreement with JPMorgan Chase Bank, N.A., as administrative agent, issuing bank and swingline lender, for an asset-based revolving loan (“ABL”) of up to $25 million with key terms listed as follows:</w:t>
      </w:r>
    </w:p>
    <w:p>
      <w:pPr>
        <w:pStyle w:val="TextBody"/>
        <w:bidi w:val="0"/>
        <w:spacing w:before="0" w:after="0"/>
        <w:ind w:left="0" w:right="0" w:hanging="0"/>
        <w:jc w:val="left"/>
        <w:rPr>
          <w:caps w:val="false"/>
          <w:smallCaps w:val="false"/>
        </w:rPr>
      </w:pPr>
      <w:r>
        <w:rPr>
          <w:caps w:val="false"/>
          <w:smallCaps w:val="false"/>
        </w:rPr>
        <w:t> </w:t>
      </w:r>
    </w:p>
    <w:tbl>
      <w:tblPr>
        <w:tblW w:w="3070" w:type="dxa"/>
        <w:jc w:val="left"/>
        <w:tblInd w:w="0" w:type="dxa"/>
        <w:tblLayout w:type="fixed"/>
        <w:tblCellMar>
          <w:top w:w="0" w:type="dxa"/>
          <w:left w:w="0" w:type="dxa"/>
          <w:bottom w:w="0" w:type="dxa"/>
          <w:right w:w="0" w:type="dxa"/>
        </w:tblCellMar>
      </w:tblPr>
      <w:tblGrid>
        <w:gridCol w:w="75"/>
        <w:gridCol w:w="95"/>
        <w:gridCol w:w="2900"/>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Borrowing base equal to the sum of</w:t>
            </w:r>
          </w:p>
        </w:tc>
      </w:tr>
    </w:tbl>
    <w:tbl>
      <w:tblPr>
        <w:tblW w:w="9925" w:type="dxa"/>
        <w:jc w:val="left"/>
        <w:tblInd w:w="0" w:type="dxa"/>
        <w:tblLayout w:type="fixed"/>
        <w:tblCellMar>
          <w:top w:w="0" w:type="dxa"/>
          <w:left w:w="0" w:type="dxa"/>
          <w:bottom w:w="0" w:type="dxa"/>
          <w:right w:w="0" w:type="dxa"/>
        </w:tblCellMar>
      </w:tblPr>
      <w:tblGrid>
        <w:gridCol w:w="75"/>
        <w:gridCol w:w="170"/>
        <w:gridCol w:w="96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Wingdings" w:hAnsi="Wingdings"/>
                <w:sz w:val="20"/>
              </w:rPr>
            </w:pPr>
            <w:r>
              <w:rPr>
                <w:rFonts w:ascii="Wingdings" w:hAnsi="Wingdings"/>
                <w:sz w:val="20"/>
              </w:rPr>
              <w:t>Ø</w:t>
            </w:r>
          </w:p>
        </w:tc>
        <w:tc>
          <w:tcPr>
            <w:tcW w:w="96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Up to 90% of eligible credit card receivables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Wingdings" w:hAnsi="Wingdings"/>
                <w:sz w:val="20"/>
              </w:rPr>
            </w:pPr>
            <w:r>
              <w:rPr>
                <w:rFonts w:ascii="Wingdings" w:hAnsi="Wingdings"/>
                <w:sz w:val="20"/>
              </w:rPr>
              <w:t>Ø</w:t>
            </w:r>
          </w:p>
        </w:tc>
        <w:tc>
          <w:tcPr>
            <w:tcW w:w="96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Up to 85% of eligible trade accounts receivable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Wingdings" w:hAnsi="Wingdings"/>
                <w:sz w:val="20"/>
              </w:rPr>
            </w:pPr>
            <w:r>
              <w:rPr>
                <w:rFonts w:ascii="Wingdings" w:hAnsi="Wingdings"/>
                <w:sz w:val="20"/>
              </w:rPr>
              <w:t>Ø</w:t>
            </w:r>
          </w:p>
        </w:tc>
        <w:tc>
          <w:tcPr>
            <w:tcW w:w="96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Up to the lesser of (i) 65% of cost of eligible inventory or (ii) 85% of net orderly liquidation value of eligible inventory</w:t>
            </w:r>
          </w:p>
        </w:tc>
      </w:tr>
    </w:tbl>
    <w:tbl>
      <w:tblPr>
        <w:tblW w:w="7495" w:type="dxa"/>
        <w:jc w:val="left"/>
        <w:tblInd w:w="0" w:type="dxa"/>
        <w:tblLayout w:type="fixed"/>
        <w:tblCellMar>
          <w:top w:w="0" w:type="dxa"/>
          <w:left w:w="0" w:type="dxa"/>
          <w:bottom w:w="0" w:type="dxa"/>
          <w:right w:w="0" w:type="dxa"/>
        </w:tblCellMar>
      </w:tblPr>
      <w:tblGrid>
        <w:gridCol w:w="75"/>
        <w:gridCol w:w="95"/>
        <w:gridCol w:w="732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rates of between LIBOR plus 2% and LIBOR plus 2.25% depending on utilization</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Undrawn fee of between 0.25% and 0.375% depending on utilization</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Maturity Date of </w:t>
            </w:r>
            <w:bookmarkStart w:id="593" w:name="xdx_90C_eus-gaap--LineOfCreditFacilityEx"/>
            <w:bookmarkEnd w:id="593"/>
            <w:r>
              <w:rPr>
                <w:rFonts w:ascii="Times New Roman;Times;Serif" w:hAnsi="Times New Roman;Times;Serif"/>
                <w:sz w:val="20"/>
              </w:rPr>
              <w:t>November 12,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594" w:name="xdx_23A_zHWqZAq9gap3"/>
      <w:bookmarkEnd w:id="594"/>
      <w:r>
        <w:rPr>
          <w:caps w:val="false"/>
          <w:smallCaps w:val="false"/>
        </w:rPr>
        <w:t> </w:t>
      </w:r>
    </w:p>
    <w:p>
      <w:pPr>
        <w:pStyle w:val="TextBody"/>
        <w:bidi w:val="0"/>
        <w:spacing w:before="0" w:after="0"/>
        <w:ind w:left="0" w:right="0" w:hanging="0"/>
        <w:jc w:val="left"/>
        <w:rPr>
          <w:caps w:val="false"/>
          <w:smallCaps w:val="false"/>
        </w:rPr>
      </w:pPr>
      <w:bookmarkStart w:id="595" w:name="xdx_238_zzS4VycVWQ0l"/>
      <w:bookmarkEnd w:id="595"/>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F-22</w:t>
            </w:r>
            <w:bookmarkStart w:id="596" w:name="xdx_234_zP7ZYKzAjtvb"/>
            <w:bookmarkEnd w:id="596"/>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caps w:val="false"/>
          <w:smallCaps w:val="false"/>
        </w:rPr>
      </w:pPr>
      <w:bookmarkStart w:id="597" w:name="xdx_23E_zK8vc3pcHgV3"/>
      <w:bookmarkEnd w:id="59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ABL includes an accordion feature that allows the Company to borrow up to an additional $25.0 million. To secure complete payment and performance of the secured obligations, the Company granted a security interest in all of its right, title and interest in, to and under all of the Company’s assets as collateral to the ABL. Upon closing of the ABL, the Company paid $</w:t>
      </w:r>
      <w:bookmarkStart w:id="598" w:name="xdx_90D_eus-gaap--PaymentsOfFinancingCos"/>
      <w:bookmarkEnd w:id="598"/>
      <w:r>
        <w:rPr>
          <w:rFonts w:ascii="Times New Roman;Times;Serif" w:hAnsi="Times New Roman;Times;Serif"/>
          <w:b w:val="false"/>
          <w:i w:val="false"/>
          <w:caps w:val="false"/>
          <w:smallCaps w:val="false"/>
          <w:sz w:val="20"/>
        </w:rPr>
        <w:t xml:space="preserve">796,035 financing fees including 2% of $25.0 million or $500,000 paid to its financial advisor. The financing fees are recorded as debt discount and to be amortized over three years as interest expenses, the term of the ABL.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is a summary of the interest expense recorded for the years ended June 30, 2023 and 2022:</w:t>
      </w:r>
    </w:p>
    <w:p>
      <w:pPr>
        <w:pStyle w:val="Normal"/>
        <w:bidi w:val="0"/>
        <w:spacing w:before="0" w:after="0"/>
        <w:jc w:val="left"/>
        <w:rPr>
          <w:sz w:val="4"/>
          <w:szCs w:val="4"/>
        </w:rPr>
      </w:pPr>
      <w:r>
        <w:rPr>
          <w:sz w:val="4"/>
          <w:szCs w:val="4"/>
        </w:rPr>
      </w:r>
      <w:bookmarkStart w:id="599" w:name="xdx_880_eus-gaap--InterestIncomeAndInter"/>
      <w:bookmarkStart w:id="600" w:name="xdx_880_eus-gaap--InterestIncomeAndInter"/>
      <w:bookmarkEnd w:id="600"/>
    </w:p>
    <w:tbl>
      <w:tblPr>
        <w:tblW w:w="5680" w:type="dxa"/>
        <w:jc w:val="left"/>
        <w:tblInd w:w="0" w:type="dxa"/>
        <w:tblLayout w:type="fixed"/>
        <w:tblCellMar>
          <w:top w:w="0" w:type="dxa"/>
          <w:left w:w="0" w:type="dxa"/>
          <w:bottom w:w="0" w:type="dxa"/>
          <w:right w:w="0" w:type="dxa"/>
        </w:tblCellMar>
      </w:tblPr>
      <w:tblGrid>
        <w:gridCol w:w="3545"/>
        <w:gridCol w:w="60"/>
        <w:gridCol w:w="140"/>
        <w:gridCol w:w="800"/>
        <w:gridCol w:w="60"/>
        <w:gridCol w:w="60"/>
        <w:gridCol w:w="140"/>
        <w:gridCol w:w="800"/>
        <w:gridCol w:w="75"/>
      </w:tblGrid>
      <w:tr>
        <w:trPr/>
        <w:tc>
          <w:tcPr>
            <w:tcW w:w="3545" w:type="dxa"/>
            <w:tcBorders/>
            <w:vAlign w:val="center"/>
          </w:tcPr>
          <w:p>
            <w:pPr>
              <w:pStyle w:val="TableContents"/>
              <w:bidi w:val="0"/>
              <w:spacing w:before="0" w:after="283"/>
              <w:jc w:val="left"/>
              <w:rPr/>
            </w:pPr>
            <w:bookmarkStart w:id="601" w:name="xdx_8B2_zFATYFEN7Pr5"/>
            <w:bookmarkEnd w:id="601"/>
            <w:r>
              <w:rPr/>
              <w:t>Schedule of interest on loans payable</w:t>
            </w:r>
          </w:p>
        </w:tc>
        <w:tc>
          <w:tcPr>
            <w:tcW w:w="60" w:type="dxa"/>
            <w:tcBorders/>
            <w:vAlign w:val="center"/>
          </w:tcPr>
          <w:p>
            <w:pPr>
              <w:pStyle w:val="TableContents"/>
              <w:bidi w:val="0"/>
              <w:spacing w:before="0" w:after="283"/>
              <w:jc w:val="left"/>
              <w:rPr/>
            </w:pPr>
            <w:r>
              <w:rPr/>
              <w:t> </w:t>
            </w:r>
            <w:bookmarkStart w:id="602" w:name="xdx_491_20220701__20230630_zXcdbJ7NdKMa"/>
            <w:bookmarkEnd w:id="602"/>
          </w:p>
        </w:tc>
        <w:tc>
          <w:tcPr>
            <w:tcW w:w="9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03" w:name="xdx_497_20210701__20220630_zZabvZPBwqt5"/>
            <w:bookmarkEnd w:id="603"/>
          </w:p>
        </w:tc>
        <w:tc>
          <w:tcPr>
            <w:tcW w:w="94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3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bookmarkStart w:id="604" w:name="xdx_40B_ecustom--AccruedInterestExpensed"/>
            <w:bookmarkEnd w:id="604"/>
          </w:p>
        </w:tc>
      </w:tr>
      <w:tr>
        <w:trPr/>
        <w:tc>
          <w:tcPr>
            <w:tcW w:w="3545" w:type="dxa"/>
            <w:tcBorders/>
            <w:shd w:fill="EEEEEE" w:val="clear"/>
            <w:vAlign w:val="center"/>
          </w:tcPr>
          <w:p>
            <w:pPr>
              <w:pStyle w:val="TableContents"/>
              <w:bidi w:val="0"/>
              <w:spacing w:before="0" w:after="283"/>
              <w:jc w:val="left"/>
              <w:rPr/>
            </w:pPr>
            <w:r>
              <w:rPr/>
              <w:t>Accrued interest</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800" w:type="dxa"/>
            <w:tcBorders/>
            <w:shd w:fill="EEEEEE" w:val="clear"/>
            <w:vAlign w:val="center"/>
          </w:tcPr>
          <w:p>
            <w:pPr>
              <w:pStyle w:val="TableContents"/>
              <w:bidi w:val="0"/>
              <w:spacing w:before="0" w:after="283"/>
              <w:jc w:val="right"/>
              <w:rPr/>
            </w:pPr>
            <w:r>
              <w:rPr/>
              <w:t>670,924</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800" w:type="dxa"/>
            <w:tcBorders/>
            <w:shd w:fill="EEEEEE" w:val="clear"/>
            <w:vAlign w:val="center"/>
          </w:tcPr>
          <w:p>
            <w:pPr>
              <w:pStyle w:val="TableContents"/>
              <w:bidi w:val="0"/>
              <w:spacing w:before="0" w:after="283"/>
              <w:jc w:val="right"/>
              <w:rPr/>
            </w:pPr>
            <w:r>
              <w:rPr/>
              <w:t>159,256</w:t>
            </w:r>
          </w:p>
        </w:tc>
        <w:tc>
          <w:tcPr>
            <w:tcW w:w="75" w:type="dxa"/>
            <w:tcBorders/>
            <w:shd w:fill="EEEEEE" w:val="clear"/>
            <w:vAlign w:val="center"/>
          </w:tcPr>
          <w:p>
            <w:pPr>
              <w:pStyle w:val="TableContents"/>
              <w:bidi w:val="0"/>
              <w:spacing w:before="0" w:after="283"/>
              <w:jc w:val="left"/>
              <w:rPr/>
            </w:pPr>
            <w:r>
              <w:rPr/>
              <w:t> </w:t>
            </w:r>
            <w:bookmarkStart w:id="605" w:name="xdx_400_ecustom--CreditUtilizationFees_m"/>
            <w:bookmarkEnd w:id="605"/>
          </w:p>
        </w:tc>
      </w:tr>
      <w:tr>
        <w:trPr/>
        <w:tc>
          <w:tcPr>
            <w:tcW w:w="3545" w:type="dxa"/>
            <w:tcBorders/>
            <w:shd w:fill="FFFFFF" w:val="clear"/>
            <w:vAlign w:val="center"/>
          </w:tcPr>
          <w:p>
            <w:pPr>
              <w:pStyle w:val="TableContents"/>
              <w:bidi w:val="0"/>
              <w:spacing w:before="0" w:after="283"/>
              <w:jc w:val="left"/>
              <w:rPr/>
            </w:pPr>
            <w:r>
              <w:rPr/>
              <w:t>Credit utilization fees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43,931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23,287</w:t>
            </w:r>
          </w:p>
        </w:tc>
        <w:tc>
          <w:tcPr>
            <w:tcW w:w="75" w:type="dxa"/>
            <w:tcBorders/>
            <w:shd w:fill="FFFFFF" w:val="clear"/>
            <w:vAlign w:val="center"/>
          </w:tcPr>
          <w:p>
            <w:pPr>
              <w:pStyle w:val="TableContents"/>
              <w:bidi w:val="0"/>
              <w:spacing w:before="0" w:after="283"/>
              <w:jc w:val="left"/>
              <w:rPr/>
            </w:pPr>
            <w:r>
              <w:rPr/>
              <w:t> </w:t>
            </w:r>
            <w:bookmarkStart w:id="606" w:name="xdx_402_eus-gaap--AmortizationOfFinancin"/>
            <w:bookmarkEnd w:id="606"/>
          </w:p>
        </w:tc>
      </w:tr>
      <w:tr>
        <w:trPr/>
        <w:tc>
          <w:tcPr>
            <w:tcW w:w="3545" w:type="dxa"/>
            <w:tcBorders/>
            <w:shd w:fill="EEEEEE" w:val="clear"/>
            <w:vAlign w:val="center"/>
          </w:tcPr>
          <w:p>
            <w:pPr>
              <w:pStyle w:val="TableContents"/>
              <w:bidi w:val="0"/>
              <w:spacing w:before="0" w:after="283"/>
              <w:jc w:val="left"/>
              <w:rPr/>
            </w:pPr>
            <w:r>
              <w:rPr/>
              <w:t>Amortization of debt discount</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EEEEEE" w:val="clear"/>
            <w:tcMar>
              <w:bottom w:w="28" w:type="dxa"/>
            </w:tcMar>
            <w:vAlign w:val="center"/>
          </w:tcPr>
          <w:p>
            <w:pPr>
              <w:pStyle w:val="TableContents"/>
              <w:bidi w:val="0"/>
              <w:spacing w:before="0" w:after="283"/>
              <w:jc w:val="right"/>
              <w:rPr/>
            </w:pPr>
            <w:r>
              <w:rPr/>
              <w:t>265,218</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EEEEEE" w:val="clear"/>
            <w:tcMar>
              <w:bottom w:w="28" w:type="dxa"/>
            </w:tcMar>
            <w:vAlign w:val="center"/>
          </w:tcPr>
          <w:p>
            <w:pPr>
              <w:pStyle w:val="TableContents"/>
              <w:bidi w:val="0"/>
              <w:spacing w:before="0" w:after="283"/>
              <w:jc w:val="right"/>
              <w:rPr/>
            </w:pPr>
            <w:r>
              <w:rPr/>
              <w:t>176,812</w:t>
            </w:r>
          </w:p>
        </w:tc>
        <w:tc>
          <w:tcPr>
            <w:tcW w:w="75" w:type="dxa"/>
            <w:tcBorders/>
            <w:shd w:fill="EEEEEE" w:val="clear"/>
            <w:vAlign w:val="center"/>
          </w:tcPr>
          <w:p>
            <w:pPr>
              <w:pStyle w:val="TableContents"/>
              <w:bidi w:val="0"/>
              <w:spacing w:before="0" w:after="283"/>
              <w:jc w:val="left"/>
              <w:rPr/>
            </w:pPr>
            <w:r>
              <w:rPr/>
              <w:t> </w:t>
            </w:r>
            <w:bookmarkStart w:id="607" w:name="xdx_406_eus-gaap--InterestExpense_mtCzbt"/>
            <w:bookmarkEnd w:id="607"/>
          </w:p>
        </w:tc>
      </w:tr>
      <w:tr>
        <w:trPr/>
        <w:tc>
          <w:tcPr>
            <w:tcW w:w="3545"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980,075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359,355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2023, the outstanding amount of the revolving loan payable, net of debt discount and including interest payable was $</w:t>
      </w:r>
      <w:bookmarkStart w:id="608" w:name="xdx_901_eus-gaap--InterestPayableCurrent"/>
      <w:bookmarkEnd w:id="608"/>
      <w:r>
        <w:rPr>
          <w:rFonts w:ascii="Times New Roman;Times;Serif" w:hAnsi="Times New Roman;Times;Serif"/>
          <w:b w:val="false"/>
          <w:i w:val="false"/>
          <w:caps w:val="false"/>
          <w:smallCaps w:val="false"/>
          <w:sz w:val="20"/>
        </w:rPr>
        <w:t>9,791,191 and $</w:t>
      </w:r>
      <w:bookmarkStart w:id="609" w:name="xdx_90B_eus-gaap--LineOfCredit_iI_pp0p0_"/>
      <w:bookmarkEnd w:id="609"/>
      <w:r>
        <w:rPr>
          <w:rFonts w:ascii="Times New Roman;Times;Serif" w:hAnsi="Times New Roman;Times;Serif"/>
          <w:b w:val="false"/>
          <w:i w:val="false"/>
          <w:caps w:val="false"/>
          <w:smallCaps w:val="false"/>
          <w:sz w:val="20"/>
        </w:rPr>
        <w:t>12,314,627, respectively.</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2022, the Company entered into a second amendment to the credit agreement and consent (the “Second Amendment to the Credit Agreement”), originally dated November 12, 2021, as amended, with JPMorgan Chase Bank, N.A., as administrative agent and lender (“JPMorgan”). The Company entered into the Second Amendment to the Credit Agreement primarily for the purpose of changing the interest rate repayment calculations from LIBOR to the Secured Overnight Financing Rate, or SOFR, which adjustment had originally been anticipated under the terms of the original Credit Agreement. In addition, two of the negative covenants set forth in the original credit agreement were amended in order to (i) adjust the definition of “Covenant Testing Trigger Period” to increase the required cash availability from $3,000,000 to $4,000,000, or 10% of the aggregate revolving commitment for the preceding 30 days, and (ii) require that the Company will not and will not permit any of its subsidiaries, after reasonable due diligence and due inquiry, to knowingly sell their products, inventory or services directly to any commercial businesses that grow or cultivate cannabis; it being acknowledged, however, that the Company does not generally conduct due diligence on its individual retail customers.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11, 2022, the Company and JPMorgan entered into a default waiver and consent agreement (the “Waiver Letter”) pursuant to which the parties recognized that the Company was in default on its failure to satisfy the minimum Excess Availability requirement of $7,500,000, as defined in the Credit Agreement, and deliver a certificate to JPMorgan accurately reflecting the Excess Availability (together, the “Existing Defaults”). Under the terms of the Waiver Letter, JPMorgan agreed to waive the right to enforce an event of default based on the aforementioned Existing Defaults. As of June 30, 2023, the Company was in compliance with the ABL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Promissory note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15, 2022, as part of the consideration for acquisition of Anivia, the Company issued a two-year unsecured 6% subordinated promissory note, payable in equal semi-annual installments commencing August 15, 2022 (the “Purchase Note”). The principal amount of the Purchase Note was $</w:t>
      </w:r>
      <w:bookmarkStart w:id="610" w:name="xdx_90A_eus-gaap--DebtInstrumentFaceAmou"/>
      <w:bookmarkEnd w:id="610"/>
      <w:r>
        <w:rPr>
          <w:rFonts w:ascii="Times New Roman;Times;Serif" w:hAnsi="Times New Roman;Times;Serif"/>
          <w:b w:val="false"/>
          <w:i w:val="false"/>
          <w:caps w:val="false"/>
          <w:smallCaps w:val="false"/>
          <w:sz w:val="20"/>
        </w:rPr>
        <w:t>3.5 million with a fair value of $</w:t>
      </w:r>
      <w:bookmarkStart w:id="611" w:name="xdx_90A_eus-gaap--DebtInstrumentFairValu"/>
      <w:bookmarkEnd w:id="611"/>
      <w:r>
        <w:rPr>
          <w:rFonts w:ascii="Times New Roman;Times;Serif" w:hAnsi="Times New Roman;Times;Serif"/>
          <w:b w:val="false"/>
          <w:i w:val="false"/>
          <w:caps w:val="false"/>
          <w:smallCaps w:val="false"/>
          <w:sz w:val="20"/>
        </w:rPr>
        <w:t>3.6 million as of February 15, 2022. In October 2022, the Company paid the first installment of $</w:t>
      </w:r>
      <w:bookmarkStart w:id="612" w:name="xdx_90B_eus-gaap--RepaymentsOfDebt_pp0p0"/>
      <w:bookmarkEnd w:id="612"/>
      <w:r>
        <w:rPr>
          <w:rFonts w:ascii="Times New Roman;Times;Serif" w:hAnsi="Times New Roman;Times;Serif"/>
          <w:b w:val="false"/>
          <w:i w:val="false"/>
          <w:caps w:val="false"/>
          <w:smallCaps w:val="false"/>
          <w:sz w:val="20"/>
        </w:rPr>
        <w:t>875,000. And in February 2023, the Company paid the second installment of $</w:t>
      </w:r>
      <w:bookmarkStart w:id="613" w:name="xdx_90A_eus-gaap--RepaymentsOfDebt_pp0p0"/>
      <w:bookmarkEnd w:id="613"/>
      <w:r>
        <w:rPr>
          <w:rFonts w:ascii="Times New Roman;Times;Serif" w:hAnsi="Times New Roman;Times;Serif"/>
          <w:b w:val="false"/>
          <w:i w:val="false"/>
          <w:caps w:val="false"/>
          <w:smallCaps w:val="false"/>
          <w:sz w:val="20"/>
        </w:rPr>
        <w:t>875,000. For the year ended June 30, 2023, the Company recorded accrued interest of $</w:t>
      </w:r>
      <w:bookmarkStart w:id="614" w:name="xdx_90C_eus-gaap--InterestExpenseDebt_pp"/>
      <w:bookmarkEnd w:id="614"/>
      <w:r>
        <w:rPr>
          <w:rFonts w:ascii="Times New Roman;Times;Serif" w:hAnsi="Times New Roman;Times;Serif"/>
          <w:b w:val="false"/>
          <w:i w:val="false"/>
          <w:caps w:val="false"/>
          <w:smallCaps w:val="false"/>
          <w:sz w:val="20"/>
        </w:rPr>
        <w:t>157,500 and amortization of note premium of $</w:t>
      </w:r>
      <w:bookmarkStart w:id="615" w:name="xdx_903_eus-gaap--AmortizationOfDebtDisc"/>
      <w:bookmarkEnd w:id="615"/>
      <w:r>
        <w:rPr>
          <w:rFonts w:ascii="Times New Roman;Times;Serif" w:hAnsi="Times New Roman;Times;Serif"/>
          <w:b w:val="false"/>
          <w:i w:val="false"/>
          <w:caps w:val="false"/>
          <w:smallCaps w:val="false"/>
          <w:sz w:val="20"/>
        </w:rPr>
        <w:t>50,418. As of June 30, 2023, including $</w:t>
      </w:r>
      <w:bookmarkStart w:id="616" w:name="xdx_90C_eus-gaap--InterestPayableCurrent"/>
      <w:bookmarkEnd w:id="616"/>
      <w:r>
        <w:rPr>
          <w:rFonts w:ascii="Times New Roman;Times;Serif" w:hAnsi="Times New Roman;Times;Serif"/>
          <w:b w:val="false"/>
          <w:i w:val="false"/>
          <w:caps w:val="false"/>
          <w:smallCaps w:val="false"/>
          <w:sz w:val="20"/>
        </w:rPr>
        <w:t>236,250 of accrued interest and $</w:t>
      </w:r>
      <w:bookmarkStart w:id="617" w:name="xdx_905_eus-gaap--DebtInstrumentUnamorti"/>
      <w:bookmarkEnd w:id="617"/>
      <w:r>
        <w:rPr>
          <w:rFonts w:ascii="Times New Roman;Times;Serif" w:hAnsi="Times New Roman;Times;Serif"/>
          <w:b w:val="false"/>
          <w:i w:val="false"/>
          <w:caps w:val="false"/>
          <w:smallCaps w:val="false"/>
          <w:sz w:val="20"/>
        </w:rPr>
        <w:t>31,602 of unamortized premium, the total outstanding balance of the Purchase Note was $</w:t>
      </w:r>
      <w:bookmarkStart w:id="618" w:name="xdx_90F_eus-gaap--LongTermNotesPayable_p"/>
      <w:bookmarkEnd w:id="618"/>
      <w:r>
        <w:rPr>
          <w:rFonts w:ascii="Times New Roman;Times;Serif" w:hAnsi="Times New Roman;Times;Serif"/>
          <w:b w:val="false"/>
          <w:i w:val="false"/>
          <w:caps w:val="false"/>
          <w:smallCaps w:val="false"/>
          <w:sz w:val="20"/>
        </w:rPr>
        <w:t>2,017,852, which is presented on the consolidated balance sheet as a current portion of $</w:t>
      </w:r>
      <w:bookmarkStart w:id="619" w:name="xdx_909_eus-gaap--LongTermDebtCurrent_iI"/>
      <w:bookmarkEnd w:id="619"/>
      <w:r>
        <w:rPr>
          <w:rFonts w:ascii="Times New Roman;Times;Serif" w:hAnsi="Times New Roman;Times;Serif"/>
          <w:b w:val="false"/>
          <w:i w:val="false"/>
          <w:caps w:val="false"/>
          <w:smallCaps w:val="false"/>
          <w:sz w:val="20"/>
        </w:rPr>
        <w:t>2,017,852 and a non-current portion of $</w:t>
      </w:r>
      <w:bookmarkStart w:id="620" w:name="xdx_906_eus-gaap--LongTermDebtNoncurrent"/>
      <w:bookmarkEnd w:id="620"/>
      <w:r>
        <w:rPr>
          <w:rFonts w:ascii="Times New Roman;Times;Serif" w:hAnsi="Times New Roman;Times;Serif"/>
          <w:b w:val="false"/>
          <w:i w:val="false"/>
          <w:caps w:val="false"/>
          <w:smallCaps w:val="false"/>
          <w:sz w:val="20"/>
        </w:rPr>
        <w:t>0. For the year ended June 30, 2022, the Company recorded accrued interest of $</w:t>
      </w:r>
      <w:bookmarkStart w:id="621" w:name="xdx_908_eus-gaap--InterestExpenseDebt_pp"/>
      <w:bookmarkEnd w:id="621"/>
      <w:r>
        <w:rPr>
          <w:rFonts w:ascii="Times New Roman;Times;Serif" w:hAnsi="Times New Roman;Times;Serif"/>
          <w:b w:val="false"/>
          <w:i w:val="false"/>
          <w:caps w:val="false"/>
          <w:smallCaps w:val="false"/>
          <w:sz w:val="20"/>
        </w:rPr>
        <w:t>78,750 and amortization of note premium of $</w:t>
      </w:r>
      <w:bookmarkStart w:id="622" w:name="xdx_905_eus-gaap--AmortizationOfDebtDisc"/>
      <w:bookmarkEnd w:id="622"/>
      <w:r>
        <w:rPr>
          <w:rFonts w:ascii="Times New Roman;Times;Serif" w:hAnsi="Times New Roman;Times;Serif"/>
          <w:b w:val="false"/>
          <w:i w:val="false"/>
          <w:caps w:val="false"/>
          <w:smallCaps w:val="false"/>
          <w:sz w:val="20"/>
        </w:rPr>
        <w:t>18,609. As of June 30, 2022, including $</w:t>
      </w:r>
      <w:bookmarkStart w:id="623" w:name="xdx_908_eus-gaap--InterestPayableCurrent"/>
      <w:bookmarkEnd w:id="623"/>
      <w:r>
        <w:rPr>
          <w:rFonts w:ascii="Times New Roman;Times;Serif" w:hAnsi="Times New Roman;Times;Serif"/>
          <w:b w:val="false"/>
          <w:i w:val="false"/>
          <w:caps w:val="false"/>
          <w:smallCaps w:val="false"/>
          <w:sz w:val="20"/>
        </w:rPr>
        <w:t>78,750 of accrued interest and $</w:t>
      </w:r>
      <w:bookmarkStart w:id="624" w:name="xdx_908_eus-gaap--DebtInstrumentUnamorti"/>
      <w:bookmarkEnd w:id="624"/>
      <w:r>
        <w:rPr>
          <w:rFonts w:ascii="Times New Roman;Times;Serif" w:hAnsi="Times New Roman;Times;Serif"/>
          <w:b w:val="false"/>
          <w:i w:val="false"/>
          <w:caps w:val="false"/>
          <w:smallCaps w:val="false"/>
          <w:sz w:val="20"/>
        </w:rPr>
        <w:t>82,020 of unamortized premium, the total outstanding balance of the Purchase Note was $</w:t>
      </w:r>
      <w:bookmarkStart w:id="625" w:name="xdx_906_eus-gaap--LongTermNotesPayable_i"/>
      <w:bookmarkEnd w:id="625"/>
      <w:r>
        <w:rPr>
          <w:rFonts w:ascii="Times New Roman;Times;Serif" w:hAnsi="Times New Roman;Times;Serif"/>
          <w:b w:val="false"/>
          <w:i w:val="false"/>
          <w:caps w:val="false"/>
          <w:smallCaps w:val="false"/>
          <w:sz w:val="20"/>
        </w:rPr>
        <w:t>3,660,770, which was presented on the consolidated balance sheet as a current portion of $</w:t>
      </w:r>
      <w:bookmarkStart w:id="626" w:name="xdx_90F_eus-gaap--LongTermDebtCurrent_iI"/>
      <w:bookmarkEnd w:id="626"/>
      <w:r>
        <w:rPr>
          <w:rFonts w:ascii="Times New Roman;Times;Serif" w:hAnsi="Times New Roman;Times;Serif"/>
          <w:b w:val="false"/>
          <w:i w:val="false"/>
          <w:caps w:val="false"/>
          <w:smallCaps w:val="false"/>
          <w:sz w:val="20"/>
        </w:rPr>
        <w:t>1,879,065 and a non-current portion of $</w:t>
      </w:r>
      <w:bookmarkStart w:id="627" w:name="xdx_901_eus-gaap--LongTermDebtNoncurrent"/>
      <w:bookmarkEnd w:id="627"/>
      <w:r>
        <w:rPr>
          <w:rFonts w:ascii="Times New Roman;Times;Serif" w:hAnsi="Times New Roman;Times;Serif"/>
          <w:b w:val="false"/>
          <w:i w:val="false"/>
          <w:caps w:val="false"/>
          <w:smallCaps w:val="false"/>
          <w:sz w:val="20"/>
        </w:rPr>
        <w:t>1,781,705.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628" w:name="xdx_230_zcJkbC00o8C6"/>
      <w:bookmarkEnd w:id="628"/>
      <w:r>
        <w:rPr>
          <w:caps w:val="false"/>
          <w:smallCaps w:val="false"/>
        </w:rPr>
        <w:t> </w:t>
      </w:r>
    </w:p>
    <w:p>
      <w:pPr>
        <w:pStyle w:val="TextBody"/>
        <w:bidi w:val="0"/>
        <w:spacing w:before="0" w:after="0"/>
        <w:ind w:left="0" w:right="0" w:hanging="0"/>
        <w:jc w:val="both"/>
        <w:rPr>
          <w:caps w:val="false"/>
          <w:smallCaps w:val="false"/>
        </w:rPr>
      </w:pPr>
      <w:bookmarkStart w:id="629" w:name="xdx_239_zoMj6KMkQre6"/>
      <w:bookmarkEnd w:id="629"/>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F-23</w:t>
            </w:r>
            <w:bookmarkStart w:id="630" w:name="xdx_233_zAO9fbTcJeUk"/>
            <w:bookmarkEnd w:id="630"/>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631" w:name="xdx_23F_zHrCnklbA4jk"/>
      <w:bookmarkEnd w:id="631"/>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32" w:name="xdx_803_eus-gaap--RelatedPartyTransactio"/>
      <w:bookmarkEnd w:id="632"/>
      <w:r>
        <w:rPr>
          <w:rFonts w:ascii="Times New Roman;Times;Serif" w:hAnsi="Times New Roman;Times;Serif"/>
          <w:b/>
          <w:i w:val="false"/>
          <w:caps w:val="false"/>
          <w:smallCaps w:val="false"/>
          <w:sz w:val="20"/>
        </w:rPr>
        <w:t xml:space="preserve">Note 13 - </w:t>
      </w:r>
      <w:bookmarkStart w:id="633" w:name="xdx_823_ztq34BRANSjd"/>
      <w:bookmarkEnd w:id="633"/>
      <w:r>
        <w:rPr>
          <w:rFonts w:ascii="Times New Roman;Times;Serif" w:hAnsi="Times New Roman;Times;Serif"/>
          <w:b/>
          <w:i w:val="false"/>
          <w:caps w:val="false"/>
          <w:smallCaps w:val="false"/>
          <w:sz w:val="20"/>
        </w:rPr>
        <w:t>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Starting from March 2022 to January 2023, the Company subleased 50,000 square feet of its warehouse space to Box Harmony, LLC, which is a 40% owned joint venture of the Company as disclosed in Note 1 and Note 2 above. For the year ended June 30, 2023 and 2022, the Company received and recorded sublease fee of $</w:t>
      </w:r>
      <w:bookmarkStart w:id="634" w:name="xdx_90A_eus-gaap--SubleaseIncome_pp0p0_c"/>
      <w:bookmarkEnd w:id="634"/>
      <w:r>
        <w:rPr>
          <w:rFonts w:ascii="Times New Roman;Times;Serif" w:hAnsi="Times New Roman;Times;Serif"/>
          <w:b w:val="false"/>
          <w:i w:val="false"/>
          <w:caps w:val="false"/>
          <w:smallCaps w:val="false"/>
          <w:sz w:val="20"/>
        </w:rPr>
        <w:t>359,373 and $</w:t>
      </w:r>
      <w:bookmarkStart w:id="635" w:name="xdx_90C_eus-gaap--SubleaseIncome_pp0p0_c"/>
      <w:bookmarkEnd w:id="635"/>
      <w:r>
        <w:rPr>
          <w:rFonts w:ascii="Times New Roman;Times;Serif" w:hAnsi="Times New Roman;Times;Serif"/>
          <w:b w:val="false"/>
          <w:i w:val="false"/>
          <w:caps w:val="false"/>
          <w:smallCaps w:val="false"/>
          <w:sz w:val="20"/>
        </w:rPr>
        <w:t>330,000 as other non-operating income, respectively. As of June 30, 2023 and 2022, other receivables due from Box Harmony was $</w:t>
      </w:r>
      <w:bookmarkStart w:id="636" w:name="xdx_901_eus-gaap--OtherReceivables_iI_pp"/>
      <w:bookmarkEnd w:id="636"/>
      <w:r>
        <w:rPr>
          <w:rFonts w:ascii="Times New Roman;Times;Serif" w:hAnsi="Times New Roman;Times;Serif"/>
          <w:b w:val="false"/>
          <w:i w:val="false"/>
          <w:caps w:val="false"/>
          <w:smallCaps w:val="false"/>
          <w:sz w:val="20"/>
        </w:rPr>
        <w:t xml:space="preserve">0 and </w:t>
      </w:r>
      <w:bookmarkStart w:id="637" w:name="xdx_90D_eus-gaap--OtherReceivables_iI_pp"/>
      <w:bookmarkEnd w:id="637"/>
      <w:r>
        <w:rPr>
          <w:rFonts w:ascii="Times New Roman;Times;Serif" w:hAnsi="Times New Roman;Times;Serif"/>
          <w:b w:val="false"/>
          <w:i w:val="false"/>
          <w:caps w:val="false"/>
          <w:smallCaps w:val="false"/>
          <w:sz w:val="20"/>
        </w:rPr>
        <w:t>51,762,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15, 2022, the Company assumed $</w:t>
      </w:r>
      <w:bookmarkStart w:id="638" w:name="xdx_909_ecustom--AdvanceFromShareholder_"/>
      <w:bookmarkEnd w:id="638"/>
      <w:r>
        <w:rPr>
          <w:rFonts w:ascii="Times New Roman;Times;Serif" w:hAnsi="Times New Roman;Times;Serif"/>
          <w:b w:val="false"/>
          <w:i w:val="false"/>
          <w:caps w:val="false"/>
          <w:smallCaps w:val="false"/>
          <w:sz w:val="20"/>
        </w:rPr>
        <w:t>92,246 of advance from shareholders of DHS through acquisition of Anivia. This amount was for capital injection pending capital inspection by the local government in accordance with the PRC rules. As of June 30, 2023 and 2022, the balance of advance from shareholders was $</w:t>
      </w:r>
      <w:bookmarkStart w:id="639" w:name="xdx_905_ecustom--AdvanceFromShareholder_"/>
      <w:bookmarkEnd w:id="639"/>
      <w:r>
        <w:rPr>
          <w:rFonts w:ascii="Times New Roman;Times;Serif" w:hAnsi="Times New Roman;Times;Serif"/>
          <w:b w:val="false"/>
          <w:i w:val="false"/>
          <w:caps w:val="false"/>
          <w:smallCaps w:val="false"/>
          <w:sz w:val="20"/>
        </w:rPr>
        <w:t>85,200 and $</w:t>
      </w:r>
      <w:bookmarkStart w:id="640" w:name="xdx_90A_ecustom--AdvanceFromShareholder_"/>
      <w:bookmarkEnd w:id="640"/>
      <w:r>
        <w:rPr>
          <w:rFonts w:ascii="Times New Roman;Times;Serif" w:hAnsi="Times New Roman;Times;Serif"/>
          <w:b w:val="false"/>
          <w:i w:val="false"/>
          <w:caps w:val="false"/>
          <w:smallCaps w:val="false"/>
          <w:sz w:val="20"/>
        </w:rPr>
        <w:t>92,246,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41" w:name="xdx_803_eus-gaap--IncomeTaxDisclosureTex"/>
      <w:bookmarkEnd w:id="641"/>
      <w:r>
        <w:rPr>
          <w:rFonts w:ascii="Times New Roman;Times;Serif" w:hAnsi="Times New Roman;Times;Serif"/>
          <w:b/>
          <w:i w:val="false"/>
          <w:caps w:val="false"/>
          <w:smallCaps w:val="false"/>
          <w:sz w:val="20"/>
        </w:rPr>
        <w:t xml:space="preserve">Note 14 – </w:t>
      </w:r>
      <w:bookmarkStart w:id="642" w:name="xdx_820_zetI60ms1nL2"/>
      <w:bookmarkEnd w:id="642"/>
      <w:r>
        <w:rPr>
          <w:rFonts w:ascii="Times New Roman;Times;Serif" w:hAnsi="Times New Roman;Times;Serif"/>
          <w:b/>
          <w:i w:val="false"/>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corporate income taxes in the United States, upon completion of the acquisition of Anivia in February 2022, the Company is subject to corporate income taxes in People’s Republic of China (“PRC”). Anivia and its subsidiaries were subject to BVI or Hong Kong income taxes but did not have any operations for the year ended June 30, 2022. DHS, the operating VIE of Anivia, is considered a Controlled Foreign Corporation (CFC) defined under IRC Sec. 957(a) since the Company indirectly owns more than 50% voting control of DHS as a result of the Transfer Agreement. Therefore, DHS is subject to the GILTI Tax. DHS is subject to 25% tax rate in PRC. The Company made an election to apply the GILTI high-tax exclusion for DHS under the Final Regulations (T.D. 9902). As the result of the election, no GILTI tax was recorded as of June 30, 2023 and 2022. In addition, as a result of the acquisition, the Company booked a $</w:t>
      </w:r>
      <w:bookmarkStart w:id="643" w:name="xdx_90B_eus-gaap--Goodwill_iI_c20220630_"/>
      <w:bookmarkEnd w:id="643"/>
      <w:r>
        <w:rPr>
          <w:rFonts w:ascii="Times New Roman;Times;Serif" w:hAnsi="Times New Roman;Times;Serif"/>
          <w:b w:val="false"/>
          <w:i w:val="false"/>
          <w:caps w:val="false"/>
          <w:smallCaps w:val="false"/>
          <w:sz w:val="20"/>
        </w:rPr>
        <w:t>6,094,144 of goodwill. Since the acquisition was a stock acquisition, the Goodwill is not deductible for tax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income tax provision for the years ended June 30, 2023 and 2022 consisted of the following:</w:t>
      </w:r>
    </w:p>
    <w:p>
      <w:pPr>
        <w:pStyle w:val="Normal"/>
        <w:bidi w:val="0"/>
        <w:spacing w:before="0" w:after="0"/>
        <w:jc w:val="left"/>
        <w:rPr>
          <w:sz w:val="4"/>
          <w:szCs w:val="4"/>
        </w:rPr>
      </w:pPr>
      <w:r>
        <w:rPr>
          <w:sz w:val="4"/>
          <w:szCs w:val="4"/>
        </w:rPr>
      </w:r>
      <w:bookmarkStart w:id="644" w:name="xdx_89D_eus-gaap--ScheduleOfComponentsOf"/>
      <w:bookmarkStart w:id="645" w:name="xdx_89D_eus-gaap--ScheduleOfComponentsOf"/>
      <w:bookmarkEnd w:id="645"/>
    </w:p>
    <w:tbl>
      <w:tblPr>
        <w:tblW w:w="7508" w:type="dxa"/>
        <w:jc w:val="left"/>
        <w:tblInd w:w="0" w:type="dxa"/>
        <w:tblLayout w:type="fixed"/>
        <w:tblCellMar>
          <w:top w:w="0" w:type="dxa"/>
          <w:left w:w="0" w:type="dxa"/>
          <w:bottom w:w="0" w:type="dxa"/>
          <w:right w:w="0" w:type="dxa"/>
        </w:tblCellMar>
      </w:tblPr>
      <w:tblGrid>
        <w:gridCol w:w="4355"/>
        <w:gridCol w:w="60"/>
        <w:gridCol w:w="165"/>
        <w:gridCol w:w="1249"/>
        <w:gridCol w:w="95"/>
        <w:gridCol w:w="60"/>
        <w:gridCol w:w="176"/>
        <w:gridCol w:w="1238"/>
        <w:gridCol w:w="110"/>
      </w:tblGrid>
      <w:tr>
        <w:trPr/>
        <w:tc>
          <w:tcPr>
            <w:tcW w:w="4355" w:type="dxa"/>
            <w:tcBorders/>
            <w:vAlign w:val="center"/>
          </w:tcPr>
          <w:p>
            <w:pPr>
              <w:pStyle w:val="TableContents"/>
              <w:bidi w:val="0"/>
              <w:spacing w:before="0" w:after="283"/>
              <w:jc w:val="left"/>
              <w:rPr/>
            </w:pPr>
            <w:bookmarkStart w:id="646" w:name="xdx_8BB_zuCLKpWljZ7i"/>
            <w:bookmarkEnd w:id="646"/>
            <w:r>
              <w:rPr/>
              <w:t>Schedule of provision for income tax expense</w:t>
            </w:r>
          </w:p>
        </w:tc>
        <w:tc>
          <w:tcPr>
            <w:tcW w:w="60" w:type="dxa"/>
            <w:tcBorders/>
            <w:vAlign w:val="center"/>
          </w:tcPr>
          <w:p>
            <w:pPr>
              <w:pStyle w:val="TableContents"/>
              <w:bidi w:val="0"/>
              <w:spacing w:before="0" w:after="283"/>
              <w:jc w:val="left"/>
              <w:rPr/>
            </w:pPr>
            <w:r>
              <w:rPr/>
              <w:t> </w:t>
            </w:r>
            <w:bookmarkStart w:id="647" w:name="xdx_497_20220701__20230630_zqR9vgHHwfZ7"/>
            <w:bookmarkEnd w:id="647"/>
          </w:p>
        </w:tc>
        <w:tc>
          <w:tcPr>
            <w:tcW w:w="1414"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48" w:name="xdx_49B_20210701__20220630_z3KZrmMUqp"/>
            <w:bookmarkEnd w:id="648"/>
          </w:p>
        </w:tc>
        <w:tc>
          <w:tcPr>
            <w:tcW w:w="1414"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2022</w:t>
            </w:r>
          </w:p>
        </w:tc>
        <w:tc>
          <w:tcPr>
            <w:tcW w:w="110" w:type="dxa"/>
            <w:tcBorders/>
            <w:vAlign w:val="center"/>
          </w:tcPr>
          <w:p>
            <w:pPr>
              <w:pStyle w:val="TableContents"/>
              <w:bidi w:val="0"/>
              <w:spacing w:before="0" w:after="283"/>
              <w:jc w:val="left"/>
              <w:rPr/>
            </w:pPr>
            <w:r>
              <w:rPr/>
              <w:t> </w:t>
            </w:r>
            <w:bookmarkStart w:id="649" w:name="xdx_403_eus-gaap--CurrentFederalStateAnd"/>
            <w:bookmarkEnd w:id="649"/>
          </w:p>
        </w:tc>
      </w:tr>
      <w:tr>
        <w:trPr/>
        <w:tc>
          <w:tcPr>
            <w:tcW w:w="4355" w:type="dxa"/>
            <w:tcBorders/>
            <w:shd w:fill="EEEEEE" w:val="clear"/>
            <w:vAlign w:val="center"/>
          </w:tcPr>
          <w:p>
            <w:pPr>
              <w:pStyle w:val="TableContents"/>
              <w:bidi w:val="0"/>
              <w:spacing w:before="0" w:after="283"/>
              <w:jc w:val="left"/>
              <w:rPr/>
            </w:pPr>
            <w:r>
              <w:rPr/>
              <w:t>Current:</w:t>
            </w:r>
          </w:p>
        </w:tc>
        <w:tc>
          <w:tcPr>
            <w:tcW w:w="60" w:type="dxa"/>
            <w:tcBorders/>
            <w:shd w:fill="EEEEEE" w:val="clear"/>
            <w:vAlign w:val="center"/>
          </w:tcPr>
          <w:p>
            <w:pPr>
              <w:pStyle w:val="TableContents"/>
              <w:bidi w:val="0"/>
              <w:spacing w:before="0" w:after="283"/>
              <w:jc w:val="left"/>
              <w:rPr/>
            </w:pPr>
            <w:r>
              <w:rPr/>
              <w:t> </w:t>
            </w:r>
          </w:p>
        </w:tc>
        <w:tc>
          <w:tcPr>
            <w:tcW w:w="165" w:type="dxa"/>
            <w:tcBorders/>
            <w:shd w:fill="EEEEEE" w:val="clear"/>
            <w:vAlign w:val="center"/>
          </w:tcPr>
          <w:p>
            <w:pPr>
              <w:pStyle w:val="TableContents"/>
              <w:bidi w:val="0"/>
              <w:spacing w:before="0" w:after="283"/>
              <w:jc w:val="left"/>
              <w:rPr/>
            </w:pPr>
            <w:r>
              <w:rPr/>
              <w:t> </w:t>
            </w:r>
          </w:p>
        </w:tc>
        <w:tc>
          <w:tcPr>
            <w:tcW w:w="1249"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76" w:type="dxa"/>
            <w:tcBorders/>
            <w:shd w:fill="EEEEEE" w:val="clear"/>
            <w:vAlign w:val="center"/>
          </w:tcPr>
          <w:p>
            <w:pPr>
              <w:pStyle w:val="TableContents"/>
              <w:bidi w:val="0"/>
              <w:spacing w:before="0" w:after="283"/>
              <w:jc w:val="left"/>
              <w:rPr/>
            </w:pPr>
            <w:r>
              <w:rPr/>
              <w:t> </w:t>
            </w:r>
          </w:p>
        </w:tc>
        <w:tc>
          <w:tcPr>
            <w:tcW w:w="1238" w:type="dxa"/>
            <w:tcBorders/>
            <w:shd w:fill="EEEEEE" w:val="clear"/>
            <w:vAlign w:val="center"/>
          </w:tcPr>
          <w:p>
            <w:pPr>
              <w:pStyle w:val="TableContents"/>
              <w:bidi w:val="0"/>
              <w:spacing w:before="0" w:after="283"/>
              <w:jc w:val="right"/>
              <w:rPr/>
            </w:pPr>
            <w:r>
              <w:rPr/>
              <w:t> </w:t>
            </w:r>
          </w:p>
        </w:tc>
        <w:tc>
          <w:tcPr>
            <w:tcW w:w="110" w:type="dxa"/>
            <w:tcBorders/>
            <w:shd w:fill="EEEEEE" w:val="clear"/>
            <w:vAlign w:val="center"/>
          </w:tcPr>
          <w:p>
            <w:pPr>
              <w:pStyle w:val="TableContents"/>
              <w:bidi w:val="0"/>
              <w:spacing w:before="0" w:after="283"/>
              <w:jc w:val="left"/>
              <w:rPr/>
            </w:pPr>
            <w:r>
              <w:rPr/>
              <w:t> </w:t>
            </w:r>
            <w:bookmarkStart w:id="650" w:name="xdx_402_eus-gaap--CurrentFederalTaxExpen"/>
            <w:bookmarkEnd w:id="650"/>
          </w:p>
        </w:tc>
      </w:tr>
      <w:tr>
        <w:trPr/>
        <w:tc>
          <w:tcPr>
            <w:tcW w:w="4355" w:type="dxa"/>
            <w:tcBorders/>
            <w:shd w:fill="FFFFFF" w:val="clear"/>
            <w:vAlign w:val="center"/>
          </w:tcPr>
          <w:p>
            <w:pPr>
              <w:pStyle w:val="TableContents"/>
              <w:bidi w:val="0"/>
              <w:spacing w:before="0" w:after="283"/>
              <w:jc w:val="left"/>
              <w:rPr/>
            </w:pPr>
            <w:r>
              <w:rPr/>
              <w:t>Federal</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w:t>
            </w:r>
          </w:p>
        </w:tc>
        <w:tc>
          <w:tcPr>
            <w:tcW w:w="1249" w:type="dxa"/>
            <w:tcBorders/>
            <w:shd w:fill="FFFFFF" w:val="clear"/>
            <w:vAlign w:val="center"/>
          </w:tcPr>
          <w:p>
            <w:pPr>
              <w:pStyle w:val="TableContents"/>
              <w:bidi w:val="0"/>
              <w:spacing w:before="0" w:after="283"/>
              <w:jc w:val="right"/>
              <w:rPr/>
            </w:pPr>
            <w:r>
              <w:rPr/>
              <w:t>395,053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w:t>
            </w:r>
          </w:p>
        </w:tc>
        <w:tc>
          <w:tcPr>
            <w:tcW w:w="1238" w:type="dxa"/>
            <w:tcBorders/>
            <w:shd w:fill="FFFFFF" w:val="clear"/>
            <w:vAlign w:val="center"/>
          </w:tcPr>
          <w:p>
            <w:pPr>
              <w:pStyle w:val="TableContents"/>
              <w:bidi w:val="0"/>
              <w:spacing w:before="0" w:after="283"/>
              <w:jc w:val="right"/>
              <w:rPr/>
            </w:pPr>
            <w:r>
              <w:rPr/>
              <w:t>472,936</w:t>
            </w:r>
          </w:p>
        </w:tc>
        <w:tc>
          <w:tcPr>
            <w:tcW w:w="110" w:type="dxa"/>
            <w:tcBorders/>
            <w:shd w:fill="FFFFFF" w:val="clear"/>
            <w:vAlign w:val="center"/>
          </w:tcPr>
          <w:p>
            <w:pPr>
              <w:pStyle w:val="TableContents"/>
              <w:bidi w:val="0"/>
              <w:spacing w:before="0" w:after="283"/>
              <w:jc w:val="left"/>
              <w:rPr/>
            </w:pPr>
            <w:r>
              <w:rPr/>
              <w:t> </w:t>
            </w:r>
            <w:bookmarkStart w:id="651" w:name="xdx_403_eus-gaap--CurrentStateAndLocalTa"/>
            <w:bookmarkEnd w:id="651"/>
          </w:p>
        </w:tc>
      </w:tr>
      <w:tr>
        <w:trPr/>
        <w:tc>
          <w:tcPr>
            <w:tcW w:w="4355" w:type="dxa"/>
            <w:tcBorders/>
            <w:shd w:fill="EEEEEE" w:val="clear"/>
            <w:vAlign w:val="center"/>
          </w:tcPr>
          <w:p>
            <w:pPr>
              <w:pStyle w:val="TableContents"/>
              <w:bidi w:val="0"/>
              <w:spacing w:before="0" w:after="283"/>
              <w:jc w:val="left"/>
              <w:rPr/>
            </w:pPr>
            <w:r>
              <w:rPr/>
              <w:t>State</w:t>
            </w:r>
          </w:p>
        </w:tc>
        <w:tc>
          <w:tcPr>
            <w:tcW w:w="60" w:type="dxa"/>
            <w:tcBorders/>
            <w:shd w:fill="EEEEEE" w:val="clear"/>
            <w:vAlign w:val="center"/>
          </w:tcPr>
          <w:p>
            <w:pPr>
              <w:pStyle w:val="TableContents"/>
              <w:bidi w:val="0"/>
              <w:spacing w:before="0" w:after="283"/>
              <w:jc w:val="left"/>
              <w:rPr/>
            </w:pPr>
            <w:r>
              <w:rPr/>
              <w:t> </w:t>
            </w:r>
          </w:p>
        </w:tc>
        <w:tc>
          <w:tcPr>
            <w:tcW w:w="165" w:type="dxa"/>
            <w:tcBorders/>
            <w:shd w:fill="EEEEEE" w:val="clear"/>
            <w:vAlign w:val="center"/>
          </w:tcPr>
          <w:p>
            <w:pPr>
              <w:pStyle w:val="TableContents"/>
              <w:bidi w:val="0"/>
              <w:spacing w:before="0" w:after="283"/>
              <w:jc w:val="left"/>
              <w:rPr/>
            </w:pPr>
            <w:r>
              <w:rPr/>
              <w:t> </w:t>
            </w:r>
          </w:p>
        </w:tc>
        <w:tc>
          <w:tcPr>
            <w:tcW w:w="1249" w:type="dxa"/>
            <w:tcBorders/>
            <w:shd w:fill="EEEEEE" w:val="clear"/>
            <w:vAlign w:val="center"/>
          </w:tcPr>
          <w:p>
            <w:pPr>
              <w:pStyle w:val="TableContents"/>
              <w:bidi w:val="0"/>
              <w:spacing w:before="0" w:after="283"/>
              <w:jc w:val="right"/>
              <w:rPr/>
            </w:pPr>
            <w:r>
              <w:rPr/>
              <w:t>11,596</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76" w:type="dxa"/>
            <w:tcBorders/>
            <w:shd w:fill="EEEEEE" w:val="clear"/>
            <w:vAlign w:val="center"/>
          </w:tcPr>
          <w:p>
            <w:pPr>
              <w:pStyle w:val="TableContents"/>
              <w:bidi w:val="0"/>
              <w:spacing w:before="0" w:after="283"/>
              <w:jc w:val="left"/>
              <w:rPr/>
            </w:pPr>
            <w:r>
              <w:rPr/>
              <w:t> </w:t>
            </w:r>
          </w:p>
        </w:tc>
        <w:tc>
          <w:tcPr>
            <w:tcW w:w="1238" w:type="dxa"/>
            <w:tcBorders/>
            <w:shd w:fill="EEEEEE" w:val="clear"/>
            <w:vAlign w:val="center"/>
          </w:tcPr>
          <w:p>
            <w:pPr>
              <w:pStyle w:val="TableContents"/>
              <w:bidi w:val="0"/>
              <w:spacing w:before="0" w:after="283"/>
              <w:jc w:val="right"/>
              <w:rPr/>
            </w:pPr>
            <w:r>
              <w:rPr/>
              <w:t>222,441</w:t>
            </w:r>
          </w:p>
        </w:tc>
        <w:tc>
          <w:tcPr>
            <w:tcW w:w="110" w:type="dxa"/>
            <w:tcBorders/>
            <w:shd w:fill="EEEEEE" w:val="clear"/>
            <w:vAlign w:val="center"/>
          </w:tcPr>
          <w:p>
            <w:pPr>
              <w:pStyle w:val="TableContents"/>
              <w:bidi w:val="0"/>
              <w:spacing w:before="0" w:after="283"/>
              <w:jc w:val="left"/>
              <w:rPr/>
            </w:pPr>
            <w:r>
              <w:rPr/>
              <w:t> </w:t>
            </w:r>
            <w:bookmarkStart w:id="652" w:name="xdx_400_eus-gaap--CurrentForeignTaxExpen"/>
            <w:bookmarkEnd w:id="652"/>
          </w:p>
        </w:tc>
      </w:tr>
      <w:tr>
        <w:trPr/>
        <w:tc>
          <w:tcPr>
            <w:tcW w:w="4355" w:type="dxa"/>
            <w:tcBorders/>
            <w:shd w:fill="FFFFFF" w:val="clear"/>
            <w:vAlign w:val="center"/>
          </w:tcPr>
          <w:p>
            <w:pPr>
              <w:pStyle w:val="TableContents"/>
              <w:bidi w:val="0"/>
              <w:spacing w:before="0" w:after="283"/>
              <w:jc w:val="left"/>
              <w:rPr/>
            </w:pPr>
            <w:r>
              <w:rPr/>
              <w:t>Foreign</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8" w:type="dxa"/>
            <w:tcBorders>
              <w:bottom w:val="single" w:sz="8" w:space="0" w:color="000000"/>
            </w:tcBorders>
            <w:shd w:fill="FFFFFF" w:val="clear"/>
            <w:tcMar>
              <w:bottom w:w="28" w:type="dxa"/>
            </w:tcMar>
            <w:vAlign w:val="center"/>
          </w:tcPr>
          <w:p>
            <w:pPr>
              <w:pStyle w:val="TableContents"/>
              <w:bidi w:val="0"/>
              <w:spacing w:before="0" w:after="283"/>
              <w:jc w:val="right"/>
              <w:rPr/>
            </w:pPr>
            <w:r>
              <w:rPr/>
              <w:t>313,596</w:t>
            </w:r>
          </w:p>
        </w:tc>
        <w:tc>
          <w:tcPr>
            <w:tcW w:w="110" w:type="dxa"/>
            <w:tcBorders/>
            <w:shd w:fill="FFFFFF" w:val="clear"/>
            <w:vAlign w:val="center"/>
          </w:tcPr>
          <w:p>
            <w:pPr>
              <w:pStyle w:val="TableContents"/>
              <w:bidi w:val="0"/>
              <w:spacing w:before="0" w:after="283"/>
              <w:jc w:val="left"/>
              <w:rPr/>
            </w:pPr>
            <w:r>
              <w:rPr/>
              <w:t> </w:t>
            </w:r>
            <w:bookmarkStart w:id="653" w:name="xdx_404_eus-gaap--CurrentIncomeTaxExpens"/>
            <w:bookmarkEnd w:id="653"/>
          </w:p>
        </w:tc>
      </w:tr>
      <w:tr>
        <w:trPr/>
        <w:tc>
          <w:tcPr>
            <w:tcW w:w="4355" w:type="dxa"/>
            <w:tcBorders/>
            <w:shd w:fill="EEEEEE" w:val="clear"/>
            <w:vAlign w:val="center"/>
          </w:tcPr>
          <w:p>
            <w:pPr>
              <w:pStyle w:val="TableContents"/>
              <w:bidi w:val="0"/>
              <w:spacing w:before="0" w:after="283"/>
              <w:jc w:val="left"/>
              <w:rPr/>
            </w:pPr>
            <w:r>
              <w:rPr/>
              <w:t>Total current income tax provision</w:t>
            </w:r>
          </w:p>
        </w:tc>
        <w:tc>
          <w:tcPr>
            <w:tcW w:w="60" w:type="dxa"/>
            <w:tcBorders/>
            <w:shd w:fill="EEEEEE" w:val="clear"/>
            <w:vAlign w:val="center"/>
          </w:tcPr>
          <w:p>
            <w:pPr>
              <w:pStyle w:val="TableContents"/>
              <w:bidi w:val="0"/>
              <w:spacing w:before="0" w:after="283"/>
              <w:jc w:val="left"/>
              <w:rPr/>
            </w:pPr>
            <w:r>
              <w:rPr/>
              <w:t> </w:t>
            </w:r>
          </w:p>
        </w:tc>
        <w:tc>
          <w:tcPr>
            <w:tcW w:w="165"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249" w:type="dxa"/>
            <w:tcBorders>
              <w:bottom w:val="single" w:sz="8" w:space="0" w:color="000000"/>
            </w:tcBorders>
            <w:shd w:fill="EEEEEE" w:val="clear"/>
            <w:tcMar>
              <w:bottom w:w="28" w:type="dxa"/>
            </w:tcMar>
            <w:vAlign w:val="center"/>
          </w:tcPr>
          <w:p>
            <w:pPr>
              <w:pStyle w:val="TableContents"/>
              <w:bidi w:val="0"/>
              <w:spacing w:before="0" w:after="283"/>
              <w:jc w:val="right"/>
              <w:rPr/>
            </w:pPr>
            <w:r>
              <w:rPr/>
              <w:t>406,649</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76"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238" w:type="dxa"/>
            <w:tcBorders>
              <w:bottom w:val="single" w:sz="8" w:space="0" w:color="000000"/>
            </w:tcBorders>
            <w:shd w:fill="EEEEEE" w:val="clear"/>
            <w:tcMar>
              <w:bottom w:w="28" w:type="dxa"/>
            </w:tcMar>
            <w:vAlign w:val="center"/>
          </w:tcPr>
          <w:p>
            <w:pPr>
              <w:pStyle w:val="TableContents"/>
              <w:bidi w:val="0"/>
              <w:spacing w:before="0" w:after="283"/>
              <w:jc w:val="right"/>
              <w:rPr/>
            </w:pPr>
            <w:r>
              <w:rPr/>
              <w:t>1,008,973</w:t>
            </w:r>
          </w:p>
        </w:tc>
        <w:tc>
          <w:tcPr>
            <w:tcW w:w="110" w:type="dxa"/>
            <w:tcBorders/>
            <w:shd w:fill="EEEEEE" w:val="clear"/>
            <w:vAlign w:val="center"/>
          </w:tcPr>
          <w:p>
            <w:pPr>
              <w:pStyle w:val="TableContents"/>
              <w:bidi w:val="0"/>
              <w:spacing w:before="0" w:after="283"/>
              <w:jc w:val="left"/>
              <w:rPr/>
            </w:pPr>
            <w:r>
              <w:rPr/>
              <w:t> </w:t>
            </w:r>
            <w:bookmarkStart w:id="654" w:name="xdx_40A_eus-gaap--DeferredFederalStateAn"/>
            <w:bookmarkEnd w:id="654"/>
          </w:p>
        </w:tc>
      </w:tr>
      <w:tr>
        <w:trPr/>
        <w:tc>
          <w:tcPr>
            <w:tcW w:w="4355" w:type="dxa"/>
            <w:tcBorders/>
            <w:shd w:fill="FFFFFF" w:val="clear"/>
            <w:vAlign w:val="center"/>
          </w:tcPr>
          <w:p>
            <w:pPr>
              <w:pStyle w:val="TableContents"/>
              <w:bidi w:val="0"/>
              <w:spacing w:before="0" w:after="283"/>
              <w:jc w:val="left"/>
              <w:rPr/>
            </w:pPr>
            <w:r>
              <w:rPr/>
              <w:t>Deferred:</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655" w:name="xdx_407_eus-gaap--DeferredFederalIncomeT"/>
            <w:bookmarkEnd w:id="655"/>
          </w:p>
        </w:tc>
      </w:tr>
      <w:tr>
        <w:trPr/>
        <w:tc>
          <w:tcPr>
            <w:tcW w:w="4355" w:type="dxa"/>
            <w:tcBorders/>
            <w:shd w:fill="EEEEEE" w:val="clear"/>
            <w:vAlign w:val="center"/>
          </w:tcPr>
          <w:p>
            <w:pPr>
              <w:pStyle w:val="TableContents"/>
              <w:bidi w:val="0"/>
              <w:spacing w:before="0" w:after="283"/>
              <w:jc w:val="left"/>
              <w:rPr/>
            </w:pPr>
            <w:r>
              <w:rPr/>
              <w:t>Federal</w:t>
            </w:r>
          </w:p>
        </w:tc>
        <w:tc>
          <w:tcPr>
            <w:tcW w:w="60" w:type="dxa"/>
            <w:tcBorders/>
            <w:shd w:fill="EEEEEE" w:val="clear"/>
            <w:vAlign w:val="center"/>
          </w:tcPr>
          <w:p>
            <w:pPr>
              <w:pStyle w:val="TableContents"/>
              <w:bidi w:val="0"/>
              <w:spacing w:before="0" w:after="283"/>
              <w:jc w:val="left"/>
              <w:rPr/>
            </w:pPr>
            <w:r>
              <w:rPr/>
              <w:t> </w:t>
            </w:r>
          </w:p>
        </w:tc>
        <w:tc>
          <w:tcPr>
            <w:tcW w:w="165" w:type="dxa"/>
            <w:tcBorders/>
            <w:shd w:fill="EEEEEE" w:val="clear"/>
            <w:vAlign w:val="center"/>
          </w:tcPr>
          <w:p>
            <w:pPr>
              <w:pStyle w:val="TableContents"/>
              <w:bidi w:val="0"/>
              <w:spacing w:before="0" w:after="283"/>
              <w:jc w:val="left"/>
              <w:rPr/>
            </w:pPr>
            <w:r>
              <w:rPr/>
              <w:t> </w:t>
            </w:r>
          </w:p>
        </w:tc>
        <w:tc>
          <w:tcPr>
            <w:tcW w:w="1249" w:type="dxa"/>
            <w:tcBorders/>
            <w:shd w:fill="EEEEEE" w:val="clear"/>
            <w:vAlign w:val="center"/>
          </w:tcPr>
          <w:p>
            <w:pPr>
              <w:pStyle w:val="TableContents"/>
              <w:bidi w:val="0"/>
              <w:spacing w:before="0" w:after="283"/>
              <w:jc w:val="right"/>
              <w:rPr/>
            </w:pPr>
            <w:r>
              <w:rPr/>
              <w:t>(2,462,699</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76" w:type="dxa"/>
            <w:tcBorders/>
            <w:shd w:fill="EEEEEE" w:val="clear"/>
            <w:vAlign w:val="center"/>
          </w:tcPr>
          <w:p>
            <w:pPr>
              <w:pStyle w:val="TableContents"/>
              <w:bidi w:val="0"/>
              <w:spacing w:before="0" w:after="283"/>
              <w:jc w:val="left"/>
              <w:rPr/>
            </w:pPr>
            <w:r>
              <w:rPr/>
              <w:t> </w:t>
            </w:r>
          </w:p>
        </w:tc>
        <w:tc>
          <w:tcPr>
            <w:tcW w:w="1238" w:type="dxa"/>
            <w:tcBorders/>
            <w:shd w:fill="EEEEEE" w:val="clear"/>
            <w:vAlign w:val="center"/>
          </w:tcPr>
          <w:p>
            <w:pPr>
              <w:pStyle w:val="TableContents"/>
              <w:bidi w:val="0"/>
              <w:spacing w:before="0" w:after="283"/>
              <w:jc w:val="right"/>
              <w:rPr/>
            </w:pPr>
            <w:r>
              <w:rPr/>
              <w:t>(342,768</w:t>
            </w:r>
          </w:p>
        </w:tc>
        <w:tc>
          <w:tcPr>
            <w:tcW w:w="110" w:type="dxa"/>
            <w:tcBorders/>
            <w:shd w:fill="EEEEEE" w:val="clear"/>
            <w:vAlign w:val="center"/>
          </w:tcPr>
          <w:p>
            <w:pPr>
              <w:pStyle w:val="TableContents"/>
              <w:bidi w:val="0"/>
              <w:spacing w:before="0" w:after="283"/>
              <w:jc w:val="left"/>
              <w:rPr/>
            </w:pPr>
            <w:r>
              <w:rPr/>
              <w:t>)</w:t>
            </w:r>
            <w:bookmarkStart w:id="656" w:name="xdx_402_eus-gaap--DeferredStateAndLocalI"/>
            <w:bookmarkEnd w:id="656"/>
          </w:p>
        </w:tc>
      </w:tr>
      <w:tr>
        <w:trPr/>
        <w:tc>
          <w:tcPr>
            <w:tcW w:w="4355" w:type="dxa"/>
            <w:tcBorders/>
            <w:shd w:fill="FFFFFF" w:val="clear"/>
            <w:vAlign w:val="center"/>
          </w:tcPr>
          <w:p>
            <w:pPr>
              <w:pStyle w:val="TableContents"/>
              <w:bidi w:val="0"/>
              <w:spacing w:before="0" w:after="283"/>
              <w:jc w:val="left"/>
              <w:rPr/>
            </w:pPr>
            <w:r>
              <w:rPr/>
              <w:t>State</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(571,730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(107,230</w:t>
            </w:r>
          </w:p>
        </w:tc>
        <w:tc>
          <w:tcPr>
            <w:tcW w:w="110" w:type="dxa"/>
            <w:tcBorders/>
            <w:shd w:fill="FFFFFF" w:val="clear"/>
            <w:vAlign w:val="center"/>
          </w:tcPr>
          <w:p>
            <w:pPr>
              <w:pStyle w:val="TableContents"/>
              <w:bidi w:val="0"/>
              <w:spacing w:before="0" w:after="283"/>
              <w:jc w:val="left"/>
              <w:rPr/>
            </w:pPr>
            <w:r>
              <w:rPr/>
              <w:t>)</w:t>
            </w:r>
            <w:bookmarkStart w:id="657" w:name="xdx_401_eus-gaap--DeferredForeignIncomeT"/>
            <w:bookmarkEnd w:id="657"/>
          </w:p>
        </w:tc>
      </w:tr>
      <w:tr>
        <w:trPr/>
        <w:tc>
          <w:tcPr>
            <w:tcW w:w="4355" w:type="dxa"/>
            <w:tcBorders/>
            <w:shd w:fill="EEEEEE" w:val="clear"/>
            <w:vAlign w:val="center"/>
          </w:tcPr>
          <w:p>
            <w:pPr>
              <w:pStyle w:val="TableContents"/>
              <w:bidi w:val="0"/>
              <w:spacing w:before="0" w:after="283"/>
              <w:jc w:val="left"/>
              <w:rPr/>
            </w:pPr>
            <w:r>
              <w:rPr/>
              <w:t>Foreign</w:t>
            </w:r>
          </w:p>
        </w:tc>
        <w:tc>
          <w:tcPr>
            <w:tcW w:w="60" w:type="dxa"/>
            <w:tcBorders/>
            <w:shd w:fill="EEEEEE" w:val="clear"/>
            <w:vAlign w:val="center"/>
          </w:tcPr>
          <w:p>
            <w:pPr>
              <w:pStyle w:val="TableContents"/>
              <w:bidi w:val="0"/>
              <w:spacing w:before="0" w:after="283"/>
              <w:jc w:val="left"/>
              <w:rPr/>
            </w:pPr>
            <w:r>
              <w:rPr/>
              <w:t> </w:t>
            </w:r>
          </w:p>
        </w:tc>
        <w:tc>
          <w:tcPr>
            <w:tcW w:w="165"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249" w:type="dxa"/>
            <w:tcBorders>
              <w:bottom w:val="single" w:sz="8" w:space="0" w:color="000000"/>
            </w:tcBorders>
            <w:shd w:fill="EEEEEE" w:val="clear"/>
            <w:tcMar>
              <w:bottom w:w="28" w:type="dxa"/>
            </w:tcMar>
            <w:vAlign w:val="center"/>
          </w:tcPr>
          <w:p>
            <w:pPr>
              <w:pStyle w:val="TableContents"/>
              <w:bidi w:val="0"/>
              <w:spacing w:before="0" w:after="283"/>
              <w:jc w:val="right"/>
              <w:rPr/>
            </w:pPr>
            <w:r>
              <w:rPr/>
              <w:t>(62,720</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76"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238"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110" w:type="dxa"/>
            <w:tcBorders/>
            <w:shd w:fill="EEEEEE" w:val="clear"/>
            <w:vAlign w:val="center"/>
          </w:tcPr>
          <w:p>
            <w:pPr>
              <w:pStyle w:val="TableContents"/>
              <w:bidi w:val="0"/>
              <w:spacing w:before="0" w:after="283"/>
              <w:jc w:val="left"/>
              <w:rPr/>
            </w:pPr>
            <w:r>
              <w:rPr/>
              <w:t> </w:t>
            </w:r>
            <w:bookmarkStart w:id="658" w:name="xdx_407_eus-gaap--DeferredIncomeTaxExpen"/>
            <w:bookmarkEnd w:id="658"/>
          </w:p>
        </w:tc>
      </w:tr>
      <w:tr>
        <w:trPr/>
        <w:tc>
          <w:tcPr>
            <w:tcW w:w="4355" w:type="dxa"/>
            <w:tcBorders/>
            <w:shd w:fill="FFFFFF" w:val="clear"/>
            <w:vAlign w:val="center"/>
          </w:tcPr>
          <w:p>
            <w:pPr>
              <w:pStyle w:val="TableContents"/>
              <w:bidi w:val="0"/>
              <w:spacing w:before="0" w:after="283"/>
              <w:jc w:val="left"/>
              <w:rPr/>
            </w:pPr>
            <w:r>
              <w:rPr/>
              <w:t>Total deferred taxes</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9" w:type="dxa"/>
            <w:tcBorders>
              <w:bottom w:val="single" w:sz="8" w:space="0" w:color="000000"/>
            </w:tcBorders>
            <w:shd w:fill="FFFFFF" w:val="clear"/>
            <w:tcMar>
              <w:bottom w:w="28" w:type="dxa"/>
            </w:tcMar>
            <w:vAlign w:val="center"/>
          </w:tcPr>
          <w:p>
            <w:pPr>
              <w:pStyle w:val="TableContents"/>
              <w:bidi w:val="0"/>
              <w:spacing w:before="0" w:after="283"/>
              <w:jc w:val="right"/>
              <w:rPr/>
            </w:pPr>
            <w:r>
              <w:rPr/>
              <w:t>(3,097,149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8" w:type="dxa"/>
            <w:tcBorders>
              <w:bottom w:val="single" w:sz="8" w:space="0" w:color="000000"/>
            </w:tcBorders>
            <w:shd w:fill="FFFFFF" w:val="clear"/>
            <w:tcMar>
              <w:bottom w:w="28" w:type="dxa"/>
            </w:tcMar>
            <w:vAlign w:val="center"/>
          </w:tcPr>
          <w:p>
            <w:pPr>
              <w:pStyle w:val="TableContents"/>
              <w:bidi w:val="0"/>
              <w:spacing w:before="0" w:after="283"/>
              <w:jc w:val="right"/>
              <w:rPr/>
            </w:pPr>
            <w:r>
              <w:rPr/>
              <w:t>(449,998</w:t>
            </w:r>
          </w:p>
        </w:tc>
        <w:tc>
          <w:tcPr>
            <w:tcW w:w="110" w:type="dxa"/>
            <w:tcBorders/>
            <w:shd w:fill="FFFFFF" w:val="clear"/>
            <w:vAlign w:val="center"/>
          </w:tcPr>
          <w:p>
            <w:pPr>
              <w:pStyle w:val="TableContents"/>
              <w:bidi w:val="0"/>
              <w:spacing w:before="0" w:after="283"/>
              <w:jc w:val="left"/>
              <w:rPr/>
            </w:pPr>
            <w:r>
              <w:rPr/>
              <w:t>)</w:t>
            </w:r>
          </w:p>
        </w:tc>
      </w:tr>
      <w:tr>
        <w:trPr/>
        <w:tc>
          <w:tcPr>
            <w:tcW w:w="435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5" w:type="dxa"/>
            <w:tcBorders/>
            <w:shd w:fill="EEEEEE" w:val="clear"/>
            <w:vAlign w:val="center"/>
          </w:tcPr>
          <w:p>
            <w:pPr>
              <w:pStyle w:val="TableContents"/>
              <w:bidi w:val="0"/>
              <w:spacing w:before="0" w:after="283"/>
              <w:jc w:val="left"/>
              <w:rPr/>
            </w:pPr>
            <w:r>
              <w:rPr/>
              <w:t> </w:t>
            </w:r>
          </w:p>
        </w:tc>
        <w:tc>
          <w:tcPr>
            <w:tcW w:w="1249"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76" w:type="dxa"/>
            <w:tcBorders/>
            <w:shd w:fill="EEEEEE" w:val="clear"/>
            <w:vAlign w:val="center"/>
          </w:tcPr>
          <w:p>
            <w:pPr>
              <w:pStyle w:val="TableContents"/>
              <w:bidi w:val="0"/>
              <w:spacing w:before="0" w:after="283"/>
              <w:jc w:val="left"/>
              <w:rPr/>
            </w:pPr>
            <w:r>
              <w:rPr/>
              <w:t> </w:t>
            </w:r>
          </w:p>
        </w:tc>
        <w:tc>
          <w:tcPr>
            <w:tcW w:w="1238" w:type="dxa"/>
            <w:tcBorders/>
            <w:shd w:fill="EEEEEE" w:val="clear"/>
            <w:vAlign w:val="center"/>
          </w:tcPr>
          <w:p>
            <w:pPr>
              <w:pStyle w:val="TableContents"/>
              <w:bidi w:val="0"/>
              <w:spacing w:before="0" w:after="283"/>
              <w:jc w:val="right"/>
              <w:rPr/>
            </w:pPr>
            <w:r>
              <w:rPr/>
              <w:t> </w:t>
            </w:r>
          </w:p>
        </w:tc>
        <w:tc>
          <w:tcPr>
            <w:tcW w:w="110" w:type="dxa"/>
            <w:tcBorders/>
            <w:shd w:fill="EEEEEE" w:val="clear"/>
            <w:vAlign w:val="center"/>
          </w:tcPr>
          <w:p>
            <w:pPr>
              <w:pStyle w:val="TableContents"/>
              <w:bidi w:val="0"/>
              <w:spacing w:before="0" w:after="283"/>
              <w:jc w:val="left"/>
              <w:rPr/>
            </w:pPr>
            <w:r>
              <w:rPr/>
              <w:t> </w:t>
            </w:r>
            <w:bookmarkStart w:id="659" w:name="xdx_403_eus-gaap--OtherTaxExpenseBenefit"/>
            <w:bookmarkEnd w:id="659"/>
          </w:p>
        </w:tc>
      </w:tr>
      <w:tr>
        <w:trPr/>
        <w:tc>
          <w:tcPr>
            <w:tcW w:w="4355" w:type="dxa"/>
            <w:tcBorders/>
            <w:shd w:fill="FFFFFF" w:val="clear"/>
            <w:vAlign w:val="center"/>
          </w:tcPr>
          <w:p>
            <w:pPr>
              <w:pStyle w:val="TableContents"/>
              <w:bidi w:val="0"/>
              <w:spacing w:before="0" w:after="283"/>
              <w:jc w:val="left"/>
              <w:rPr/>
            </w:pPr>
            <w:r>
              <w:rPr/>
              <w:t>Total provision for income taxes</w:t>
            </w:r>
          </w:p>
        </w:tc>
        <w:tc>
          <w:tcPr>
            <w:tcW w:w="60" w:type="dxa"/>
            <w:tcBorders/>
            <w:shd w:fill="FFFFFF" w:val="cle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49" w:type="dxa"/>
            <w:tcBorders>
              <w:bottom w:val="double" w:sz="6" w:space="0" w:color="000000"/>
            </w:tcBorders>
            <w:shd w:fill="FFFFFF" w:val="clear"/>
            <w:tcMar>
              <w:bottom w:w="28" w:type="dxa"/>
            </w:tcMar>
            <w:vAlign w:val="center"/>
          </w:tcPr>
          <w:p>
            <w:pPr>
              <w:pStyle w:val="TableContents"/>
              <w:bidi w:val="0"/>
              <w:spacing w:before="0" w:after="283"/>
              <w:jc w:val="right"/>
              <w:rPr/>
            </w:pPr>
            <w:r>
              <w:rPr/>
              <w:t>(2,690,500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38" w:type="dxa"/>
            <w:tcBorders>
              <w:bottom w:val="double" w:sz="6" w:space="0" w:color="000000"/>
            </w:tcBorders>
            <w:shd w:fill="FFFFFF" w:val="clear"/>
            <w:tcMar>
              <w:bottom w:w="28" w:type="dxa"/>
            </w:tcMar>
            <w:vAlign w:val="center"/>
          </w:tcPr>
          <w:p>
            <w:pPr>
              <w:pStyle w:val="TableContents"/>
              <w:bidi w:val="0"/>
              <w:spacing w:before="0" w:after="283"/>
              <w:jc w:val="right"/>
              <w:rPr/>
            </w:pPr>
            <w:r>
              <w:rPr/>
              <w:t>558,975</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660" w:name="xdx_8AB_zTGkz40FXEv2"/>
      <w:bookmarkEnd w:id="660"/>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U.S. federal income tax as well as state income tax in certain jurisdictions. The tax years 2018 to 2021 remain open to examination by the major taxing jurisdictions to which the Company is subject. The following is a reconciliation of income tax expenses at the effective rate to income tax at the calculated statutory rates:</w:t>
      </w:r>
    </w:p>
    <w:p>
      <w:pPr>
        <w:pStyle w:val="Normal"/>
        <w:bidi w:val="0"/>
        <w:spacing w:before="0" w:after="0"/>
        <w:jc w:val="left"/>
        <w:rPr>
          <w:sz w:val="4"/>
          <w:szCs w:val="4"/>
        </w:rPr>
      </w:pPr>
      <w:r>
        <w:rPr>
          <w:sz w:val="4"/>
          <w:szCs w:val="4"/>
        </w:rPr>
      </w:r>
      <w:bookmarkStart w:id="661" w:name="xdx_89B_eus-gaap--ScheduleOfEffectiveInc"/>
      <w:bookmarkStart w:id="662" w:name="xdx_89B_eus-gaap--ScheduleOfEffectiveInc"/>
      <w:bookmarkEnd w:id="662"/>
    </w:p>
    <w:tbl>
      <w:tblPr>
        <w:tblW w:w="10028" w:type="dxa"/>
        <w:jc w:val="left"/>
        <w:tblInd w:w="0" w:type="dxa"/>
        <w:tblLayout w:type="fixed"/>
        <w:tblCellMar>
          <w:top w:w="0" w:type="dxa"/>
          <w:left w:w="0" w:type="dxa"/>
          <w:bottom w:w="0" w:type="dxa"/>
          <w:right w:w="0" w:type="dxa"/>
        </w:tblCellMar>
      </w:tblPr>
      <w:tblGrid>
        <w:gridCol w:w="6875"/>
        <w:gridCol w:w="60"/>
        <w:gridCol w:w="104"/>
        <w:gridCol w:w="1310"/>
        <w:gridCol w:w="95"/>
        <w:gridCol w:w="60"/>
        <w:gridCol w:w="104"/>
        <w:gridCol w:w="1310"/>
        <w:gridCol w:w="110"/>
      </w:tblGrid>
      <w:tr>
        <w:trPr/>
        <w:tc>
          <w:tcPr>
            <w:tcW w:w="6875" w:type="dxa"/>
            <w:tcBorders/>
            <w:vAlign w:val="center"/>
          </w:tcPr>
          <w:p>
            <w:pPr>
              <w:pStyle w:val="TableContents"/>
              <w:bidi w:val="0"/>
              <w:spacing w:before="0" w:after="283"/>
              <w:jc w:val="left"/>
              <w:rPr/>
            </w:pPr>
            <w:bookmarkStart w:id="663" w:name="xdx_8B9_zheTUwAe4dc8"/>
            <w:bookmarkEnd w:id="663"/>
            <w:r>
              <w:rPr/>
              <w:t>Schedule of reconciliation of effective income tax rate</w:t>
            </w:r>
          </w:p>
        </w:tc>
        <w:tc>
          <w:tcPr>
            <w:tcW w:w="60" w:type="dxa"/>
            <w:tcBorders/>
            <w:vAlign w:val="center"/>
          </w:tcPr>
          <w:p>
            <w:pPr>
              <w:pStyle w:val="TableContents"/>
              <w:bidi w:val="0"/>
              <w:spacing w:before="0" w:after="283"/>
              <w:jc w:val="left"/>
              <w:rPr/>
            </w:pPr>
            <w:r>
              <w:rPr/>
              <w:t> </w:t>
            </w:r>
            <w:bookmarkStart w:id="664" w:name="xdx_49E_20220701__20230630_zJqUZ9fTFvyf"/>
            <w:bookmarkEnd w:id="664"/>
          </w:p>
        </w:tc>
        <w:tc>
          <w:tcPr>
            <w:tcW w:w="1414"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65" w:name="xdx_496_20210701__20220630_zZ7ADX1Uiqi4"/>
            <w:bookmarkEnd w:id="665"/>
          </w:p>
        </w:tc>
        <w:tc>
          <w:tcPr>
            <w:tcW w:w="1414"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68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2022</w:t>
            </w:r>
          </w:p>
        </w:tc>
        <w:tc>
          <w:tcPr>
            <w:tcW w:w="110" w:type="dxa"/>
            <w:tcBorders/>
            <w:vAlign w:val="center"/>
          </w:tcPr>
          <w:p>
            <w:pPr>
              <w:pStyle w:val="TableContents"/>
              <w:bidi w:val="0"/>
              <w:spacing w:before="0" w:after="283"/>
              <w:jc w:val="left"/>
              <w:rPr/>
            </w:pPr>
            <w:r>
              <w:rPr/>
              <w:t> </w:t>
            </w:r>
          </w:p>
        </w:tc>
      </w:tr>
      <w:tr>
        <w:trPr/>
        <w:tc>
          <w:tcPr>
            <w:tcW w:w="6875" w:type="dxa"/>
            <w:tcBorders/>
            <w:shd w:fill="EEEEEE" w:val="clear"/>
            <w:vAlign w:val="center"/>
          </w:tcPr>
          <w:p>
            <w:pPr>
              <w:pStyle w:val="TableContents"/>
              <w:bidi w:val="0"/>
              <w:spacing w:before="0" w:after="283"/>
              <w:jc w:val="left"/>
              <w:rPr/>
            </w:pPr>
            <w:r>
              <w:rPr/>
              <w:t>Statutory tax rate</w:t>
            </w:r>
          </w:p>
        </w:tc>
        <w:tc>
          <w:tcPr>
            <w:tcW w:w="60" w:type="dxa"/>
            <w:tcBorders/>
            <w:shd w:fill="EEEEEE" w:val="clear"/>
            <w:vAlign w:val="center"/>
          </w:tcPr>
          <w:p>
            <w:pPr>
              <w:pStyle w:val="TableContents"/>
              <w:bidi w:val="0"/>
              <w:spacing w:before="0" w:after="283"/>
              <w:jc w:val="left"/>
              <w:rPr/>
            </w:pPr>
            <w:r>
              <w:rPr/>
              <w:t> </w:t>
            </w:r>
          </w:p>
        </w:tc>
        <w:tc>
          <w:tcPr>
            <w:tcW w:w="104" w:type="dxa"/>
            <w:tcBorders/>
            <w:shd w:fill="EEEEEE" w:val="clear"/>
            <w:vAlign w:val="center"/>
          </w:tcPr>
          <w:p>
            <w:pPr>
              <w:pStyle w:val="TableContents"/>
              <w:bidi w:val="0"/>
              <w:spacing w:before="0" w:after="283"/>
              <w:jc w:val="left"/>
              <w:rPr/>
            </w:pPr>
            <w:r>
              <w:rPr/>
              <w:t> </w:t>
            </w:r>
          </w:p>
        </w:tc>
        <w:tc>
          <w:tcPr>
            <w:tcW w:w="1310"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04" w:type="dxa"/>
            <w:tcBorders/>
            <w:shd w:fill="EEEEEE" w:val="clear"/>
            <w:vAlign w:val="center"/>
          </w:tcPr>
          <w:p>
            <w:pPr>
              <w:pStyle w:val="TableContents"/>
              <w:bidi w:val="0"/>
              <w:spacing w:before="0" w:after="283"/>
              <w:jc w:val="left"/>
              <w:rPr/>
            </w:pPr>
            <w:r>
              <w:rPr/>
              <w:t> </w:t>
            </w:r>
          </w:p>
        </w:tc>
        <w:tc>
          <w:tcPr>
            <w:tcW w:w="1310" w:type="dxa"/>
            <w:tcBorders/>
            <w:shd w:fill="EEEEEE" w:val="clear"/>
            <w:vAlign w:val="center"/>
          </w:tcPr>
          <w:p>
            <w:pPr>
              <w:pStyle w:val="TableContents"/>
              <w:bidi w:val="0"/>
              <w:spacing w:before="0" w:after="283"/>
              <w:jc w:val="right"/>
              <w:rPr/>
            </w:pPr>
            <w:r>
              <w:rPr/>
              <w:t> </w:t>
            </w:r>
          </w:p>
        </w:tc>
        <w:tc>
          <w:tcPr>
            <w:tcW w:w="110" w:type="dxa"/>
            <w:tcBorders/>
            <w:shd w:fill="EEEEEE" w:val="clear"/>
            <w:vAlign w:val="center"/>
          </w:tcPr>
          <w:p>
            <w:pPr>
              <w:pStyle w:val="TableContents"/>
              <w:bidi w:val="0"/>
              <w:spacing w:before="0" w:after="283"/>
              <w:jc w:val="left"/>
              <w:rPr/>
            </w:pPr>
            <w:r>
              <w:rPr/>
              <w:t> </w:t>
            </w:r>
            <w:bookmarkStart w:id="666" w:name="xdx_405_eus-gaap--EffectiveIncomeTaxRate"/>
            <w:bookmarkEnd w:id="666"/>
          </w:p>
        </w:tc>
      </w:tr>
      <w:tr>
        <w:trPr/>
        <w:tc>
          <w:tcPr>
            <w:tcW w:w="6875" w:type="dxa"/>
            <w:tcBorders/>
            <w:shd w:fill="FFFFFF" w:val="clear"/>
            <w:vAlign w:val="center"/>
          </w:tcPr>
          <w:p>
            <w:pPr>
              <w:pStyle w:val="TableContents"/>
              <w:bidi w:val="0"/>
              <w:spacing w:before="0" w:after="283"/>
              <w:jc w:val="left"/>
              <w:rPr/>
            </w:pPr>
            <w:r>
              <w:rPr/>
              <w:t>Federal</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right"/>
              <w:rPr/>
            </w:pPr>
            <w:r>
              <w:rPr/>
              <w:t>21.00%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right"/>
              <w:rPr/>
            </w:pPr>
            <w:r>
              <w:rPr/>
              <w:t>21.00%</w:t>
            </w:r>
          </w:p>
        </w:tc>
        <w:tc>
          <w:tcPr>
            <w:tcW w:w="110" w:type="dxa"/>
            <w:tcBorders/>
            <w:shd w:fill="FFFFFF" w:val="clear"/>
            <w:vAlign w:val="center"/>
          </w:tcPr>
          <w:p>
            <w:pPr>
              <w:pStyle w:val="TableContents"/>
              <w:bidi w:val="0"/>
              <w:spacing w:before="0" w:after="283"/>
              <w:jc w:val="left"/>
              <w:rPr/>
            </w:pPr>
            <w:r>
              <w:rPr/>
              <w:t> </w:t>
            </w:r>
            <w:bookmarkStart w:id="667" w:name="xdx_402_eus-gaap--EffectiveIncomeTaxRate"/>
            <w:bookmarkEnd w:id="667"/>
          </w:p>
        </w:tc>
      </w:tr>
      <w:tr>
        <w:trPr/>
        <w:tc>
          <w:tcPr>
            <w:tcW w:w="6875" w:type="dxa"/>
            <w:tcBorders/>
            <w:shd w:fill="EEEEEE" w:val="clear"/>
            <w:vAlign w:val="center"/>
          </w:tcPr>
          <w:p>
            <w:pPr>
              <w:pStyle w:val="TableContents"/>
              <w:bidi w:val="0"/>
              <w:spacing w:before="0" w:after="283"/>
              <w:jc w:val="left"/>
              <w:rPr/>
            </w:pPr>
            <w:r>
              <w:rPr/>
              <w:t>State (net of federal benefit)</w:t>
            </w:r>
          </w:p>
        </w:tc>
        <w:tc>
          <w:tcPr>
            <w:tcW w:w="60" w:type="dxa"/>
            <w:tcBorders/>
            <w:shd w:fill="EEEEEE" w:val="clear"/>
            <w:vAlign w:val="center"/>
          </w:tcPr>
          <w:p>
            <w:pPr>
              <w:pStyle w:val="TableContents"/>
              <w:bidi w:val="0"/>
              <w:spacing w:before="0" w:after="283"/>
              <w:jc w:val="left"/>
              <w:rPr/>
            </w:pPr>
            <w:r>
              <w:rPr/>
              <w:t> </w:t>
            </w:r>
          </w:p>
        </w:tc>
        <w:tc>
          <w:tcPr>
            <w:tcW w:w="104" w:type="dxa"/>
            <w:tcBorders/>
            <w:shd w:fill="EEEEEE" w:val="clear"/>
            <w:vAlign w:val="center"/>
          </w:tcPr>
          <w:p>
            <w:pPr>
              <w:pStyle w:val="TableContents"/>
              <w:bidi w:val="0"/>
              <w:spacing w:before="0" w:after="283"/>
              <w:jc w:val="left"/>
              <w:rPr/>
            </w:pPr>
            <w:r>
              <w:rPr/>
              <w:t> </w:t>
            </w:r>
          </w:p>
        </w:tc>
        <w:tc>
          <w:tcPr>
            <w:tcW w:w="1310" w:type="dxa"/>
            <w:tcBorders/>
            <w:shd w:fill="EEEEEE" w:val="clear"/>
            <w:vAlign w:val="center"/>
          </w:tcPr>
          <w:p>
            <w:pPr>
              <w:pStyle w:val="TableContents"/>
              <w:bidi w:val="0"/>
              <w:spacing w:before="0" w:after="283"/>
              <w:jc w:val="right"/>
              <w:rPr/>
            </w:pPr>
            <w:r>
              <w:rPr/>
              <w:t>5.82%</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04" w:type="dxa"/>
            <w:tcBorders/>
            <w:shd w:fill="EEEEEE" w:val="clear"/>
            <w:vAlign w:val="center"/>
          </w:tcPr>
          <w:p>
            <w:pPr>
              <w:pStyle w:val="TableContents"/>
              <w:bidi w:val="0"/>
              <w:spacing w:before="0" w:after="283"/>
              <w:jc w:val="left"/>
              <w:rPr/>
            </w:pPr>
            <w:r>
              <w:rPr/>
              <w:t> </w:t>
            </w:r>
          </w:p>
        </w:tc>
        <w:tc>
          <w:tcPr>
            <w:tcW w:w="1310" w:type="dxa"/>
            <w:tcBorders/>
            <w:shd w:fill="EEEEEE" w:val="clear"/>
            <w:vAlign w:val="center"/>
          </w:tcPr>
          <w:p>
            <w:pPr>
              <w:pStyle w:val="TableContents"/>
              <w:bidi w:val="0"/>
              <w:spacing w:before="0" w:after="283"/>
              <w:jc w:val="right"/>
              <w:rPr/>
            </w:pPr>
            <w:r>
              <w:rPr/>
              <w:t>6.01%</w:t>
            </w:r>
          </w:p>
        </w:tc>
        <w:tc>
          <w:tcPr>
            <w:tcW w:w="110" w:type="dxa"/>
            <w:tcBorders/>
            <w:shd w:fill="EEEEEE" w:val="clear"/>
            <w:vAlign w:val="center"/>
          </w:tcPr>
          <w:p>
            <w:pPr>
              <w:pStyle w:val="TableContents"/>
              <w:bidi w:val="0"/>
              <w:spacing w:before="0" w:after="283"/>
              <w:jc w:val="left"/>
              <w:rPr/>
            </w:pPr>
            <w:r>
              <w:rPr/>
              <w:t> </w:t>
            </w:r>
            <w:bookmarkStart w:id="668" w:name="xdx_40E_eus-gaap--EffectiveIncomeTaxRate"/>
            <w:bookmarkEnd w:id="668"/>
          </w:p>
        </w:tc>
      </w:tr>
      <w:tr>
        <w:trPr/>
        <w:tc>
          <w:tcPr>
            <w:tcW w:w="6875" w:type="dxa"/>
            <w:tcBorders/>
            <w:shd w:fill="FFFFFF" w:val="clear"/>
            <w:vAlign w:val="center"/>
          </w:tcPr>
          <w:p>
            <w:pPr>
              <w:pStyle w:val="TableContents"/>
              <w:bidi w:val="0"/>
              <w:spacing w:before="0" w:after="283"/>
              <w:jc w:val="left"/>
              <w:rPr/>
            </w:pPr>
            <w:r>
              <w:rPr/>
              <w:t>Foreign tax rate difference</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right"/>
              <w:rPr/>
            </w:pPr>
            <w:r>
              <w:rPr/>
              <w:t>0.44%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right"/>
              <w:rPr/>
            </w:pPr>
            <w:r>
              <w:rPr/>
              <w:t>(1.12%</w:t>
            </w:r>
          </w:p>
        </w:tc>
        <w:tc>
          <w:tcPr>
            <w:tcW w:w="110" w:type="dxa"/>
            <w:tcBorders/>
            <w:shd w:fill="FFFFFF" w:val="clear"/>
            <w:vAlign w:val="center"/>
          </w:tcPr>
          <w:p>
            <w:pPr>
              <w:pStyle w:val="TableContents"/>
              <w:bidi w:val="0"/>
              <w:spacing w:before="0" w:after="283"/>
              <w:jc w:val="left"/>
              <w:rPr/>
            </w:pPr>
            <w:r>
              <w:rPr/>
              <w:t>)</w:t>
            </w:r>
            <w:bookmarkStart w:id="669" w:name="xdx_407_eus-gaap--EffectiveIncomeTaxRate"/>
            <w:bookmarkEnd w:id="669"/>
          </w:p>
        </w:tc>
      </w:tr>
      <w:tr>
        <w:trPr/>
        <w:tc>
          <w:tcPr>
            <w:tcW w:w="6875" w:type="dxa"/>
            <w:tcBorders/>
            <w:shd w:fill="EEEEEE" w:val="clear"/>
            <w:vAlign w:val="center"/>
          </w:tcPr>
          <w:p>
            <w:pPr>
              <w:pStyle w:val="TableContents"/>
              <w:bidi w:val="0"/>
              <w:spacing w:before="0" w:after="283"/>
              <w:jc w:val="left"/>
              <w:rPr/>
            </w:pPr>
            <w:r>
              <w:rPr/>
              <w:t>Impairment loss on goodwill – permanent difference</w:t>
            </w:r>
          </w:p>
        </w:tc>
        <w:tc>
          <w:tcPr>
            <w:tcW w:w="60" w:type="dxa"/>
            <w:tcBorders/>
            <w:shd w:fill="EEEEEE" w:val="clear"/>
            <w:vAlign w:val="center"/>
          </w:tcPr>
          <w:p>
            <w:pPr>
              <w:pStyle w:val="TableContents"/>
              <w:bidi w:val="0"/>
              <w:spacing w:before="0" w:after="283"/>
              <w:jc w:val="left"/>
              <w:rPr/>
            </w:pPr>
            <w:r>
              <w:rPr/>
              <w:t> </w:t>
            </w:r>
          </w:p>
        </w:tc>
        <w:tc>
          <w:tcPr>
            <w:tcW w:w="104" w:type="dxa"/>
            <w:tcBorders/>
            <w:shd w:fill="EEEEEE" w:val="clear"/>
            <w:vAlign w:val="center"/>
          </w:tcPr>
          <w:p>
            <w:pPr>
              <w:pStyle w:val="TableContents"/>
              <w:bidi w:val="0"/>
              <w:spacing w:before="0" w:after="283"/>
              <w:jc w:val="left"/>
              <w:rPr/>
            </w:pPr>
            <w:r>
              <w:rPr/>
              <w:t> </w:t>
            </w:r>
          </w:p>
        </w:tc>
        <w:tc>
          <w:tcPr>
            <w:tcW w:w="1310" w:type="dxa"/>
            <w:tcBorders/>
            <w:shd w:fill="EEEEEE" w:val="clear"/>
            <w:vAlign w:val="center"/>
          </w:tcPr>
          <w:p>
            <w:pPr>
              <w:pStyle w:val="TableContents"/>
              <w:bidi w:val="0"/>
              <w:spacing w:before="0" w:after="283"/>
              <w:jc w:val="right"/>
              <w:rPr/>
            </w:pPr>
            <w:r>
              <w:rPr/>
              <w:t>(5.63%</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04" w:type="dxa"/>
            <w:tcBorders/>
            <w:shd w:fill="EEEEEE" w:val="clear"/>
            <w:vAlign w:val="center"/>
          </w:tcPr>
          <w:p>
            <w:pPr>
              <w:pStyle w:val="TableContents"/>
              <w:bidi w:val="0"/>
              <w:spacing w:before="0" w:after="283"/>
              <w:jc w:val="left"/>
              <w:rPr/>
            </w:pPr>
            <w:r>
              <w:rPr/>
              <w:t> </w:t>
            </w:r>
          </w:p>
        </w:tc>
        <w:tc>
          <w:tcPr>
            <w:tcW w:w="1310" w:type="dxa"/>
            <w:tcBorders/>
            <w:shd w:fill="EEEEEE" w:val="clear"/>
            <w:vAlign w:val="center"/>
          </w:tcPr>
          <w:p>
            <w:pPr>
              <w:pStyle w:val="TableContents"/>
              <w:bidi w:val="0"/>
              <w:spacing w:before="0" w:after="283"/>
              <w:jc w:val="right"/>
              <w:rPr/>
            </w:pPr>
            <w:r>
              <w:rPr/>
              <w:t>–</w:t>
            </w:r>
          </w:p>
        </w:tc>
        <w:tc>
          <w:tcPr>
            <w:tcW w:w="110" w:type="dxa"/>
            <w:tcBorders/>
            <w:shd w:fill="EEEEEE" w:val="clear"/>
            <w:vAlign w:val="center"/>
          </w:tcPr>
          <w:p>
            <w:pPr>
              <w:pStyle w:val="TableContents"/>
              <w:bidi w:val="0"/>
              <w:spacing w:before="0" w:after="283"/>
              <w:jc w:val="left"/>
              <w:rPr/>
            </w:pPr>
            <w:r>
              <w:rPr/>
              <w:t> </w:t>
            </w:r>
            <w:bookmarkStart w:id="670" w:name="xdx_40A_eus-gaap--EffectiveIncomeTaxRate"/>
            <w:bookmarkEnd w:id="670"/>
          </w:p>
        </w:tc>
      </w:tr>
      <w:tr>
        <w:trPr/>
        <w:tc>
          <w:tcPr>
            <w:tcW w:w="6875" w:type="dxa"/>
            <w:tcBorders/>
            <w:shd w:fill="FFFFFF" w:val="clear"/>
            <w:vAlign w:val="center"/>
          </w:tcPr>
          <w:p>
            <w:pPr>
              <w:pStyle w:val="TableContents"/>
              <w:bidi w:val="0"/>
              <w:spacing w:before="0" w:after="283"/>
              <w:jc w:val="left"/>
              <w:rPr/>
            </w:pPr>
            <w:r>
              <w:rPr/>
              <w:t>Net effect of state income tax deduction and other permanent differences</w:t>
            </w:r>
          </w:p>
        </w:tc>
        <w:tc>
          <w:tcPr>
            <w:tcW w:w="60" w:type="dxa"/>
            <w:tcBorders/>
            <w:shd w:fill="FFFFFF" w:val="clear"/>
            <w:vAlign w:val="center"/>
          </w:tcPr>
          <w:p>
            <w:pPr>
              <w:pStyle w:val="TableContents"/>
              <w:bidi w:val="0"/>
              <w:spacing w:before="0" w:after="283"/>
              <w:jc w:val="left"/>
              <w:rPr/>
            </w:pPr>
            <w:r>
              <w:rPr/>
              <w:t> </w:t>
            </w:r>
          </w:p>
        </w:tc>
        <w:tc>
          <w:tcPr>
            <w:tcW w:w="1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10" w:type="dxa"/>
            <w:tcBorders>
              <w:bottom w:val="single" w:sz="8" w:space="0" w:color="000000"/>
            </w:tcBorders>
            <w:shd w:fill="FFFFFF" w:val="clear"/>
            <w:tcMar>
              <w:bottom w:w="28" w:type="dxa"/>
            </w:tcMar>
            <w:vAlign w:val="center"/>
          </w:tcPr>
          <w:p>
            <w:pPr>
              <w:pStyle w:val="TableContents"/>
              <w:bidi w:val="0"/>
              <w:spacing w:before="0" w:after="283"/>
              <w:jc w:val="right"/>
              <w:rPr/>
            </w:pPr>
            <w:r>
              <w:rPr/>
              <w:t>(3.29%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10" w:type="dxa"/>
            <w:tcBorders>
              <w:bottom w:val="single" w:sz="8" w:space="0" w:color="000000"/>
            </w:tcBorders>
            <w:shd w:fill="FFFFFF" w:val="clear"/>
            <w:tcMar>
              <w:bottom w:w="28" w:type="dxa"/>
            </w:tcMar>
            <w:vAlign w:val="center"/>
          </w:tcPr>
          <w:p>
            <w:pPr>
              <w:pStyle w:val="TableContents"/>
              <w:bidi w:val="0"/>
              <w:spacing w:before="0" w:after="283"/>
              <w:jc w:val="right"/>
              <w:rPr/>
            </w:pPr>
            <w:r>
              <w:rPr/>
              <w:t>1.20%</w:t>
            </w:r>
          </w:p>
        </w:tc>
        <w:tc>
          <w:tcPr>
            <w:tcW w:w="110" w:type="dxa"/>
            <w:tcBorders/>
            <w:shd w:fill="FFFFFF" w:val="clear"/>
            <w:vAlign w:val="center"/>
          </w:tcPr>
          <w:p>
            <w:pPr>
              <w:pStyle w:val="TableContents"/>
              <w:bidi w:val="0"/>
              <w:spacing w:before="0" w:after="283"/>
              <w:jc w:val="left"/>
              <w:rPr/>
            </w:pPr>
            <w:r>
              <w:rPr/>
              <w:t> </w:t>
            </w:r>
            <w:bookmarkStart w:id="671" w:name="xdx_405_eus-gaap--EffectiveIncomeTaxRate"/>
            <w:bookmarkEnd w:id="671"/>
          </w:p>
        </w:tc>
      </w:tr>
      <w:tr>
        <w:trPr/>
        <w:tc>
          <w:tcPr>
            <w:tcW w:w="6875" w:type="dxa"/>
            <w:tcBorders/>
            <w:shd w:fill="EEEEEE" w:val="clear"/>
            <w:vAlign w:val="center"/>
          </w:tcPr>
          <w:p>
            <w:pPr>
              <w:pStyle w:val="TableContents"/>
              <w:bidi w:val="0"/>
              <w:spacing w:before="0" w:after="283"/>
              <w:jc w:val="left"/>
              <w:rPr/>
            </w:pPr>
            <w:r>
              <w:rPr/>
              <w:t>Effective tax rate</w:t>
            </w:r>
          </w:p>
        </w:tc>
        <w:tc>
          <w:tcPr>
            <w:tcW w:w="60" w:type="dxa"/>
            <w:tcBorders/>
            <w:shd w:fill="EEEEEE" w:val="clear"/>
            <w:vAlign w:val="center"/>
          </w:tcPr>
          <w:p>
            <w:pPr>
              <w:pStyle w:val="TableContents"/>
              <w:bidi w:val="0"/>
              <w:spacing w:before="0" w:after="283"/>
              <w:jc w:val="left"/>
              <w:rPr/>
            </w:pPr>
            <w:r>
              <w:rPr/>
              <w:t> </w:t>
            </w:r>
          </w:p>
        </w:tc>
        <w:tc>
          <w:tcPr>
            <w:tcW w:w="104" w:type="dxa"/>
            <w:tcBorders>
              <w:bottom w:val="double" w:sz="6" w:space="0" w:color="000000"/>
            </w:tcBorders>
            <w:shd w:fill="EEEEEE" w:val="clear"/>
            <w:tcMar>
              <w:bottom w:w="28" w:type="dxa"/>
            </w:tcMar>
            <w:vAlign w:val="center"/>
          </w:tcPr>
          <w:p>
            <w:pPr>
              <w:pStyle w:val="TableContents"/>
              <w:bidi w:val="0"/>
              <w:spacing w:before="0" w:after="283"/>
              <w:jc w:val="left"/>
              <w:rPr/>
            </w:pPr>
            <w:r>
              <w:rPr/>
              <w:t> </w:t>
            </w:r>
          </w:p>
        </w:tc>
        <w:tc>
          <w:tcPr>
            <w:tcW w:w="1310" w:type="dxa"/>
            <w:tcBorders>
              <w:bottom w:val="double" w:sz="6" w:space="0" w:color="000000"/>
            </w:tcBorders>
            <w:shd w:fill="EEEEEE" w:val="clear"/>
            <w:tcMar>
              <w:bottom w:w="28" w:type="dxa"/>
            </w:tcMar>
            <w:vAlign w:val="center"/>
          </w:tcPr>
          <w:p>
            <w:pPr>
              <w:pStyle w:val="TableContents"/>
              <w:bidi w:val="0"/>
              <w:spacing w:before="0" w:after="283"/>
              <w:jc w:val="right"/>
              <w:rPr/>
            </w:pPr>
            <w:r>
              <w:rPr/>
              <w:t>18.34%</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04" w:type="dxa"/>
            <w:tcBorders>
              <w:bottom w:val="double" w:sz="6" w:space="0" w:color="000000"/>
            </w:tcBorders>
            <w:shd w:fill="EEEEEE" w:val="clear"/>
            <w:tcMar>
              <w:bottom w:w="28" w:type="dxa"/>
            </w:tcMar>
            <w:vAlign w:val="center"/>
          </w:tcPr>
          <w:p>
            <w:pPr>
              <w:pStyle w:val="TableContents"/>
              <w:bidi w:val="0"/>
              <w:spacing w:before="0" w:after="283"/>
              <w:jc w:val="left"/>
              <w:rPr/>
            </w:pPr>
            <w:r>
              <w:rPr/>
              <w:t> </w:t>
            </w:r>
          </w:p>
        </w:tc>
        <w:tc>
          <w:tcPr>
            <w:tcW w:w="1310" w:type="dxa"/>
            <w:tcBorders>
              <w:bottom w:val="double" w:sz="6" w:space="0" w:color="000000"/>
            </w:tcBorders>
            <w:shd w:fill="EEEEEE" w:val="clear"/>
            <w:tcMar>
              <w:bottom w:w="28" w:type="dxa"/>
            </w:tcMar>
            <w:vAlign w:val="center"/>
          </w:tcPr>
          <w:p>
            <w:pPr>
              <w:pStyle w:val="TableContents"/>
              <w:bidi w:val="0"/>
              <w:spacing w:before="0" w:after="283"/>
              <w:jc w:val="right"/>
              <w:rPr/>
            </w:pPr>
            <w:r>
              <w:rPr/>
              <w:t>27.09%</w:t>
            </w:r>
          </w:p>
        </w:tc>
        <w:tc>
          <w:tcPr>
            <w:tcW w:w="110" w:type="dxa"/>
            <w:tcBorders/>
            <w:shd w:fill="EEEEEE"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72" w:name="xdx_8A7_zzIfQj49r2R6"/>
      <w:bookmarkEnd w:id="672"/>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2023, prepaid income taxes to US tax authorities and income tax payable to Chinese tax authorities was $</w:t>
      </w:r>
      <w:bookmarkStart w:id="673" w:name="xdx_90E_eus-gaap--PrepaidTaxes_iI_pp0p0_"/>
      <w:bookmarkEnd w:id="673"/>
      <w:r>
        <w:rPr>
          <w:rFonts w:ascii="Times New Roman;Times;Serif" w:hAnsi="Times New Roman;Times;Serif"/>
          <w:b w:val="false"/>
          <w:i w:val="false"/>
          <w:caps w:val="false"/>
          <w:smallCaps w:val="false"/>
          <w:sz w:val="20"/>
        </w:rPr>
        <w:t>45,718 and $</w:t>
      </w:r>
      <w:bookmarkStart w:id="674" w:name="xdx_904_eus-gaap--PrepaidTaxes_iI_pp0p0_"/>
      <w:bookmarkEnd w:id="674"/>
      <w:r>
        <w:rPr>
          <w:rFonts w:ascii="Times New Roman;Times;Serif" w:hAnsi="Times New Roman;Times;Serif"/>
          <w:b w:val="false"/>
          <w:i w:val="false"/>
          <w:caps w:val="false"/>
          <w:smallCaps w:val="false"/>
          <w:sz w:val="20"/>
        </w:rPr>
        <w:t>276,683, respectively. As of June 30, 2022, prepaid income taxes to US tax authorities and income tax payable to Chinese tax authorities was $</w:t>
      </w:r>
      <w:bookmarkStart w:id="675" w:name="xdx_90C_eus-gaap--PrepaidTaxes_iI_pp0p0_"/>
      <w:bookmarkEnd w:id="675"/>
      <w:r>
        <w:rPr>
          <w:rFonts w:ascii="Times New Roman;Times;Serif" w:hAnsi="Times New Roman;Times;Serif"/>
          <w:b w:val="false"/>
          <w:i w:val="false"/>
          <w:caps w:val="false"/>
          <w:smallCaps w:val="false"/>
          <w:sz w:val="20"/>
        </w:rPr>
        <w:t>375,087 and $</w:t>
      </w:r>
      <w:bookmarkStart w:id="676" w:name="xdx_905_eus-gaap--PrepaidTaxes_iI_pp0p0_"/>
      <w:bookmarkEnd w:id="676"/>
      <w:r>
        <w:rPr>
          <w:rFonts w:ascii="Times New Roman;Times;Serif" w:hAnsi="Times New Roman;Times;Serif"/>
          <w:b w:val="false"/>
          <w:i w:val="false"/>
          <w:caps w:val="false"/>
          <w:smallCaps w:val="false"/>
          <w:sz w:val="20"/>
        </w:rPr>
        <w:t>299,563,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677" w:name="xdx_235_zmtNrC1xTWIg"/>
      <w:bookmarkEnd w:id="677"/>
      <w:r>
        <w:rPr>
          <w:caps w:val="false"/>
          <w:smallCaps w:val="false"/>
        </w:rPr>
        <w:t> </w:t>
      </w:r>
    </w:p>
    <w:p>
      <w:pPr>
        <w:pStyle w:val="TextBody"/>
        <w:bidi w:val="0"/>
        <w:spacing w:before="0" w:after="0"/>
        <w:ind w:left="0" w:right="0" w:hanging="0"/>
        <w:jc w:val="left"/>
        <w:rPr>
          <w:caps w:val="false"/>
          <w:smallCaps w:val="false"/>
        </w:rPr>
      </w:pPr>
      <w:bookmarkStart w:id="678" w:name="xdx_23B_zchTWcLFe93a"/>
      <w:bookmarkEnd w:id="678"/>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F-24</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bookmarkStart w:id="679" w:name="xdx_234_zOrgOciwOt91"/>
      <w:bookmarkEnd w:id="679"/>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caps w:val="false"/>
          <w:smallCaps w:val="false"/>
        </w:rPr>
      </w:pPr>
      <w:bookmarkStart w:id="680" w:name="xdx_23F_zbw0S9CvEwL"/>
      <w:bookmarkEnd w:id="680"/>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effects of temporary differences which give rise to significant portions of the deferred taxes are summarized as follows:</w:t>
      </w:r>
    </w:p>
    <w:p>
      <w:pPr>
        <w:pStyle w:val="Normal"/>
        <w:bidi w:val="0"/>
        <w:spacing w:before="0" w:after="0"/>
        <w:jc w:val="left"/>
        <w:rPr>
          <w:sz w:val="4"/>
          <w:szCs w:val="4"/>
        </w:rPr>
      </w:pPr>
      <w:r>
        <w:rPr>
          <w:sz w:val="4"/>
          <w:szCs w:val="4"/>
        </w:rPr>
      </w:r>
      <w:bookmarkStart w:id="681" w:name="xdx_89E_eus-gaap--ScheduleOfDeferredTaxA"/>
      <w:bookmarkStart w:id="682" w:name="xdx_89E_eus-gaap--ScheduleOfDeferredTaxA"/>
      <w:bookmarkEnd w:id="682"/>
    </w:p>
    <w:tbl>
      <w:tblPr>
        <w:tblW w:w="6140" w:type="dxa"/>
        <w:jc w:val="left"/>
        <w:tblInd w:w="0" w:type="dxa"/>
        <w:tblLayout w:type="fixed"/>
        <w:tblCellMar>
          <w:top w:w="0" w:type="dxa"/>
          <w:left w:w="0" w:type="dxa"/>
          <w:bottom w:w="0" w:type="dxa"/>
          <w:right w:w="0" w:type="dxa"/>
        </w:tblCellMar>
      </w:tblPr>
      <w:tblGrid>
        <w:gridCol w:w="3425"/>
        <w:gridCol w:w="60"/>
        <w:gridCol w:w="140"/>
        <w:gridCol w:w="1055"/>
        <w:gridCol w:w="95"/>
        <w:gridCol w:w="60"/>
        <w:gridCol w:w="140"/>
        <w:gridCol w:w="1055"/>
        <w:gridCol w:w="110"/>
      </w:tblGrid>
      <w:tr>
        <w:trPr/>
        <w:tc>
          <w:tcPr>
            <w:tcW w:w="3425" w:type="dxa"/>
            <w:tcBorders/>
            <w:vAlign w:val="center"/>
          </w:tcPr>
          <w:p>
            <w:pPr>
              <w:pStyle w:val="TableContents"/>
              <w:bidi w:val="0"/>
              <w:spacing w:before="0" w:after="283"/>
              <w:jc w:val="left"/>
              <w:rPr/>
            </w:pPr>
            <w:bookmarkStart w:id="683" w:name="xdx_8B9_zjcGlcgWQwG4"/>
            <w:bookmarkEnd w:id="683"/>
            <w:r>
              <w:rPr/>
              <w:t>Schedule of deferred taxes</w:t>
            </w:r>
          </w:p>
        </w:tc>
        <w:tc>
          <w:tcPr>
            <w:tcW w:w="60" w:type="dxa"/>
            <w:tcBorders/>
            <w:vAlign w:val="center"/>
          </w:tcPr>
          <w:p>
            <w:pPr>
              <w:pStyle w:val="TableContents"/>
              <w:bidi w:val="0"/>
              <w:spacing w:before="0" w:after="283"/>
              <w:jc w:val="left"/>
              <w:rPr/>
            </w:pPr>
            <w:r>
              <w:rPr/>
              <w:t> </w:t>
            </w:r>
            <w:bookmarkStart w:id="684" w:name="xdx_49A_20230630_zxKtSEiGQb2h"/>
            <w:bookmarkEnd w:id="684"/>
          </w:p>
        </w:tc>
        <w:tc>
          <w:tcPr>
            <w:tcW w:w="119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85" w:name="xdx_49D_20220630_zlXRFnIcYanf"/>
            <w:bookmarkEnd w:id="685"/>
          </w:p>
        </w:tc>
        <w:tc>
          <w:tcPr>
            <w:tcW w:w="119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110" w:type="dxa"/>
            <w:tcBorders/>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jc w:val="left"/>
              <w:rPr/>
            </w:pPr>
            <w:r>
              <w:rPr/>
              <w:t> </w:t>
            </w:r>
            <w:bookmarkStart w:id="686" w:name="xdx_400_eus-gaap--DeferredTaxAssetsNetAb"/>
            <w:bookmarkEnd w:id="686"/>
          </w:p>
        </w:tc>
      </w:tr>
      <w:tr>
        <w:trPr/>
        <w:tc>
          <w:tcPr>
            <w:tcW w:w="3425" w:type="dxa"/>
            <w:tcBorders/>
            <w:shd w:fill="EEEEEE" w:val="clear"/>
            <w:vAlign w:val="center"/>
          </w:tcPr>
          <w:p>
            <w:pPr>
              <w:pStyle w:val="TableContents"/>
              <w:bidi w:val="0"/>
              <w:spacing w:before="0" w:after="283"/>
              <w:jc w:val="left"/>
              <w:rPr>
                <w:b/>
              </w:rPr>
            </w:pPr>
            <w:r>
              <w:rPr>
                <w:b/>
              </w:rPr>
              <w:t>Deferred tax assets</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055"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055" w:type="dxa"/>
            <w:tcBorders/>
            <w:shd w:fill="EEEEEE" w:val="clear"/>
            <w:vAlign w:val="center"/>
          </w:tcPr>
          <w:p>
            <w:pPr>
              <w:pStyle w:val="TableContents"/>
              <w:bidi w:val="0"/>
              <w:spacing w:before="0" w:after="283"/>
              <w:jc w:val="right"/>
              <w:rPr/>
            </w:pPr>
            <w:r>
              <w:rPr/>
              <w:t> </w:t>
            </w:r>
          </w:p>
        </w:tc>
        <w:tc>
          <w:tcPr>
            <w:tcW w:w="110" w:type="dxa"/>
            <w:tcBorders/>
            <w:shd w:fill="EEEEEE" w:val="clear"/>
            <w:vAlign w:val="center"/>
          </w:tcPr>
          <w:p>
            <w:pPr>
              <w:pStyle w:val="TableContents"/>
              <w:bidi w:val="0"/>
              <w:spacing w:before="0" w:after="283"/>
              <w:jc w:val="left"/>
              <w:rPr/>
            </w:pPr>
            <w:r>
              <w:rPr/>
              <w:t> </w:t>
            </w:r>
            <w:bookmarkStart w:id="687" w:name="xdx_40A_eus-gaap--DeferredTaxAssetsTaxDe"/>
            <w:bookmarkEnd w:id="687"/>
          </w:p>
        </w:tc>
      </w:tr>
      <w:tr>
        <w:trPr/>
        <w:tc>
          <w:tcPr>
            <w:tcW w:w="3425" w:type="dxa"/>
            <w:tcBorders/>
            <w:shd w:fill="FFFFFF" w:val="clear"/>
            <w:vAlign w:val="center"/>
          </w:tcPr>
          <w:p>
            <w:pPr>
              <w:pStyle w:val="TableContents"/>
              <w:bidi w:val="0"/>
              <w:spacing w:before="0" w:after="283"/>
              <w:jc w:val="left"/>
              <w:rPr/>
            </w:pPr>
            <w:r>
              <w:rPr/>
              <w:t>263A calculation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239,142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123,884</w:t>
            </w:r>
          </w:p>
        </w:tc>
        <w:tc>
          <w:tcPr>
            <w:tcW w:w="110" w:type="dxa"/>
            <w:tcBorders/>
            <w:shd w:fill="FFFFFF" w:val="clear"/>
            <w:vAlign w:val="center"/>
          </w:tcPr>
          <w:p>
            <w:pPr>
              <w:pStyle w:val="TableContents"/>
              <w:bidi w:val="0"/>
              <w:spacing w:before="0" w:after="283"/>
              <w:jc w:val="left"/>
              <w:rPr/>
            </w:pPr>
            <w:r>
              <w:rPr/>
              <w:t> </w:t>
            </w:r>
            <w:bookmarkStart w:id="688" w:name="xdx_402_eus-gaap--DeferredTaxAssetsInven"/>
            <w:bookmarkEnd w:id="688"/>
          </w:p>
        </w:tc>
      </w:tr>
      <w:tr>
        <w:trPr/>
        <w:tc>
          <w:tcPr>
            <w:tcW w:w="3425" w:type="dxa"/>
            <w:tcBorders/>
            <w:shd w:fill="EEEEEE" w:val="clear"/>
            <w:vAlign w:val="center"/>
          </w:tcPr>
          <w:p>
            <w:pPr>
              <w:pStyle w:val="TableContents"/>
              <w:bidi w:val="0"/>
              <w:spacing w:before="0" w:after="283"/>
              <w:jc w:val="left"/>
              <w:rPr/>
            </w:pPr>
            <w:r>
              <w:rPr/>
              <w:t>Inventory reserve</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055" w:type="dxa"/>
            <w:tcBorders/>
            <w:shd w:fill="EEEEEE" w:val="clear"/>
            <w:vAlign w:val="center"/>
          </w:tcPr>
          <w:p>
            <w:pPr>
              <w:pStyle w:val="TableContents"/>
              <w:bidi w:val="0"/>
              <w:spacing w:before="0" w:after="283"/>
              <w:jc w:val="right"/>
              <w:rPr/>
            </w:pPr>
            <w:r>
              <w:rPr/>
              <w:t>149,907</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055" w:type="dxa"/>
            <w:tcBorders/>
            <w:shd w:fill="EEEEEE" w:val="clear"/>
            <w:vAlign w:val="center"/>
          </w:tcPr>
          <w:p>
            <w:pPr>
              <w:pStyle w:val="TableContents"/>
              <w:bidi w:val="0"/>
              <w:spacing w:before="0" w:after="283"/>
              <w:jc w:val="right"/>
              <w:rPr/>
            </w:pPr>
            <w:r>
              <w:rPr/>
              <w:t>71,026</w:t>
            </w:r>
          </w:p>
        </w:tc>
        <w:tc>
          <w:tcPr>
            <w:tcW w:w="110" w:type="dxa"/>
            <w:tcBorders/>
            <w:shd w:fill="EEEEEE" w:val="clear"/>
            <w:vAlign w:val="center"/>
          </w:tcPr>
          <w:p>
            <w:pPr>
              <w:pStyle w:val="TableContents"/>
              <w:bidi w:val="0"/>
              <w:spacing w:before="0" w:after="283"/>
              <w:jc w:val="left"/>
              <w:rPr/>
            </w:pPr>
            <w:r>
              <w:rPr/>
              <w:t> </w:t>
            </w:r>
            <w:bookmarkStart w:id="689" w:name="xdx_409_eus-gaap--DeferredTaxAssetsState"/>
            <w:bookmarkEnd w:id="689"/>
          </w:p>
        </w:tc>
      </w:tr>
      <w:tr>
        <w:trPr/>
        <w:tc>
          <w:tcPr>
            <w:tcW w:w="3425" w:type="dxa"/>
            <w:tcBorders/>
            <w:shd w:fill="FFFFFF" w:val="clear"/>
            <w:vAlign w:val="center"/>
          </w:tcPr>
          <w:p>
            <w:pPr>
              <w:pStyle w:val="TableContents"/>
              <w:bidi w:val="0"/>
              <w:spacing w:before="0" w:after="283"/>
              <w:jc w:val="left"/>
              <w:rPr/>
            </w:pPr>
            <w:r>
              <w:rPr/>
              <w:t>State 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2,435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45,234</w:t>
            </w:r>
          </w:p>
        </w:tc>
        <w:tc>
          <w:tcPr>
            <w:tcW w:w="110" w:type="dxa"/>
            <w:tcBorders/>
            <w:shd w:fill="FFFFFF" w:val="clear"/>
            <w:vAlign w:val="center"/>
          </w:tcPr>
          <w:p>
            <w:pPr>
              <w:pStyle w:val="TableContents"/>
              <w:bidi w:val="0"/>
              <w:spacing w:before="0" w:after="283"/>
              <w:jc w:val="left"/>
              <w:rPr/>
            </w:pPr>
            <w:r>
              <w:rPr/>
              <w:t> </w:t>
            </w:r>
            <w:bookmarkStart w:id="690" w:name="xdx_407_eus-gaap--DeferredTaxAssetsTaxDe"/>
            <w:bookmarkEnd w:id="690"/>
          </w:p>
        </w:tc>
      </w:tr>
      <w:tr>
        <w:trPr/>
        <w:tc>
          <w:tcPr>
            <w:tcW w:w="3425" w:type="dxa"/>
            <w:tcBorders/>
            <w:shd w:fill="EEEEEE" w:val="clear"/>
            <w:vAlign w:val="center"/>
          </w:tcPr>
          <w:p>
            <w:pPr>
              <w:pStyle w:val="TableContents"/>
              <w:bidi w:val="0"/>
              <w:spacing w:before="0" w:after="283"/>
              <w:jc w:val="left"/>
              <w:rPr/>
            </w:pPr>
            <w:r>
              <w:rPr/>
              <w:t>Accrued expenses</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055" w:type="dxa"/>
            <w:tcBorders/>
            <w:shd w:fill="EEEEEE" w:val="clear"/>
            <w:vAlign w:val="center"/>
          </w:tcPr>
          <w:p>
            <w:pPr>
              <w:pStyle w:val="TableContents"/>
              <w:bidi w:val="0"/>
              <w:spacing w:before="0" w:after="283"/>
              <w:jc w:val="right"/>
              <w:rPr/>
            </w:pPr>
            <w:r>
              <w:rPr/>
              <w:t>273,589</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055" w:type="dxa"/>
            <w:tcBorders/>
            <w:shd w:fill="EEEEEE" w:val="clear"/>
            <w:vAlign w:val="center"/>
          </w:tcPr>
          <w:p>
            <w:pPr>
              <w:pStyle w:val="TableContents"/>
              <w:bidi w:val="0"/>
              <w:spacing w:before="0" w:after="283"/>
              <w:jc w:val="right"/>
              <w:rPr/>
            </w:pPr>
            <w:r>
              <w:rPr/>
              <w:t>69,172</w:t>
            </w:r>
          </w:p>
        </w:tc>
        <w:tc>
          <w:tcPr>
            <w:tcW w:w="110" w:type="dxa"/>
            <w:tcBorders/>
            <w:shd w:fill="EEEEEE" w:val="clear"/>
            <w:vAlign w:val="center"/>
          </w:tcPr>
          <w:p>
            <w:pPr>
              <w:pStyle w:val="TableContents"/>
              <w:bidi w:val="0"/>
              <w:spacing w:before="0" w:after="283"/>
              <w:jc w:val="left"/>
              <w:rPr/>
            </w:pPr>
            <w:r>
              <w:rPr/>
              <w:t> </w:t>
            </w:r>
            <w:bookmarkStart w:id="691" w:name="xdx_404_ecustom--DeferredTaxAssetsLeaseA"/>
            <w:bookmarkEnd w:id="691"/>
          </w:p>
        </w:tc>
      </w:tr>
      <w:tr>
        <w:trPr/>
        <w:tc>
          <w:tcPr>
            <w:tcW w:w="3425" w:type="dxa"/>
            <w:tcBorders/>
            <w:shd w:fill="FFFFFF" w:val="clear"/>
            <w:vAlign w:val="center"/>
          </w:tcPr>
          <w:p>
            <w:pPr>
              <w:pStyle w:val="TableContents"/>
              <w:bidi w:val="0"/>
              <w:spacing w:before="0" w:after="283"/>
              <w:jc w:val="left"/>
              <w:rPr/>
            </w:pPr>
            <w:r>
              <w:rPr/>
              <w:t>ROU assets /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115,125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83,738</w:t>
            </w:r>
          </w:p>
        </w:tc>
        <w:tc>
          <w:tcPr>
            <w:tcW w:w="110" w:type="dxa"/>
            <w:tcBorders/>
            <w:shd w:fill="FFFFFF" w:val="clear"/>
            <w:vAlign w:val="center"/>
          </w:tcPr>
          <w:p>
            <w:pPr>
              <w:pStyle w:val="TableContents"/>
              <w:bidi w:val="0"/>
              <w:spacing w:before="0" w:after="283"/>
              <w:jc w:val="left"/>
              <w:rPr/>
            </w:pPr>
            <w:r>
              <w:rPr/>
              <w:t> </w:t>
            </w:r>
            <w:bookmarkStart w:id="692" w:name="xdx_404_eus-gaap--DeferredTaxAssetsOpera"/>
            <w:bookmarkEnd w:id="692"/>
          </w:p>
        </w:tc>
      </w:tr>
      <w:tr>
        <w:trPr/>
        <w:tc>
          <w:tcPr>
            <w:tcW w:w="3425" w:type="dxa"/>
            <w:tcBorders/>
            <w:shd w:fill="EEEEEE" w:val="clear"/>
            <w:vAlign w:val="center"/>
          </w:tcPr>
          <w:p>
            <w:pPr>
              <w:pStyle w:val="TableContents"/>
              <w:bidi w:val="0"/>
              <w:spacing w:before="0" w:after="283"/>
              <w:jc w:val="left"/>
              <w:rPr/>
            </w:pPr>
            <w:r>
              <w:rPr/>
              <w:t>Net Operation loss</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055" w:type="dxa"/>
            <w:tcBorders/>
            <w:shd w:fill="EEEEEE" w:val="clear"/>
            <w:vAlign w:val="center"/>
          </w:tcPr>
          <w:p>
            <w:pPr>
              <w:pStyle w:val="TableContents"/>
              <w:bidi w:val="0"/>
              <w:spacing w:before="0" w:after="283"/>
              <w:jc w:val="right"/>
              <w:rPr/>
            </w:pPr>
            <w:r>
              <w:rPr/>
              <w:t>2,173,221</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055" w:type="dxa"/>
            <w:tcBorders/>
            <w:shd w:fill="EEEEEE" w:val="clear"/>
            <w:vAlign w:val="center"/>
          </w:tcPr>
          <w:p>
            <w:pPr>
              <w:pStyle w:val="TableContents"/>
              <w:bidi w:val="0"/>
              <w:spacing w:before="0" w:after="283"/>
              <w:jc w:val="right"/>
              <w:rPr/>
            </w:pPr>
            <w:r>
              <w:rPr/>
              <w:t>–</w:t>
            </w:r>
          </w:p>
        </w:tc>
        <w:tc>
          <w:tcPr>
            <w:tcW w:w="110" w:type="dxa"/>
            <w:tcBorders/>
            <w:shd w:fill="EEEEEE"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283"/>
              <w:jc w:val="left"/>
              <w:rPr/>
            </w:pPr>
            <w:r>
              <w:rPr/>
              <w:t>Disallowed interest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163,381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693" w:name="xdx_408_eus-gaap--DeferredTaxAssetsTaxDe"/>
            <w:bookmarkEnd w:id="693"/>
          </w:p>
        </w:tc>
      </w:tr>
      <w:tr>
        <w:trPr/>
        <w:tc>
          <w:tcPr>
            <w:tcW w:w="3425" w:type="dxa"/>
            <w:tcBorders/>
            <w:shd w:fill="EEEEEE" w:val="clear"/>
            <w:vAlign w:val="center"/>
          </w:tcPr>
          <w:p>
            <w:pPr>
              <w:pStyle w:val="TableContents"/>
              <w:bidi w:val="0"/>
              <w:spacing w:before="0" w:after="283"/>
              <w:jc w:val="left"/>
              <w:rPr/>
            </w:pPr>
            <w:r>
              <w:rPr/>
              <w:t>Stock-based compensation</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055" w:type="dxa"/>
            <w:tcBorders/>
            <w:shd w:fill="EEEEEE" w:val="clear"/>
            <w:vAlign w:val="center"/>
          </w:tcPr>
          <w:p>
            <w:pPr>
              <w:pStyle w:val="TableContents"/>
              <w:bidi w:val="0"/>
              <w:spacing w:before="0" w:after="283"/>
              <w:jc w:val="right"/>
              <w:rPr/>
            </w:pPr>
            <w:r>
              <w:rPr/>
              <w:t>207,726</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055" w:type="dxa"/>
            <w:tcBorders/>
            <w:shd w:fill="EEEEEE" w:val="clear"/>
            <w:vAlign w:val="center"/>
          </w:tcPr>
          <w:p>
            <w:pPr>
              <w:pStyle w:val="TableContents"/>
              <w:bidi w:val="0"/>
              <w:spacing w:before="0" w:after="283"/>
              <w:jc w:val="right"/>
              <w:rPr/>
            </w:pPr>
            <w:r>
              <w:rPr/>
              <w:t>70,266</w:t>
            </w:r>
          </w:p>
        </w:tc>
        <w:tc>
          <w:tcPr>
            <w:tcW w:w="110" w:type="dxa"/>
            <w:tcBorders/>
            <w:shd w:fill="EEEEEE" w:val="clear"/>
            <w:vAlign w:val="center"/>
          </w:tcPr>
          <w:p>
            <w:pPr>
              <w:pStyle w:val="TableContents"/>
              <w:bidi w:val="0"/>
              <w:spacing w:before="0" w:after="283"/>
              <w:jc w:val="left"/>
              <w:rPr/>
            </w:pPr>
            <w:r>
              <w:rPr/>
              <w:t> </w:t>
            </w:r>
            <w:bookmarkStart w:id="694" w:name="xdx_402_eus-gaap--DeferredTaxAssetsOther"/>
            <w:bookmarkEnd w:id="694"/>
          </w:p>
        </w:tc>
      </w:tr>
      <w:tr>
        <w:trPr/>
        <w:tc>
          <w:tcPr>
            <w:tcW w:w="3425" w:type="dxa"/>
            <w:tcBorders/>
            <w:shd w:fill="FFFFFF" w:val="clear"/>
            <w:vAlign w:val="center"/>
          </w:tcPr>
          <w:p>
            <w:pPr>
              <w:pStyle w:val="TableContents"/>
              <w:bidi w:val="0"/>
              <w:spacing w:before="0" w:after="283"/>
              <w:jc w:val="left"/>
              <w:rPr/>
            </w:pPr>
            <w:r>
              <w:rPr/>
              <w:t>Others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85,596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7,539</w:t>
            </w:r>
          </w:p>
        </w:tc>
        <w:tc>
          <w:tcPr>
            <w:tcW w:w="110" w:type="dxa"/>
            <w:tcBorders/>
            <w:shd w:fill="FFFFFF" w:val="clear"/>
            <w:vAlign w:val="center"/>
          </w:tcPr>
          <w:p>
            <w:pPr>
              <w:pStyle w:val="TableContents"/>
              <w:bidi w:val="0"/>
              <w:spacing w:before="0" w:after="283"/>
              <w:jc w:val="left"/>
              <w:rPr/>
            </w:pPr>
            <w:r>
              <w:rPr/>
              <w:t> </w:t>
            </w:r>
            <w:bookmarkStart w:id="695" w:name="xdx_40B_eus-gaap--DeferredTaxAssetsGross"/>
            <w:bookmarkEnd w:id="695"/>
          </w:p>
        </w:tc>
      </w:tr>
      <w:tr>
        <w:trPr/>
        <w:tc>
          <w:tcPr>
            <w:tcW w:w="3425" w:type="dxa"/>
            <w:tcBorders/>
            <w:shd w:fill="EEEEEE" w:val="clear"/>
            <w:vAlign w:val="center"/>
          </w:tcPr>
          <w:p>
            <w:pPr>
              <w:pStyle w:val="TableContents"/>
              <w:bidi w:val="0"/>
              <w:spacing w:before="0" w:after="283"/>
              <w:jc w:val="left"/>
              <w:rPr>
                <w:b/>
              </w:rPr>
            </w:pPr>
            <w:r>
              <w:rPr>
                <w:b/>
              </w:rPr>
              <w:t>Total deferred tax assets</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EEEEEE" w:val="clear"/>
            <w:tcMar>
              <w:bottom w:w="28" w:type="dxa"/>
            </w:tcMar>
            <w:vAlign w:val="center"/>
          </w:tcPr>
          <w:p>
            <w:pPr>
              <w:pStyle w:val="TableContents"/>
              <w:bidi w:val="0"/>
              <w:spacing w:before="0" w:after="283"/>
              <w:jc w:val="right"/>
              <w:rPr/>
            </w:pPr>
            <w:r>
              <w:rPr/>
              <w:t>3,410,122</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EEEEEE" w:val="clear"/>
            <w:tcMar>
              <w:bottom w:w="28" w:type="dxa"/>
            </w:tcMar>
            <w:vAlign w:val="center"/>
          </w:tcPr>
          <w:p>
            <w:pPr>
              <w:pStyle w:val="TableContents"/>
              <w:bidi w:val="0"/>
              <w:spacing w:before="0" w:after="283"/>
              <w:jc w:val="right"/>
              <w:rPr/>
            </w:pPr>
            <w:r>
              <w:rPr/>
              <w:t>470,859</w:t>
            </w:r>
          </w:p>
        </w:tc>
        <w:tc>
          <w:tcPr>
            <w:tcW w:w="110" w:type="dxa"/>
            <w:tcBorders/>
            <w:shd w:fill="EEEEEE"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696" w:name="xdx_409_eus-gaap--DeferredTaxLiabilities"/>
            <w:bookmarkEnd w:id="696"/>
          </w:p>
        </w:tc>
      </w:tr>
      <w:tr>
        <w:trPr/>
        <w:tc>
          <w:tcPr>
            <w:tcW w:w="3425" w:type="dxa"/>
            <w:tcBorders/>
            <w:shd w:fill="EEEEEE" w:val="clear"/>
            <w:vAlign w:val="center"/>
          </w:tcPr>
          <w:p>
            <w:pPr>
              <w:pStyle w:val="TableContents"/>
              <w:bidi w:val="0"/>
              <w:spacing w:before="0" w:after="283"/>
              <w:jc w:val="left"/>
              <w:rPr>
                <w:b/>
              </w:rPr>
            </w:pPr>
            <w:r>
              <w:rPr>
                <w:b/>
              </w:rPr>
              <w:t>Deferred tax liabilities</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055"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055" w:type="dxa"/>
            <w:tcBorders/>
            <w:shd w:fill="EEEEEE" w:val="clear"/>
            <w:vAlign w:val="center"/>
          </w:tcPr>
          <w:p>
            <w:pPr>
              <w:pStyle w:val="TableContents"/>
              <w:bidi w:val="0"/>
              <w:spacing w:before="0" w:after="283"/>
              <w:jc w:val="right"/>
              <w:rPr/>
            </w:pPr>
            <w:r>
              <w:rPr/>
              <w:t> </w:t>
            </w:r>
          </w:p>
        </w:tc>
        <w:tc>
          <w:tcPr>
            <w:tcW w:w="110" w:type="dxa"/>
            <w:tcBorders/>
            <w:shd w:fill="EEEEEE" w:val="clear"/>
            <w:vAlign w:val="center"/>
          </w:tcPr>
          <w:p>
            <w:pPr>
              <w:pStyle w:val="TableContents"/>
              <w:bidi w:val="0"/>
              <w:spacing w:before="0" w:after="283"/>
              <w:jc w:val="left"/>
              <w:rPr/>
            </w:pPr>
            <w:r>
              <w:rPr/>
              <w:t> </w:t>
            </w:r>
            <w:bookmarkStart w:id="697" w:name="xdx_408_eus-gaap--DeferredTaxLiabilities"/>
            <w:bookmarkEnd w:id="697"/>
          </w:p>
        </w:tc>
      </w:tr>
      <w:tr>
        <w:trPr/>
        <w:tc>
          <w:tcPr>
            <w:tcW w:w="3425" w:type="dxa"/>
            <w:tcBorders/>
            <w:shd w:fill="FFFFFF" w:val="clear"/>
            <w:vAlign w:val="center"/>
          </w:tcPr>
          <w:p>
            <w:pPr>
              <w:pStyle w:val="TableContents"/>
              <w:bidi w:val="0"/>
              <w:spacing w:before="0" w:after="283"/>
              <w:jc w:val="left"/>
              <w:rPr/>
            </w:pPr>
            <w:r>
              <w:rPr/>
              <w:t>Depreciation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(105,323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(86,254</w:t>
            </w:r>
          </w:p>
        </w:tc>
        <w:tc>
          <w:tcPr>
            <w:tcW w:w="110" w:type="dxa"/>
            <w:tcBorders/>
            <w:shd w:fill="FFFFFF" w:val="clear"/>
            <w:vAlign w:val="center"/>
          </w:tcPr>
          <w:p>
            <w:pPr>
              <w:pStyle w:val="TableContents"/>
              <w:bidi w:val="0"/>
              <w:spacing w:before="0" w:after="283"/>
              <w:jc w:val="left"/>
              <w:rPr/>
            </w:pPr>
            <w:r>
              <w:rPr/>
              <w:t>)</w:t>
            </w:r>
            <w:bookmarkStart w:id="698" w:name="xdx_407_eus-gaap--DeferredTaxLiabilities"/>
            <w:bookmarkEnd w:id="698"/>
          </w:p>
        </w:tc>
      </w:tr>
      <w:tr>
        <w:trPr/>
        <w:tc>
          <w:tcPr>
            <w:tcW w:w="3425" w:type="dxa"/>
            <w:tcBorders/>
            <w:shd w:fill="EEEEEE" w:val="clear"/>
            <w:vAlign w:val="center"/>
          </w:tcPr>
          <w:p>
            <w:pPr>
              <w:pStyle w:val="TableContents"/>
              <w:bidi w:val="0"/>
              <w:spacing w:before="0" w:after="283"/>
              <w:jc w:val="left"/>
              <w:rPr/>
            </w:pPr>
            <w:r>
              <w:rPr/>
              <w:t>Intangible assets acquired</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EEEEEE" w:val="clear"/>
            <w:tcMar>
              <w:bottom w:w="28" w:type="dxa"/>
            </w:tcMar>
            <w:vAlign w:val="center"/>
          </w:tcPr>
          <w:p>
            <w:pPr>
              <w:pStyle w:val="TableContents"/>
              <w:bidi w:val="0"/>
              <w:spacing w:before="0" w:after="283"/>
              <w:jc w:val="right"/>
              <w:rPr/>
            </w:pPr>
            <w:r>
              <w:rPr/>
              <w:t>(1,149,549</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EEEEEE" w:val="clear"/>
            <w:tcMar>
              <w:bottom w:w="28" w:type="dxa"/>
            </w:tcMar>
            <w:vAlign w:val="center"/>
          </w:tcPr>
          <w:p>
            <w:pPr>
              <w:pStyle w:val="TableContents"/>
              <w:bidi w:val="0"/>
              <w:spacing w:before="0" w:after="283"/>
              <w:jc w:val="right"/>
              <w:rPr/>
            </w:pPr>
            <w:r>
              <w:rPr/>
              <w:t>(1,323,720</w:t>
            </w:r>
          </w:p>
        </w:tc>
        <w:tc>
          <w:tcPr>
            <w:tcW w:w="110" w:type="dxa"/>
            <w:tcBorders/>
            <w:shd w:fill="EEEEEE" w:val="clear"/>
            <w:vAlign w:val="center"/>
          </w:tcPr>
          <w:p>
            <w:pPr>
              <w:pStyle w:val="TableContents"/>
              <w:bidi w:val="0"/>
              <w:spacing w:before="0" w:after="283"/>
              <w:jc w:val="left"/>
              <w:rPr/>
            </w:pPr>
            <w:r>
              <w:rPr/>
              <w:t>)</w:t>
            </w:r>
            <w:bookmarkStart w:id="699" w:name="xdx_408_eus-gaap--DeferredIncomeTaxLiabi"/>
            <w:bookmarkEnd w:id="699"/>
          </w:p>
        </w:tc>
      </w:tr>
      <w:tr>
        <w:trPr/>
        <w:tc>
          <w:tcPr>
            <w:tcW w:w="3425" w:type="dxa"/>
            <w:tcBorders/>
            <w:shd w:fill="FFFFFF" w:val="clear"/>
            <w:vAlign w:val="center"/>
          </w:tcPr>
          <w:p>
            <w:pPr>
              <w:pStyle w:val="TableContents"/>
              <w:bidi w:val="0"/>
              <w:spacing w:before="0" w:after="283"/>
              <w:jc w:val="left"/>
              <w:rPr>
                <w:b/>
              </w:rPr>
            </w:pPr>
            <w:r>
              <w:rPr>
                <w:b/>
              </w:rPr>
              <w:t>Total deferred tax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(1,254,872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(1,409,974</w:t>
            </w:r>
          </w:p>
        </w:tc>
        <w:tc>
          <w:tcPr>
            <w:tcW w:w="110" w:type="dxa"/>
            <w:tcBorders/>
            <w:shd w:fill="FFFFFF" w:val="clear"/>
            <w:vAlign w:val="center"/>
          </w:tcPr>
          <w:p>
            <w:pPr>
              <w:pStyle w:val="TableContents"/>
              <w:bidi w:val="0"/>
              <w:spacing w:before="0" w:after="283"/>
              <w:jc w:val="left"/>
              <w:rPr/>
            </w:pPr>
            <w:r>
              <w:rPr/>
              <w:t>)</w:t>
            </w:r>
          </w:p>
        </w:tc>
      </w:tr>
      <w:tr>
        <w:trPr/>
        <w:tc>
          <w:tcPr>
            <w:tcW w:w="342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055"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055" w:type="dxa"/>
            <w:tcBorders/>
            <w:shd w:fill="EEEEEE" w:val="clear"/>
            <w:vAlign w:val="center"/>
          </w:tcPr>
          <w:p>
            <w:pPr>
              <w:pStyle w:val="TableContents"/>
              <w:bidi w:val="0"/>
              <w:spacing w:before="0" w:after="283"/>
              <w:jc w:val="right"/>
              <w:rPr/>
            </w:pPr>
            <w:r>
              <w:rPr/>
              <w:t> </w:t>
            </w:r>
          </w:p>
        </w:tc>
        <w:tc>
          <w:tcPr>
            <w:tcW w:w="110" w:type="dxa"/>
            <w:tcBorders/>
            <w:shd w:fill="EEEEEE" w:val="clear"/>
            <w:vAlign w:val="center"/>
          </w:tcPr>
          <w:p>
            <w:pPr>
              <w:pStyle w:val="TableContents"/>
              <w:bidi w:val="0"/>
              <w:spacing w:before="0" w:after="283"/>
              <w:jc w:val="left"/>
              <w:rPr/>
            </w:pPr>
            <w:r>
              <w:rPr/>
              <w:t> </w:t>
            </w:r>
            <w:bookmarkStart w:id="700" w:name="xdx_40E_ecustom--NetDeferredTaxLiabiliti"/>
            <w:bookmarkEnd w:id="700"/>
          </w:p>
        </w:tc>
      </w:tr>
      <w:tr>
        <w:trPr/>
        <w:tc>
          <w:tcPr>
            <w:tcW w:w="3425" w:type="dxa"/>
            <w:tcBorders/>
            <w:shd w:fill="FFFFFF" w:val="clear"/>
            <w:vAlign w:val="center"/>
          </w:tcPr>
          <w:p>
            <w:pPr>
              <w:pStyle w:val="TableContents"/>
              <w:bidi w:val="0"/>
              <w:spacing w:before="0" w:after="283"/>
              <w:jc w:val="left"/>
              <w:rPr>
                <w:b/>
              </w:rPr>
            </w:pPr>
            <w:r>
              <w:rPr>
                <w:b/>
              </w:rPr>
              <w:t>Net deferred tax assets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2,155,250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(939,115</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bookmarkStart w:id="701" w:name="xdx_8A1_zREyO1UgyoI5"/>
      <w:bookmarkEnd w:id="701"/>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02" w:name="xdx_806_eus-gaap--EarningsPerShareTextBl"/>
      <w:bookmarkEnd w:id="702"/>
      <w:r>
        <w:rPr>
          <w:rFonts w:ascii="Times New Roman;Times;Serif" w:hAnsi="Times New Roman;Times;Serif"/>
          <w:b/>
          <w:i w:val="false"/>
          <w:caps w:val="false"/>
          <w:smallCaps w:val="false"/>
          <w:sz w:val="20"/>
        </w:rPr>
        <w:t xml:space="preserve">Note 15 – </w:t>
      </w:r>
      <w:bookmarkStart w:id="703" w:name="xdx_82F_z4mv5xsqg3wd"/>
      <w:bookmarkEnd w:id="703"/>
      <w:r>
        <w:rPr>
          <w:rFonts w:ascii="Times New Roman;Times;Serif" w:hAnsi="Times New Roman;Times;Serif"/>
          <w:b/>
          <w:i w:val="false"/>
          <w:caps w:val="false"/>
          <w:smallCaps w:val="false"/>
          <w:sz w:val="20"/>
        </w:rPr>
        <w:t>Earnings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computation of basic and diluted earnings per share for the years presented:</w:t>
      </w:r>
    </w:p>
    <w:p>
      <w:pPr>
        <w:pStyle w:val="Normal"/>
        <w:bidi w:val="0"/>
        <w:spacing w:before="0" w:after="0"/>
        <w:jc w:val="left"/>
        <w:rPr>
          <w:sz w:val="4"/>
          <w:szCs w:val="4"/>
        </w:rPr>
      </w:pPr>
      <w:r>
        <w:rPr>
          <w:sz w:val="4"/>
          <w:szCs w:val="4"/>
        </w:rPr>
      </w:r>
      <w:bookmarkStart w:id="704" w:name="xdx_880_eus-gaap--ScheduleOfEarningsPerS"/>
      <w:bookmarkStart w:id="705" w:name="xdx_880_eus-gaap--ScheduleOfEarningsPerS"/>
      <w:bookmarkEnd w:id="705"/>
    </w:p>
    <w:tbl>
      <w:tblPr>
        <w:tblW w:w="10205" w:type="dxa"/>
        <w:jc w:val="left"/>
        <w:tblInd w:w="0" w:type="dxa"/>
        <w:tblLayout w:type="fixed"/>
        <w:tblCellMar>
          <w:top w:w="0" w:type="dxa"/>
          <w:left w:w="0" w:type="dxa"/>
          <w:bottom w:w="0" w:type="dxa"/>
          <w:right w:w="0" w:type="dxa"/>
        </w:tblCellMar>
      </w:tblPr>
      <w:tblGrid>
        <w:gridCol w:w="7360"/>
        <w:gridCol w:w="60"/>
        <w:gridCol w:w="140"/>
        <w:gridCol w:w="1175"/>
        <w:gridCol w:w="95"/>
        <w:gridCol w:w="60"/>
        <w:gridCol w:w="140"/>
        <w:gridCol w:w="1100"/>
        <w:gridCol w:w="75"/>
      </w:tblGrid>
      <w:tr>
        <w:trPr/>
        <w:tc>
          <w:tcPr>
            <w:tcW w:w="7360" w:type="dxa"/>
            <w:tcBorders/>
            <w:vAlign w:val="center"/>
          </w:tcPr>
          <w:p>
            <w:pPr>
              <w:pStyle w:val="TableContents"/>
              <w:bidi w:val="0"/>
              <w:spacing w:before="0" w:after="283"/>
              <w:jc w:val="left"/>
              <w:rPr/>
            </w:pPr>
            <w:bookmarkStart w:id="706" w:name="xdx_8B7_zKlVkNeMevn2"/>
            <w:bookmarkEnd w:id="706"/>
            <w:r>
              <w:rPr/>
              <w:t>Schedule of computation of earnings per share</w:t>
            </w:r>
          </w:p>
        </w:tc>
        <w:tc>
          <w:tcPr>
            <w:tcW w:w="60" w:type="dxa"/>
            <w:tcBorders/>
            <w:vAlign w:val="center"/>
          </w:tcPr>
          <w:p>
            <w:pPr>
              <w:pStyle w:val="TableContents"/>
              <w:bidi w:val="0"/>
              <w:spacing w:before="0" w:after="283"/>
              <w:jc w:val="left"/>
              <w:rPr/>
            </w:pPr>
            <w:r>
              <w:rPr/>
              <w:t> </w:t>
            </w:r>
            <w:bookmarkStart w:id="707" w:name="xdx_498_20220701__20230630_zz5T66QbFGOb"/>
            <w:bookmarkEnd w:id="707"/>
          </w:p>
        </w:tc>
        <w:tc>
          <w:tcPr>
            <w:tcW w:w="13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08" w:name="xdx_494_20210701__20220630_zSGpIIIZdCwk"/>
            <w:bookmarkEnd w:id="708"/>
          </w:p>
        </w:tc>
        <w:tc>
          <w:tcPr>
            <w:tcW w:w="124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7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year ended</w:t>
              <w:br/>
              <w:t>June 30,</w:t>
            </w:r>
          </w:p>
        </w:tc>
        <w:tc>
          <w:tcPr>
            <w:tcW w:w="75" w:type="dxa"/>
            <w:tcBorders/>
            <w:vAlign w:val="center"/>
          </w:tcPr>
          <w:p>
            <w:pPr>
              <w:pStyle w:val="TableContents"/>
              <w:bidi w:val="0"/>
              <w:spacing w:before="0" w:after="283"/>
              <w:jc w:val="left"/>
              <w:rPr/>
            </w:pPr>
            <w:r>
              <w:rPr/>
              <w:t> </w:t>
            </w:r>
          </w:p>
        </w:tc>
      </w:tr>
      <w:tr>
        <w:trPr/>
        <w:tc>
          <w:tcPr>
            <w:tcW w:w="7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7360" w:type="dxa"/>
            <w:tcBorders/>
            <w:vAlign w:val="center"/>
          </w:tcPr>
          <w:p>
            <w:pPr>
              <w:pStyle w:val="TableContents"/>
              <w:bidi w:val="0"/>
              <w:spacing w:before="0" w:after="283"/>
              <w:jc w:val="left"/>
              <w:rPr>
                <w:b/>
              </w:rPr>
            </w:pPr>
            <w:r>
              <w:rPr>
                <w:b/>
              </w:rPr>
              <w:t>Numerator:</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bookmarkStart w:id="709" w:name="xdx_409_eus-gaap--NetIncomeLossAvailable"/>
            <w:bookmarkEnd w:id="709"/>
          </w:p>
        </w:tc>
      </w:tr>
      <w:tr>
        <w:trPr/>
        <w:tc>
          <w:tcPr>
            <w:tcW w:w="7360" w:type="dxa"/>
            <w:tcBorders/>
            <w:shd w:fill="EEEEEE" w:val="clear"/>
            <w:vAlign w:val="center"/>
          </w:tcPr>
          <w:p>
            <w:pPr>
              <w:pStyle w:val="TableContents"/>
              <w:bidi w:val="0"/>
              <w:spacing w:before="0" w:after="283"/>
              <w:jc w:val="left"/>
              <w:rPr/>
            </w:pPr>
            <w:r>
              <w:rPr/>
              <w:t>Net income (loss) attributable to iPower Inc.</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EEEEEE" w:val="clear"/>
            <w:tcMar>
              <w:bottom w:w="28" w:type="dxa"/>
            </w:tcMar>
            <w:vAlign w:val="center"/>
          </w:tcPr>
          <w:p>
            <w:pPr>
              <w:pStyle w:val="TableContents"/>
              <w:bidi w:val="0"/>
              <w:spacing w:before="0" w:after="283"/>
              <w:jc w:val="right"/>
              <w:rPr/>
            </w:pPr>
            <w:r>
              <w:rPr/>
              <w:t>(11,965,390</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EEEEEE" w:val="clear"/>
            <w:tcMar>
              <w:bottom w:w="28" w:type="dxa"/>
            </w:tcMar>
            <w:vAlign w:val="center"/>
          </w:tcPr>
          <w:p>
            <w:pPr>
              <w:pStyle w:val="TableContents"/>
              <w:bidi w:val="0"/>
              <w:spacing w:before="0" w:after="283"/>
              <w:jc w:val="right"/>
              <w:rPr/>
            </w:pPr>
            <w:r>
              <w:rPr/>
              <w:t>1,517,875</w:t>
            </w:r>
          </w:p>
        </w:tc>
        <w:tc>
          <w:tcPr>
            <w:tcW w:w="75" w:type="dxa"/>
            <w:tcBorders/>
            <w:shd w:fill="EEEEEE" w:val="clear"/>
            <w:vAlign w:val="center"/>
          </w:tcPr>
          <w:p>
            <w:pPr>
              <w:pStyle w:val="TableContents"/>
              <w:bidi w:val="0"/>
              <w:spacing w:before="0" w:after="283"/>
              <w:jc w:val="left"/>
              <w:rPr/>
            </w:pPr>
            <w:r>
              <w:rPr/>
              <w:t> </w:t>
            </w:r>
          </w:p>
        </w:tc>
      </w:tr>
      <w:tr>
        <w:trPr/>
        <w:tc>
          <w:tcPr>
            <w:tcW w:w="7360" w:type="dxa"/>
            <w:tcBorders/>
            <w:shd w:fill="FFFFFF" w:val="clear"/>
            <w:vAlign w:val="center"/>
          </w:tcPr>
          <w:p>
            <w:pPr>
              <w:pStyle w:val="TableContents"/>
              <w:bidi w:val="0"/>
              <w:spacing w:before="0" w:after="283"/>
              <w:jc w:val="left"/>
              <w:rPr>
                <w:b/>
              </w:rPr>
            </w:pPr>
            <w:r>
              <w:rPr>
                <w:b/>
              </w:rPr>
              <w:t>Denominator: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7360" w:type="dxa"/>
            <w:tcBorders/>
            <w:shd w:fill="EEEEEE" w:val="clear"/>
            <w:vAlign w:val="center"/>
          </w:tcPr>
          <w:p>
            <w:pPr>
              <w:pStyle w:val="TableContents"/>
              <w:bidi w:val="0"/>
              <w:spacing w:before="0" w:after="283"/>
              <w:jc w:val="left"/>
              <w:rPr/>
            </w:pPr>
            <w:r>
              <w:rPr/>
              <w:t>Weighted-average shares used in computing basic and diluted earnings per share*</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EEEEEE" w:val="clear"/>
            <w:tcMar>
              <w:bottom w:w="28" w:type="dxa"/>
            </w:tcMar>
            <w:vAlign w:val="center"/>
          </w:tcPr>
          <w:p>
            <w:pPr>
              <w:pStyle w:val="TableContents"/>
              <w:bidi w:val="0"/>
              <w:spacing w:before="0" w:after="283"/>
              <w:jc w:val="right"/>
              <w:rPr/>
            </w:pPr>
            <w:bookmarkStart w:id="710" w:name="xdx_90D_eus-gaap--WeightedAverageNumberD"/>
            <w:bookmarkStart w:id="711" w:name="xdx_905_eus-gaap--WeightedAverageNumberO"/>
            <w:bookmarkEnd w:id="710"/>
            <w:bookmarkEnd w:id="711"/>
            <w:r>
              <w:rPr/>
              <w:t>29,713,354</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EEEEEE" w:val="clear"/>
            <w:tcMar>
              <w:bottom w:w="28" w:type="dxa"/>
            </w:tcMar>
            <w:vAlign w:val="center"/>
          </w:tcPr>
          <w:p>
            <w:pPr>
              <w:pStyle w:val="TableContents"/>
              <w:bidi w:val="0"/>
              <w:spacing w:before="0" w:after="283"/>
              <w:jc w:val="right"/>
              <w:rPr/>
            </w:pPr>
            <w:bookmarkStart w:id="712" w:name="xdx_902_eus-gaap--WeightedAverageNumberD"/>
            <w:bookmarkStart w:id="713" w:name="xdx_903_eus-gaap--WeightedAverageNumberO"/>
            <w:bookmarkEnd w:id="712"/>
            <w:bookmarkEnd w:id="713"/>
            <w:r>
              <w:rPr/>
              <w:t>27,781,493</w:t>
            </w:r>
          </w:p>
        </w:tc>
        <w:tc>
          <w:tcPr>
            <w:tcW w:w="75" w:type="dxa"/>
            <w:tcBorders/>
            <w:shd w:fill="EEEEEE" w:val="clear"/>
            <w:vAlign w:val="center"/>
          </w:tcPr>
          <w:p>
            <w:pPr>
              <w:pStyle w:val="TableContents"/>
              <w:bidi w:val="0"/>
              <w:spacing w:before="0" w:after="283"/>
              <w:jc w:val="left"/>
              <w:rPr/>
            </w:pPr>
            <w:r>
              <w:rPr/>
              <w:t> </w:t>
            </w:r>
          </w:p>
        </w:tc>
      </w:tr>
      <w:tr>
        <w:trPr/>
        <w:tc>
          <w:tcPr>
            <w:tcW w:w="7360" w:type="dxa"/>
            <w:tcBorders/>
            <w:shd w:fill="FFFFFF" w:val="clear"/>
            <w:vAlign w:val="center"/>
          </w:tcPr>
          <w:p>
            <w:pPr>
              <w:pStyle w:val="TableContents"/>
              <w:bidi w:val="0"/>
              <w:spacing w:before="0" w:after="283"/>
              <w:jc w:val="left"/>
              <w:rPr/>
            </w:pPr>
            <w:r>
              <w:rPr/>
              <w:t>Earnings per share of ordinary shares - basic and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714" w:name="xdx_908_eus-gaap--EarningsPerShareDilute"/>
            <w:bookmarkStart w:id="715" w:name="xdx_90C_eus-gaap--EarningsPerShareBasic_"/>
            <w:bookmarkEnd w:id="714"/>
            <w:bookmarkEnd w:id="715"/>
            <w:r>
              <w:rPr/>
              <w:t>(0.403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716" w:name="xdx_90A_eus-gaap--EarningsPerShareDilute"/>
            <w:bookmarkStart w:id="717" w:name="xdx_905_eus-gaap--EarningsPerShareBasic_"/>
            <w:bookmarkEnd w:id="716"/>
            <w:bookmarkEnd w:id="717"/>
            <w:r>
              <w:rPr/>
              <w:t>0.055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ani-dilutive effect, the computation of basic and diluted EPS did not include the shares underlying the exercise of warrants and RSUs as the Company had a net loss for the year ended June 30,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computation of diluted EPS did not include the shares underlying the exercise of warrants, which would have been calculated using treasury method for the year ended June 30, 2022, as the exercise price was greater than the market price of the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computation of diluted EPS did not include the shares underlying the exercise of options granted as none of the options were vested as June 30, 2023 and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For the year ended June 30, 2023, </w:t>
      </w:r>
      <w:bookmarkStart w:id="718" w:name="xdx_90A_eus-gaap--SharebasedCompensation"/>
      <w:bookmarkEnd w:id="718"/>
      <w:r>
        <w:rPr>
          <w:rFonts w:ascii="Times New Roman;Times;Serif" w:hAnsi="Times New Roman;Times;Serif"/>
          <w:b w:val="false"/>
          <w:i w:val="false"/>
          <w:caps w:val="false"/>
          <w:smallCaps w:val="false"/>
          <w:sz w:val="20"/>
        </w:rPr>
        <w:t>53,435 vested but unissued shares of restricted stock units under the 2020 Equity Incentive Plan (as discussed in Note 16) are considered issued shares and therefore are included in the computation of basic earnings (losses) per share when the shares are fully vested.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For the year ended June 30, 2022, </w:t>
      </w:r>
      <w:bookmarkStart w:id="719" w:name="xdx_90E_eus-gaap--SharebasedCompensation"/>
      <w:bookmarkEnd w:id="719"/>
      <w:r>
        <w:rPr>
          <w:rFonts w:ascii="Times New Roman;Times;Serif" w:hAnsi="Times New Roman;Times;Serif"/>
          <w:b w:val="false"/>
          <w:i w:val="false"/>
          <w:caps w:val="false"/>
          <w:smallCaps w:val="false"/>
          <w:sz w:val="20"/>
        </w:rPr>
        <w:t>133,066 vested shares of restricted stock units under the 2020 Equity Incentive Plan (as discussed in Note 16) are considered issued shares and therefore are included in the computation of basic earnings (loss) per share when the shares are fully vested.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720" w:name="xdx_23C_zWnydACr18u5"/>
      <w:bookmarkEnd w:id="720"/>
      <w:r>
        <w:rPr>
          <w:caps w:val="false"/>
          <w:smallCaps w:val="false"/>
        </w:rPr>
        <w:t> </w:t>
      </w:r>
    </w:p>
    <w:p>
      <w:pPr>
        <w:pStyle w:val="TextBody"/>
        <w:bidi w:val="0"/>
        <w:spacing w:before="0" w:after="0"/>
        <w:ind w:left="0" w:right="0" w:hanging="0"/>
        <w:jc w:val="both"/>
        <w:rPr>
          <w:caps w:val="false"/>
          <w:smallCaps w:val="false"/>
        </w:rPr>
      </w:pPr>
      <w:bookmarkStart w:id="721" w:name="xdx_231_zQhMb7t838Db"/>
      <w:bookmarkEnd w:id="721"/>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F-25</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bookmarkStart w:id="722" w:name="xdx_230_z5qXniuCnd2a"/>
      <w:bookmarkEnd w:id="722"/>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723" w:name="xdx_233_zkEdU2A1RcRh"/>
      <w:bookmarkEnd w:id="723"/>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24" w:name="xdx_80B_eus-gaap--StockholdersEquityNote"/>
      <w:bookmarkEnd w:id="724"/>
      <w:r>
        <w:rPr>
          <w:rFonts w:ascii="Times New Roman;Times;Serif" w:hAnsi="Times New Roman;Times;Serif"/>
          <w:b/>
          <w:i w:val="false"/>
          <w:caps w:val="false"/>
          <w:smallCaps w:val="false"/>
          <w:sz w:val="20"/>
        </w:rPr>
        <w:t xml:space="preserve">Note 16 – </w:t>
      </w:r>
      <w:bookmarkStart w:id="725" w:name="xdx_827_zQn6XZFsbzl9"/>
      <w:bookmarkEnd w:id="725"/>
      <w:r>
        <w:rPr>
          <w:rFonts w:ascii="Times New Roman;Times;Serif" w:hAnsi="Times New Roman;Times;Serif"/>
          <w:b/>
          <w:i w:val="false"/>
          <w:caps w:val="false"/>
          <w:smallCaps w:val="false"/>
          <w:sz w:val="20"/>
        </w:rPr>
        <w:t>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2023, the total authorized shares of capital stock were 200,000,000 shares consisting of </w:t>
      </w:r>
      <w:bookmarkStart w:id="726" w:name="xdx_909_eus-gaap--CommonStockSharesAutho"/>
      <w:bookmarkEnd w:id="726"/>
      <w:r>
        <w:rPr>
          <w:rFonts w:ascii="Times New Roman;Times;Serif" w:hAnsi="Times New Roman;Times;Serif"/>
          <w:b w:val="false"/>
          <w:i w:val="false"/>
          <w:caps w:val="false"/>
          <w:smallCaps w:val="false"/>
          <w:sz w:val="20"/>
        </w:rPr>
        <w:t xml:space="preserve">180,000,000 shares of Common Stock (“Common Stock”) and </w:t>
      </w:r>
      <w:bookmarkStart w:id="727" w:name="xdx_90C_eus-gaap--PreferredStockSharesAu"/>
      <w:bookmarkEnd w:id="727"/>
      <w:r>
        <w:rPr>
          <w:rFonts w:ascii="Times New Roman;Times;Serif" w:hAnsi="Times New Roman;Times;Serif"/>
          <w:b w:val="false"/>
          <w:i w:val="false"/>
          <w:caps w:val="false"/>
          <w:smallCaps w:val="false"/>
          <w:sz w:val="20"/>
        </w:rPr>
        <w:t>20,000,000 shares of preferred stock (the “Preferred Stock”), each with a par value of $0.001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Common Stock shall be entitled to one vote per share in voting to the election of directors and all other corporate purposes. Subject to the express terms of any outstanding series of Preferred Stock, dividends may be paid in cash or otherwise with respect to the holders of Common Stock out of the assets of the Company legally available therefor, upon the terms, and subject to the limitations, as the Board of Directors of the Company (the “Board of Directors”) may determine. In the event of a liquidation or dissolution of the Company, subject to the express terms of any outstanding series of Preferred Stock, the holders of Common Stock shall be entitled to share in the distribution of any remaining assets available for distribution to the holders of Common Stock ratably in proportion to the total number of shares of Common Stock then issued and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June 30, 2022, the Company issued </w:t>
      </w:r>
      <w:bookmarkStart w:id="728" w:name="xdx_90F_eus-gaap--StockIssuedDuringPerio"/>
      <w:bookmarkEnd w:id="728"/>
      <w:r>
        <w:rPr>
          <w:rFonts w:ascii="Times New Roman;Times;Serif" w:hAnsi="Times New Roman;Times;Serif"/>
          <w:b w:val="false"/>
          <w:i w:val="false"/>
          <w:caps w:val="false"/>
          <w:smallCaps w:val="false"/>
          <w:sz w:val="20"/>
        </w:rPr>
        <w:t>40,019 shares of restricted common stock for RSUs vested in the quarter ended September 30, 2021.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June 30, 2023, the Company issued </w:t>
      </w:r>
      <w:bookmarkStart w:id="729" w:name="xdx_90E_eus-gaap--StockIssuedDuringPerio"/>
      <w:bookmarkEnd w:id="729"/>
      <w:r>
        <w:rPr>
          <w:rFonts w:ascii="Times New Roman;Times;Serif" w:hAnsi="Times New Roman;Times;Serif"/>
          <w:b w:val="false"/>
          <w:i w:val="false"/>
          <w:caps w:val="false"/>
          <w:smallCaps w:val="false"/>
          <w:sz w:val="20"/>
        </w:rPr>
        <w:t>138,557 shares of restricted common stock for RSUs vested.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15, 2022, as part of the consideration for the acquisition of Anivia and subsidiaries, the Company issued </w:t>
      </w:r>
      <w:bookmarkStart w:id="730" w:name="xdx_903_eus-gaap--StockIssuedDuringPerio"/>
      <w:bookmarkEnd w:id="730"/>
      <w:r>
        <w:rPr>
          <w:rFonts w:ascii="Times New Roman;Times;Serif" w:hAnsi="Times New Roman;Times;Serif"/>
          <w:b w:val="false"/>
          <w:i w:val="false"/>
          <w:caps w:val="false"/>
          <w:smallCaps w:val="false"/>
          <w:sz w:val="20"/>
        </w:rPr>
        <w:t>3,083,700 restricted shares of the Company’s common stock, valued at $</w:t>
      </w:r>
      <w:bookmarkStart w:id="731" w:name="xdx_908_eus-gaap--SaleOfStockPricePerSha"/>
      <w:bookmarkEnd w:id="731"/>
      <w:r>
        <w:rPr>
          <w:rFonts w:ascii="Times New Roman;Times;Serif" w:hAnsi="Times New Roman;Times;Serif"/>
          <w:b w:val="false"/>
          <w:i w:val="false"/>
          <w:caps w:val="false"/>
          <w:smallCaps w:val="false"/>
          <w:sz w:val="20"/>
        </w:rPr>
        <w:t>2.27 per share, which was the closing price of the Company’s Common Stock as traded on Nasdaq on February 15, 2022. These shares have a lock-up period of 180 days and are subject to insider trading restrictions. The fair value of the shares was $</w:t>
      </w:r>
      <w:bookmarkStart w:id="732" w:name="xdx_90A_eus-gaap--StockIssuedDuringPerio"/>
      <w:bookmarkEnd w:id="732"/>
      <w:r>
        <w:rPr>
          <w:rFonts w:ascii="Times New Roman;Times;Serif" w:hAnsi="Times New Roman;Times;Serif"/>
          <w:b w:val="false"/>
          <w:i w:val="false"/>
          <w:caps w:val="false"/>
          <w:smallCaps w:val="false"/>
          <w:sz w:val="20"/>
        </w:rPr>
        <w:t>5,528,373, calculated with a discount of lack of marketability of 21%, which is determined using the Black Scholes Model.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2023 and 2022, there were </w:t>
      </w:r>
      <w:bookmarkStart w:id="733" w:name="xdx_90D_eus-gaap--CommonStockSharesOutst"/>
      <w:bookmarkStart w:id="734" w:name="xdx_905_eus-gaap--CommonStockSharesIssue"/>
      <w:bookmarkEnd w:id="733"/>
      <w:bookmarkEnd w:id="734"/>
      <w:r>
        <w:rPr>
          <w:rFonts w:ascii="Times New Roman;Times;Serif" w:hAnsi="Times New Roman;Times;Serif"/>
          <w:b w:val="false"/>
          <w:i w:val="false"/>
          <w:caps w:val="false"/>
          <w:smallCaps w:val="false"/>
          <w:sz w:val="20"/>
        </w:rPr>
        <w:t xml:space="preserve">29,710,939 and </w:t>
      </w:r>
      <w:bookmarkStart w:id="735" w:name="xdx_90E_eus-gaap--CommonStockSharesOutst"/>
      <w:bookmarkStart w:id="736" w:name="xdx_904_eus-gaap--CommonStockSharesIssue"/>
      <w:bookmarkEnd w:id="735"/>
      <w:bookmarkEnd w:id="736"/>
      <w:r>
        <w:rPr>
          <w:rFonts w:ascii="Times New Roman;Times;Serif" w:hAnsi="Times New Roman;Times;Serif"/>
          <w:b w:val="false"/>
          <w:i w:val="false"/>
          <w:caps w:val="false"/>
          <w:smallCaps w:val="false"/>
          <w:sz w:val="20"/>
        </w:rPr>
        <w:t>29,572,382 shares of Common Stock issued and outstanding,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Preferred Stock was authorized as “blank check” series of Preferred Stock, providing that the Board of Directors is expressly authorized, subject to limitations prescribed by law, by resolution or resolutions and by filing a certificate pursuant to the applicable law of the State of Nevada, to provide, out of the authorized but unissued shares of Preferred Stock, for series of Preferred Stock, and to establish from time to time the number of shares to be included in each such series, and to fix the designation, powers, preferences and rights of the shares of each such series and the qualifications, limitations or restrictions thereof. As of June 30, 2023 and 2022, respectively, there were no shares of Preferred Stock issued and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Equity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5, 2021, the Company’s Board of Directors adopted, and its stockholders approved and ratified, the iPower Inc. Amended and Restated 2020 Equity Incentive Plan (the “Plan”). The Plan allows for the issuance of up to </w:t>
      </w:r>
      <w:bookmarkStart w:id="737" w:name="xdx_90E_eus-gaap--ShareBasedCompensation"/>
      <w:bookmarkEnd w:id="737"/>
      <w:r>
        <w:rPr>
          <w:rFonts w:ascii="Times New Roman;Times;Serif" w:hAnsi="Times New Roman;Times;Serif"/>
          <w:b w:val="false"/>
          <w:i w:val="false"/>
          <w:caps w:val="false"/>
          <w:smallCaps w:val="false"/>
          <w:sz w:val="20"/>
        </w:rPr>
        <w:t>5,000,000 shares of Common Stock, whether in the form of options, restricted stock, restricted stock units, stock appreciation rights, performance units, performance shares and other stock or cash awards. The general purpose of the Plan is to provide an incentive to the Company’s directors, officers, employees, consultants and advisors by enabling them to share in the future growth of the Company’s business. On November 16, 2021 and December 6, 2022, the Company filed a registration statement on Form S-8 registering all shares issuable under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Restricted Stock Unit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Following completion of the IPO on May 11, 2021, pursuant to their letter agreements, the Company awarded </w:t>
      </w:r>
      <w:bookmarkStart w:id="738" w:name="xdx_904_eus-gaap--StockIssuedDuringPerio"/>
      <w:bookmarkEnd w:id="738"/>
      <w:r>
        <w:rPr>
          <w:rFonts w:ascii="Times New Roman;Times;Serif" w:hAnsi="Times New Roman;Times;Serif"/>
          <w:b w:val="false"/>
          <w:i w:val="false"/>
          <w:caps w:val="false"/>
          <w:smallCaps w:val="false"/>
          <w:sz w:val="20"/>
        </w:rPr>
        <w:t xml:space="preserve">46,546 restricted stock units (“RSUs”) under the Plan to its independent directors, its Chief Financial Officer, and certain other employees and consultants, all of which are subject to certain vesting conditions in the next 12 months and restrictions until filing of a Form S-8 for registration of the shares. The fair value of the RSUs was determined to be based on $5.00 per share, the initial listing price of the Company’s common stock on the grant date. During the year ended June 30, 2023, the Company granted additional </w:t>
      </w:r>
      <w:bookmarkStart w:id="739" w:name="xdx_90F_eus-gaap--StockIssuedDuringPerio"/>
      <w:bookmarkEnd w:id="739"/>
      <w:r>
        <w:rPr>
          <w:rFonts w:ascii="Times New Roman;Times;Serif" w:hAnsi="Times New Roman;Times;Serif"/>
          <w:b w:val="false"/>
          <w:i w:val="false"/>
          <w:caps w:val="false"/>
          <w:smallCaps w:val="false"/>
          <w:sz w:val="20"/>
        </w:rPr>
        <w:t>131,130 shares of RSUs. For the year ended June 30, 2023 and 2022, the Company recorded $</w:t>
      </w:r>
      <w:bookmarkStart w:id="740" w:name="xdx_90D_eus-gaap--ShareBasedCompensation"/>
      <w:bookmarkEnd w:id="740"/>
      <w:r>
        <w:rPr>
          <w:rFonts w:ascii="Times New Roman;Times;Serif" w:hAnsi="Times New Roman;Times;Serif"/>
          <w:b w:val="false"/>
          <w:i w:val="false"/>
          <w:caps w:val="false"/>
          <w:smallCaps w:val="false"/>
          <w:sz w:val="20"/>
        </w:rPr>
        <w:t>71,268 and $</w:t>
      </w:r>
      <w:bookmarkStart w:id="741" w:name="xdx_902_eus-gaap--ShareBasedCompensation"/>
      <w:bookmarkEnd w:id="741"/>
      <w:r>
        <w:rPr>
          <w:rFonts w:ascii="Times New Roman;Times;Serif" w:hAnsi="Times New Roman;Times;Serif"/>
          <w:b w:val="false"/>
          <w:i w:val="false"/>
          <w:caps w:val="false"/>
          <w:smallCaps w:val="false"/>
          <w:sz w:val="20"/>
        </w:rPr>
        <w:t xml:space="preserve">314,287 of stock-based compensation expense. There was forfeiture of 0 and 4,000 RSUs occurred during the year ended June 30, 2023 and 2022. As of June 30, 2023 and 2022, the unvested number of RSUs was </w:t>
      </w:r>
      <w:bookmarkStart w:id="742" w:name="xdx_909_eus-gaap--ShareBasedCompensation"/>
      <w:bookmarkEnd w:id="742"/>
      <w:r>
        <w:rPr>
          <w:rFonts w:ascii="Times New Roman;Times;Serif" w:hAnsi="Times New Roman;Times;Serif"/>
          <w:b w:val="false"/>
          <w:i w:val="false"/>
          <w:caps w:val="false"/>
          <w:smallCaps w:val="false"/>
          <w:sz w:val="20"/>
        </w:rPr>
        <w:t xml:space="preserve">38,793 and </w:t>
      </w:r>
      <w:bookmarkStart w:id="743" w:name="xdx_907_eus-gaap--ShareBasedCompensation"/>
      <w:bookmarkEnd w:id="743"/>
      <w:r>
        <w:rPr>
          <w:rFonts w:ascii="Times New Roman;Times;Serif" w:hAnsi="Times New Roman;Times;Serif"/>
          <w:b w:val="false"/>
          <w:i w:val="false"/>
          <w:caps w:val="false"/>
          <w:smallCaps w:val="false"/>
          <w:sz w:val="20"/>
        </w:rPr>
        <w:t>6,608 and the unamortized expense was $</w:t>
      </w:r>
      <w:bookmarkStart w:id="744" w:name="xdx_90E_eus-gaap--EmployeeServiceShareBa"/>
      <w:bookmarkEnd w:id="744"/>
      <w:r>
        <w:rPr>
          <w:rFonts w:ascii="Times New Roman;Times;Serif" w:hAnsi="Times New Roman;Times;Serif"/>
          <w:b w:val="false"/>
          <w:i w:val="false"/>
          <w:caps w:val="false"/>
          <w:smallCaps w:val="false"/>
          <w:sz w:val="20"/>
        </w:rPr>
        <w:t>22,500 and $</w:t>
      </w:r>
      <w:bookmarkStart w:id="745" w:name="xdx_905_eus-gaap--EmployeeServiceShareBa"/>
      <w:bookmarkEnd w:id="745"/>
      <w:r>
        <w:rPr>
          <w:rFonts w:ascii="Times New Roman;Times;Serif" w:hAnsi="Times New Roman;Times;Serif"/>
          <w:b w:val="false"/>
          <w:i w:val="false"/>
          <w:caps w:val="false"/>
          <w:smallCaps w:val="false"/>
          <w:sz w:val="20"/>
        </w:rPr>
        <w:t>15,000,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746" w:name="xdx_23D_znwsHCeU66Dl"/>
      <w:bookmarkEnd w:id="746"/>
      <w:r>
        <w:rPr>
          <w:caps w:val="false"/>
          <w:smallCaps w:val="false"/>
        </w:rPr>
        <w:t> </w:t>
      </w:r>
    </w:p>
    <w:p>
      <w:pPr>
        <w:pStyle w:val="TextBody"/>
        <w:bidi w:val="0"/>
        <w:spacing w:before="0" w:after="0"/>
        <w:ind w:left="0" w:right="0" w:hanging="0"/>
        <w:jc w:val="both"/>
        <w:rPr>
          <w:caps w:val="false"/>
          <w:smallCaps w:val="false"/>
        </w:rPr>
      </w:pPr>
      <w:bookmarkStart w:id="747" w:name="xdx_235_zG6FhrvwhxK3"/>
      <w:bookmarkEnd w:id="747"/>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F-26</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bookmarkStart w:id="748" w:name="xdx_238_zLUq0bGxsk7d"/>
      <w:bookmarkEnd w:id="748"/>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749" w:name="xdx_23B_zTMqkQDr8ny6"/>
      <w:bookmarkEnd w:id="74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relating to RSU grants is summarized as follows:</w:t>
      </w:r>
    </w:p>
    <w:p>
      <w:pPr>
        <w:pStyle w:val="Normal"/>
        <w:bidi w:val="0"/>
        <w:spacing w:before="0" w:after="0"/>
        <w:jc w:val="left"/>
        <w:rPr>
          <w:sz w:val="4"/>
          <w:szCs w:val="4"/>
        </w:rPr>
      </w:pPr>
      <w:r>
        <w:rPr>
          <w:sz w:val="4"/>
          <w:szCs w:val="4"/>
        </w:rPr>
      </w:r>
      <w:bookmarkStart w:id="750" w:name="xdx_893_eus-gaap--ScheduleOfShareBasedCo"/>
      <w:bookmarkStart w:id="751" w:name="xdx_893_eus-gaap--ScheduleOfShareBasedCo"/>
      <w:bookmarkEnd w:id="751"/>
    </w:p>
    <w:tbl>
      <w:tblPr>
        <w:tblW w:w="10205" w:type="dxa"/>
        <w:jc w:val="left"/>
        <w:tblInd w:w="0" w:type="dxa"/>
        <w:tblLayout w:type="fixed"/>
        <w:tblCellMar>
          <w:top w:w="0" w:type="dxa"/>
          <w:left w:w="0" w:type="dxa"/>
          <w:bottom w:w="0" w:type="dxa"/>
          <w:right w:w="0" w:type="dxa"/>
        </w:tblCellMar>
      </w:tblPr>
      <w:tblGrid>
        <w:gridCol w:w="3431"/>
        <w:gridCol w:w="60"/>
        <w:gridCol w:w="103"/>
        <w:gridCol w:w="1517"/>
        <w:gridCol w:w="95"/>
        <w:gridCol w:w="60"/>
        <w:gridCol w:w="720"/>
        <w:gridCol w:w="4141"/>
        <w:gridCol w:w="78"/>
      </w:tblGrid>
      <w:tr>
        <w:trPr/>
        <w:tc>
          <w:tcPr>
            <w:tcW w:w="3431" w:type="dxa"/>
            <w:tcBorders/>
            <w:vAlign w:val="center"/>
          </w:tcPr>
          <w:p>
            <w:pPr>
              <w:pStyle w:val="TableContents"/>
              <w:bidi w:val="0"/>
              <w:spacing w:before="0" w:after="283"/>
              <w:jc w:val="left"/>
              <w:rPr/>
            </w:pPr>
            <w:bookmarkStart w:id="752" w:name="xdx_8BE_zDG5SR4nsy7j"/>
            <w:bookmarkEnd w:id="752"/>
            <w:r>
              <w:rPr/>
              <w:t>Schedule of RSU activity</w:t>
            </w:r>
          </w:p>
        </w:tc>
        <w:tc>
          <w:tcPr>
            <w:tcW w:w="60" w:type="dxa"/>
            <w:tcBorders/>
            <w:vAlign w:val="center"/>
          </w:tcPr>
          <w:p>
            <w:pPr>
              <w:pStyle w:val="TableContents"/>
              <w:bidi w:val="0"/>
              <w:spacing w:before="0" w:after="283"/>
              <w:jc w:val="left"/>
              <w:rPr/>
            </w:pPr>
            <w:r>
              <w:rPr/>
              <w:t> </w:t>
            </w:r>
          </w:p>
        </w:tc>
        <w:tc>
          <w:tcPr>
            <w:tcW w:w="162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61" w:type="dxa"/>
            <w:gridSpan w:val="2"/>
            <w:tcBorders/>
            <w:vAlign w:val="center"/>
          </w:tcPr>
          <w:p>
            <w:pPr>
              <w:pStyle w:val="TableContents"/>
              <w:bidi w:val="0"/>
              <w:spacing w:before="0" w:after="283"/>
              <w:jc w:val="right"/>
              <w:rPr/>
            </w:pPr>
            <w:r>
              <w:rPr/>
              <w:t> </w:t>
            </w:r>
          </w:p>
        </w:tc>
        <w:tc>
          <w:tcPr>
            <w:tcW w:w="78" w:type="dxa"/>
            <w:tcBorders/>
            <w:vAlign w:val="center"/>
          </w:tcPr>
          <w:p>
            <w:pPr>
              <w:pStyle w:val="TableContents"/>
              <w:bidi w:val="0"/>
              <w:spacing w:before="0" w:after="283"/>
              <w:jc w:val="left"/>
              <w:rPr/>
            </w:pPr>
            <w:r>
              <w:rPr/>
              <w:t> </w:t>
            </w:r>
          </w:p>
        </w:tc>
      </w:tr>
      <w:tr>
        <w:trPr/>
        <w:tc>
          <w:tcPr>
            <w:tcW w:w="34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RSUs Issued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6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Fair Market Value of RSUs Issued as Compensation (1)</w:t>
            </w:r>
          </w:p>
        </w:tc>
        <w:tc>
          <w:tcPr>
            <w:tcW w:w="78" w:type="dxa"/>
            <w:tcBorders/>
            <w:vAlign w:val="center"/>
          </w:tcPr>
          <w:p>
            <w:pPr>
              <w:pStyle w:val="TableContents"/>
              <w:bidi w:val="0"/>
              <w:spacing w:before="0" w:after="283"/>
              <w:jc w:val="left"/>
              <w:rPr/>
            </w:pPr>
            <w:r>
              <w:rPr/>
              <w:t> </w:t>
            </w:r>
          </w:p>
        </w:tc>
      </w:tr>
      <w:tr>
        <w:trPr/>
        <w:tc>
          <w:tcPr>
            <w:tcW w:w="3431" w:type="dxa"/>
            <w:tcBorders/>
            <w:shd w:fill="EEEEEE" w:val="clear"/>
            <w:vAlign w:val="center"/>
          </w:tcPr>
          <w:p>
            <w:pPr>
              <w:pStyle w:val="TableContents"/>
              <w:bidi w:val="0"/>
              <w:spacing w:before="0" w:after="283"/>
              <w:jc w:val="left"/>
              <w:rPr/>
            </w:pPr>
            <w:r>
              <w:rPr/>
              <w:t>RSUs granted, but not vested, at June 30, 2021</w:t>
            </w:r>
          </w:p>
        </w:tc>
        <w:tc>
          <w:tcPr>
            <w:tcW w:w="60" w:type="dxa"/>
            <w:tcBorders/>
            <w:shd w:fill="EEEEEE" w:val="clear"/>
            <w:vAlign w:val="center"/>
          </w:tcPr>
          <w:p>
            <w:pPr>
              <w:pStyle w:val="TableContents"/>
              <w:bidi w:val="0"/>
              <w:spacing w:before="0" w:after="283"/>
              <w:jc w:val="left"/>
              <w:rPr/>
            </w:pPr>
            <w:r>
              <w:rPr/>
              <w:t> </w:t>
            </w:r>
          </w:p>
        </w:tc>
        <w:tc>
          <w:tcPr>
            <w:tcW w:w="103" w:type="dxa"/>
            <w:tcBorders/>
            <w:shd w:fill="EEEEEE" w:val="clear"/>
            <w:vAlign w:val="center"/>
          </w:tcPr>
          <w:p>
            <w:pPr>
              <w:pStyle w:val="TableContents"/>
              <w:bidi w:val="0"/>
              <w:spacing w:before="0" w:after="283"/>
              <w:jc w:val="left"/>
              <w:rPr/>
            </w:pPr>
            <w:r>
              <w:rPr/>
              <w:t> </w:t>
            </w:r>
            <w:bookmarkStart w:id="753" w:name="xdx_988_eus-gaap--ShareBasedCompensation"/>
            <w:bookmarkEnd w:id="753"/>
          </w:p>
        </w:tc>
        <w:tc>
          <w:tcPr>
            <w:tcW w:w="1517" w:type="dxa"/>
            <w:tcBorders/>
            <w:shd w:fill="EEEEEE" w:val="clear"/>
            <w:vAlign w:val="center"/>
          </w:tcPr>
          <w:p>
            <w:pPr>
              <w:pStyle w:val="TableContents"/>
              <w:bidi w:val="0"/>
              <w:spacing w:before="0" w:after="283"/>
              <w:jc w:val="right"/>
              <w:rPr/>
            </w:pPr>
            <w:r>
              <w:rPr/>
              <w:t>24,409</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720" w:type="dxa"/>
            <w:tcBorders/>
            <w:shd w:fill="EEEEEE" w:val="clear"/>
            <w:vAlign w:val="center"/>
          </w:tcPr>
          <w:p>
            <w:pPr>
              <w:pStyle w:val="TableContents"/>
              <w:bidi w:val="0"/>
              <w:spacing w:before="0" w:after="283"/>
              <w:jc w:val="left"/>
              <w:rPr/>
            </w:pPr>
            <w:r>
              <w:rPr/>
              <w:t> </w:t>
            </w:r>
          </w:p>
        </w:tc>
        <w:tc>
          <w:tcPr>
            <w:tcW w:w="4141" w:type="dxa"/>
            <w:tcBorders/>
            <w:shd w:fill="EEEEEE" w:val="clear"/>
            <w:vAlign w:val="center"/>
          </w:tcPr>
          <w:p>
            <w:pPr>
              <w:pStyle w:val="TableContents"/>
              <w:bidi w:val="0"/>
              <w:spacing w:before="0" w:after="283"/>
              <w:jc w:val="right"/>
              <w:rPr/>
            </w:pPr>
            <w:r>
              <w:rPr/>
              <w:t> </w:t>
            </w:r>
          </w:p>
        </w:tc>
        <w:tc>
          <w:tcPr>
            <w:tcW w:w="78" w:type="dxa"/>
            <w:tcBorders/>
            <w:shd w:fill="EEEEEE" w:val="clear"/>
            <w:vAlign w:val="center"/>
          </w:tcPr>
          <w:p>
            <w:pPr>
              <w:pStyle w:val="TableContents"/>
              <w:bidi w:val="0"/>
              <w:spacing w:before="0" w:after="283"/>
              <w:jc w:val="left"/>
              <w:rPr/>
            </w:pPr>
            <w:r>
              <w:rPr/>
              <w:t> </w:t>
            </w:r>
          </w:p>
        </w:tc>
      </w:tr>
      <w:tr>
        <w:trPr/>
        <w:tc>
          <w:tcPr>
            <w:tcW w:w="3431" w:type="dxa"/>
            <w:tcBorders/>
            <w:shd w:fill="FFFFFF" w:val="clear"/>
            <w:vAlign w:val="center"/>
          </w:tcPr>
          <w:p>
            <w:pPr>
              <w:pStyle w:val="TableContents"/>
              <w:bidi w:val="0"/>
              <w:spacing w:before="0" w:after="283"/>
              <w:jc w:val="left"/>
              <w:rPr/>
            </w:pPr>
            <w:r>
              <w:rPr/>
              <w:t>RSUs granted</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bookmarkStart w:id="754" w:name="xdx_980_eus-gaap--ShareBasedCompensation"/>
            <w:bookmarkEnd w:id="754"/>
          </w:p>
        </w:tc>
        <w:tc>
          <w:tcPr>
            <w:tcW w:w="1517" w:type="dxa"/>
            <w:tcBorders/>
            <w:shd w:fill="FFFFFF" w:val="clear"/>
            <w:vAlign w:val="center"/>
          </w:tcPr>
          <w:p>
            <w:pPr>
              <w:pStyle w:val="TableContents"/>
              <w:bidi w:val="0"/>
              <w:spacing w:before="0" w:after="283"/>
              <w:jc w:val="right"/>
              <w:rPr/>
            </w:pPr>
            <w:r>
              <w:rPr/>
              <w:t>97,128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0" w:type="dxa"/>
            <w:tcBorders/>
            <w:shd w:fill="FFFFFF" w:val="clear"/>
            <w:vAlign w:val="center"/>
          </w:tcPr>
          <w:p>
            <w:pPr>
              <w:pStyle w:val="TableContents"/>
              <w:bidi w:val="0"/>
              <w:spacing w:before="0" w:after="283"/>
              <w:jc w:val="left"/>
              <w:rPr/>
            </w:pPr>
            <w:r>
              <w:rPr/>
              <w:t>$</w:t>
            </w:r>
            <w:bookmarkStart w:id="755" w:name="xdx_98F_ecustom--ShareBasedCompensationA"/>
            <w:bookmarkEnd w:id="755"/>
          </w:p>
        </w:tc>
        <w:tc>
          <w:tcPr>
            <w:tcW w:w="4141" w:type="dxa"/>
            <w:tcBorders/>
            <w:shd w:fill="FFFFFF" w:val="clear"/>
            <w:vAlign w:val="center"/>
          </w:tcPr>
          <w:p>
            <w:pPr>
              <w:pStyle w:val="TableContents"/>
              <w:bidi w:val="0"/>
              <w:spacing w:before="0" w:after="283"/>
              <w:jc w:val="right"/>
              <w:rPr/>
            </w:pPr>
            <w:r>
              <w:rPr/>
              <w:t>227,237</w:t>
            </w:r>
          </w:p>
        </w:tc>
        <w:tc>
          <w:tcPr>
            <w:tcW w:w="78" w:type="dxa"/>
            <w:tcBorders/>
            <w:shd w:fill="FFFFFF" w:val="clear"/>
            <w:vAlign w:val="center"/>
          </w:tcPr>
          <w:p>
            <w:pPr>
              <w:pStyle w:val="TableContents"/>
              <w:bidi w:val="0"/>
              <w:spacing w:before="0" w:after="283"/>
              <w:jc w:val="left"/>
              <w:rPr/>
            </w:pPr>
            <w:r>
              <w:rPr/>
              <w:t> </w:t>
            </w:r>
          </w:p>
        </w:tc>
      </w:tr>
      <w:tr>
        <w:trPr/>
        <w:tc>
          <w:tcPr>
            <w:tcW w:w="3431" w:type="dxa"/>
            <w:tcBorders/>
            <w:shd w:fill="EEEEEE" w:val="clear"/>
            <w:vAlign w:val="center"/>
          </w:tcPr>
          <w:p>
            <w:pPr>
              <w:pStyle w:val="TableContents"/>
              <w:bidi w:val="0"/>
              <w:spacing w:before="0" w:after="283"/>
              <w:jc w:val="left"/>
              <w:rPr/>
            </w:pPr>
            <w:r>
              <w:rPr/>
              <w:t>RSUs forfeited</w:t>
            </w:r>
          </w:p>
        </w:tc>
        <w:tc>
          <w:tcPr>
            <w:tcW w:w="60" w:type="dxa"/>
            <w:tcBorders/>
            <w:shd w:fill="EEEEEE" w:val="clear"/>
            <w:vAlign w:val="center"/>
          </w:tcPr>
          <w:p>
            <w:pPr>
              <w:pStyle w:val="TableContents"/>
              <w:bidi w:val="0"/>
              <w:spacing w:before="0" w:after="283"/>
              <w:jc w:val="left"/>
              <w:rPr/>
            </w:pPr>
            <w:r>
              <w:rPr/>
              <w:t> </w:t>
            </w:r>
          </w:p>
        </w:tc>
        <w:tc>
          <w:tcPr>
            <w:tcW w:w="103" w:type="dxa"/>
            <w:tcBorders/>
            <w:shd w:fill="EEEEEE" w:val="clear"/>
            <w:vAlign w:val="center"/>
          </w:tcPr>
          <w:p>
            <w:pPr>
              <w:pStyle w:val="TableContents"/>
              <w:bidi w:val="0"/>
              <w:spacing w:before="0" w:after="283"/>
              <w:jc w:val="left"/>
              <w:rPr/>
            </w:pPr>
            <w:r>
              <w:rPr/>
              <w:t> </w:t>
            </w:r>
            <w:bookmarkStart w:id="756" w:name="xdx_983_eus-gaap--ShareBasedCompensation"/>
            <w:bookmarkEnd w:id="756"/>
          </w:p>
        </w:tc>
        <w:tc>
          <w:tcPr>
            <w:tcW w:w="1517" w:type="dxa"/>
            <w:tcBorders/>
            <w:shd w:fill="EEEEEE" w:val="clear"/>
            <w:vAlign w:val="center"/>
          </w:tcPr>
          <w:p>
            <w:pPr>
              <w:pStyle w:val="TableContents"/>
              <w:bidi w:val="0"/>
              <w:spacing w:before="0" w:after="283"/>
              <w:jc w:val="right"/>
              <w:rPr/>
            </w:pPr>
            <w:r>
              <w:rPr/>
              <w:t>(4,000</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720" w:type="dxa"/>
            <w:tcBorders/>
            <w:shd w:fill="EEEEEE" w:val="clear"/>
            <w:vAlign w:val="center"/>
          </w:tcPr>
          <w:p>
            <w:pPr>
              <w:pStyle w:val="TableContents"/>
              <w:bidi w:val="0"/>
              <w:spacing w:before="0" w:after="283"/>
              <w:jc w:val="left"/>
              <w:rPr/>
            </w:pPr>
            <w:r>
              <w:rPr/>
              <w:t> </w:t>
            </w:r>
          </w:p>
        </w:tc>
        <w:tc>
          <w:tcPr>
            <w:tcW w:w="4141" w:type="dxa"/>
            <w:tcBorders/>
            <w:shd w:fill="EEEEEE" w:val="clear"/>
            <w:vAlign w:val="center"/>
          </w:tcPr>
          <w:p>
            <w:pPr>
              <w:pStyle w:val="TableContents"/>
              <w:bidi w:val="0"/>
              <w:spacing w:before="0" w:after="283"/>
              <w:jc w:val="right"/>
              <w:rPr/>
            </w:pPr>
            <w:r>
              <w:rPr/>
              <w:t> </w:t>
            </w:r>
          </w:p>
        </w:tc>
        <w:tc>
          <w:tcPr>
            <w:tcW w:w="78" w:type="dxa"/>
            <w:tcBorders/>
            <w:shd w:fill="EEEEEE" w:val="clear"/>
            <w:vAlign w:val="center"/>
          </w:tcPr>
          <w:p>
            <w:pPr>
              <w:pStyle w:val="TableContents"/>
              <w:bidi w:val="0"/>
              <w:spacing w:before="0" w:after="283"/>
              <w:jc w:val="left"/>
              <w:rPr/>
            </w:pPr>
            <w:r>
              <w:rPr/>
              <w:t> </w:t>
            </w:r>
          </w:p>
        </w:tc>
      </w:tr>
      <w:tr>
        <w:trPr/>
        <w:tc>
          <w:tcPr>
            <w:tcW w:w="3431" w:type="dxa"/>
            <w:tcBorders/>
            <w:shd w:fill="FFFFFF" w:val="clear"/>
            <w:vAlign w:val="center"/>
          </w:tcPr>
          <w:p>
            <w:pPr>
              <w:pStyle w:val="TableContents"/>
              <w:bidi w:val="0"/>
              <w:spacing w:before="0" w:after="283"/>
              <w:jc w:val="left"/>
              <w:rPr/>
            </w:pPr>
            <w:r>
              <w:rPr/>
              <w:t>RSUs vested</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bookmarkStart w:id="757" w:name="xdx_988_eus-gaap--ShareBasedCompensation"/>
            <w:bookmarkEnd w:id="757"/>
          </w:p>
        </w:tc>
        <w:tc>
          <w:tcPr>
            <w:tcW w:w="1517" w:type="dxa"/>
            <w:tcBorders/>
            <w:shd w:fill="FFFFFF" w:val="clear"/>
            <w:vAlign w:val="center"/>
          </w:tcPr>
          <w:p>
            <w:pPr>
              <w:pStyle w:val="TableContents"/>
              <w:bidi w:val="0"/>
              <w:spacing w:before="0" w:after="283"/>
              <w:jc w:val="right"/>
              <w:rPr/>
            </w:pPr>
            <w:r>
              <w:rPr/>
              <w:t>(110,929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20" w:type="dxa"/>
            <w:tcBorders/>
            <w:shd w:fill="FFFFFF" w:val="clear"/>
            <w:vAlign w:val="center"/>
          </w:tcPr>
          <w:p>
            <w:pPr>
              <w:pStyle w:val="TableContents"/>
              <w:bidi w:val="0"/>
              <w:spacing w:before="0" w:after="283"/>
              <w:jc w:val="left"/>
              <w:rPr/>
            </w:pPr>
            <w:r>
              <w:rPr/>
              <w:t> </w:t>
            </w:r>
          </w:p>
        </w:tc>
        <w:tc>
          <w:tcPr>
            <w:tcW w:w="4141"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3431" w:type="dxa"/>
            <w:tcBorders/>
            <w:shd w:fill="EEEEEE" w:val="clear"/>
            <w:vAlign w:val="center"/>
          </w:tcPr>
          <w:p>
            <w:pPr>
              <w:pStyle w:val="TableContents"/>
              <w:bidi w:val="0"/>
              <w:spacing w:before="0" w:after="283"/>
              <w:jc w:val="left"/>
              <w:rPr/>
            </w:pPr>
            <w:r>
              <w:rPr/>
              <w:t>RSUs granted, but not vested, at June 30, 2022</w:t>
            </w:r>
          </w:p>
        </w:tc>
        <w:tc>
          <w:tcPr>
            <w:tcW w:w="60" w:type="dxa"/>
            <w:tcBorders/>
            <w:shd w:fill="EEEEEE" w:val="clear"/>
            <w:vAlign w:val="center"/>
          </w:tcPr>
          <w:p>
            <w:pPr>
              <w:pStyle w:val="TableContents"/>
              <w:bidi w:val="0"/>
              <w:spacing w:before="0" w:after="283"/>
              <w:jc w:val="left"/>
              <w:rPr/>
            </w:pPr>
            <w:r>
              <w:rPr/>
              <w:t> </w:t>
            </w:r>
          </w:p>
        </w:tc>
        <w:tc>
          <w:tcPr>
            <w:tcW w:w="103" w:type="dxa"/>
            <w:tcBorders/>
            <w:shd w:fill="EEEEEE" w:val="clear"/>
            <w:vAlign w:val="center"/>
          </w:tcPr>
          <w:p>
            <w:pPr>
              <w:pStyle w:val="TableContents"/>
              <w:bidi w:val="0"/>
              <w:spacing w:before="0" w:after="283"/>
              <w:jc w:val="left"/>
              <w:rPr/>
            </w:pPr>
            <w:r>
              <w:rPr/>
              <w:t> </w:t>
            </w:r>
            <w:bookmarkStart w:id="758" w:name="xdx_989_eus-gaap--ShareBasedCompensation"/>
            <w:bookmarkEnd w:id="758"/>
          </w:p>
        </w:tc>
        <w:tc>
          <w:tcPr>
            <w:tcW w:w="1517" w:type="dxa"/>
            <w:tcBorders/>
            <w:shd w:fill="EEEEEE" w:val="clear"/>
            <w:vAlign w:val="center"/>
          </w:tcPr>
          <w:p>
            <w:pPr>
              <w:pStyle w:val="TableContents"/>
              <w:bidi w:val="0"/>
              <w:spacing w:before="0" w:after="283"/>
              <w:jc w:val="right"/>
              <w:rPr/>
            </w:pPr>
            <w:r>
              <w:rPr/>
              <w:t>6,608</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720" w:type="dxa"/>
            <w:tcBorders/>
            <w:shd w:fill="EEEEEE" w:val="clear"/>
            <w:vAlign w:val="center"/>
          </w:tcPr>
          <w:p>
            <w:pPr>
              <w:pStyle w:val="TableContents"/>
              <w:bidi w:val="0"/>
              <w:spacing w:before="0" w:after="283"/>
              <w:jc w:val="left"/>
              <w:rPr/>
            </w:pPr>
            <w:r>
              <w:rPr/>
              <w:t> </w:t>
            </w:r>
          </w:p>
        </w:tc>
        <w:tc>
          <w:tcPr>
            <w:tcW w:w="4141" w:type="dxa"/>
            <w:tcBorders/>
            <w:shd w:fill="EEEEEE" w:val="clear"/>
            <w:vAlign w:val="center"/>
          </w:tcPr>
          <w:p>
            <w:pPr>
              <w:pStyle w:val="TableContents"/>
              <w:bidi w:val="0"/>
              <w:spacing w:before="0" w:after="283"/>
              <w:jc w:val="right"/>
              <w:rPr/>
            </w:pPr>
            <w:r>
              <w:rPr/>
              <w:t> </w:t>
            </w:r>
          </w:p>
        </w:tc>
        <w:tc>
          <w:tcPr>
            <w:tcW w:w="78" w:type="dxa"/>
            <w:tcBorders/>
            <w:shd w:fill="EEEEEE" w:val="clear"/>
            <w:vAlign w:val="center"/>
          </w:tcPr>
          <w:p>
            <w:pPr>
              <w:pStyle w:val="TableContents"/>
              <w:bidi w:val="0"/>
              <w:spacing w:before="0" w:after="283"/>
              <w:jc w:val="left"/>
              <w:rPr/>
            </w:pPr>
            <w:r>
              <w:rPr/>
              <w:t> </w:t>
            </w:r>
          </w:p>
        </w:tc>
      </w:tr>
      <w:tr>
        <w:trPr/>
        <w:tc>
          <w:tcPr>
            <w:tcW w:w="3431" w:type="dxa"/>
            <w:tcBorders/>
            <w:shd w:fill="FFFFFF" w:val="clear"/>
            <w:vAlign w:val="center"/>
          </w:tcPr>
          <w:p>
            <w:pPr>
              <w:pStyle w:val="TableContents"/>
              <w:bidi w:val="0"/>
              <w:spacing w:before="0" w:after="283"/>
              <w:jc w:val="left"/>
              <w:rPr/>
            </w:pPr>
            <w:r>
              <w:rPr/>
              <w:t>RSUs granted</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bookmarkStart w:id="759" w:name="xdx_98B_eus-gaap--ShareBasedCompensation"/>
            <w:bookmarkEnd w:id="759"/>
          </w:p>
        </w:tc>
        <w:tc>
          <w:tcPr>
            <w:tcW w:w="1517" w:type="dxa"/>
            <w:tcBorders/>
            <w:shd w:fill="FFFFFF" w:val="clear"/>
            <w:vAlign w:val="center"/>
          </w:tcPr>
          <w:p>
            <w:pPr>
              <w:pStyle w:val="TableContents"/>
              <w:bidi w:val="0"/>
              <w:spacing w:before="0" w:after="283"/>
              <w:jc w:val="right"/>
              <w:rPr/>
            </w:pPr>
            <w:r>
              <w:rPr/>
              <w:t>131,130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0" w:type="dxa"/>
            <w:tcBorders/>
            <w:shd w:fill="FFFFFF" w:val="clear"/>
            <w:vAlign w:val="center"/>
          </w:tcPr>
          <w:p>
            <w:pPr>
              <w:pStyle w:val="TableContents"/>
              <w:bidi w:val="0"/>
              <w:spacing w:before="0" w:after="283"/>
              <w:jc w:val="left"/>
              <w:rPr/>
            </w:pPr>
            <w:r>
              <w:rPr/>
              <w:t>$</w:t>
            </w:r>
            <w:bookmarkStart w:id="760" w:name="xdx_98E_ecustom--ShareBasedCompensationA"/>
            <w:bookmarkEnd w:id="760"/>
          </w:p>
        </w:tc>
        <w:tc>
          <w:tcPr>
            <w:tcW w:w="4141" w:type="dxa"/>
            <w:tcBorders/>
            <w:shd w:fill="FFFFFF" w:val="clear"/>
            <w:vAlign w:val="center"/>
          </w:tcPr>
          <w:p>
            <w:pPr>
              <w:pStyle w:val="TableContents"/>
              <w:bidi w:val="0"/>
              <w:spacing w:before="0" w:after="283"/>
              <w:jc w:val="right"/>
              <w:rPr/>
            </w:pPr>
            <w:r>
              <w:rPr/>
              <w:t>78,768</w:t>
            </w:r>
          </w:p>
        </w:tc>
        <w:tc>
          <w:tcPr>
            <w:tcW w:w="78" w:type="dxa"/>
            <w:tcBorders/>
            <w:shd w:fill="FFFFFF" w:val="clear"/>
            <w:vAlign w:val="center"/>
          </w:tcPr>
          <w:p>
            <w:pPr>
              <w:pStyle w:val="TableContents"/>
              <w:bidi w:val="0"/>
              <w:spacing w:before="0" w:after="283"/>
              <w:jc w:val="left"/>
              <w:rPr/>
            </w:pPr>
            <w:r>
              <w:rPr/>
              <w:t> </w:t>
            </w:r>
          </w:p>
        </w:tc>
      </w:tr>
      <w:tr>
        <w:trPr/>
        <w:tc>
          <w:tcPr>
            <w:tcW w:w="3431" w:type="dxa"/>
            <w:tcBorders/>
            <w:shd w:fill="EEEEEE" w:val="clear"/>
            <w:vAlign w:val="center"/>
          </w:tcPr>
          <w:p>
            <w:pPr>
              <w:pStyle w:val="TableContents"/>
              <w:bidi w:val="0"/>
              <w:spacing w:before="0" w:after="283"/>
              <w:jc w:val="left"/>
              <w:rPr/>
            </w:pPr>
            <w:r>
              <w:rPr/>
              <w:t>RSUs forfeited</w:t>
            </w:r>
          </w:p>
        </w:tc>
        <w:tc>
          <w:tcPr>
            <w:tcW w:w="60" w:type="dxa"/>
            <w:tcBorders/>
            <w:shd w:fill="EEEEEE" w:val="clear"/>
            <w:vAlign w:val="center"/>
          </w:tcPr>
          <w:p>
            <w:pPr>
              <w:pStyle w:val="TableContents"/>
              <w:bidi w:val="0"/>
              <w:spacing w:before="0" w:after="283"/>
              <w:jc w:val="left"/>
              <w:rPr/>
            </w:pPr>
            <w:r>
              <w:rPr/>
              <w:t> </w:t>
            </w:r>
          </w:p>
        </w:tc>
        <w:tc>
          <w:tcPr>
            <w:tcW w:w="103" w:type="dxa"/>
            <w:tcBorders/>
            <w:shd w:fill="EEEEEE" w:val="clear"/>
            <w:vAlign w:val="center"/>
          </w:tcPr>
          <w:p>
            <w:pPr>
              <w:pStyle w:val="TableContents"/>
              <w:bidi w:val="0"/>
              <w:spacing w:before="0" w:after="283"/>
              <w:jc w:val="left"/>
              <w:rPr/>
            </w:pPr>
            <w:r>
              <w:rPr/>
              <w:t> </w:t>
            </w:r>
            <w:bookmarkStart w:id="761" w:name="xdx_98C_eus-gaap--ShareBasedCompensation"/>
            <w:bookmarkEnd w:id="761"/>
          </w:p>
        </w:tc>
        <w:tc>
          <w:tcPr>
            <w:tcW w:w="1517" w:type="dxa"/>
            <w:tcBorders/>
            <w:shd w:fill="EEEEEE" w:val="cle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720" w:type="dxa"/>
            <w:tcBorders/>
            <w:shd w:fill="EEEEEE" w:val="clear"/>
            <w:vAlign w:val="center"/>
          </w:tcPr>
          <w:p>
            <w:pPr>
              <w:pStyle w:val="TableContents"/>
              <w:bidi w:val="0"/>
              <w:spacing w:before="0" w:after="283"/>
              <w:jc w:val="left"/>
              <w:rPr/>
            </w:pPr>
            <w:r>
              <w:rPr/>
              <w:t> </w:t>
            </w:r>
          </w:p>
        </w:tc>
        <w:tc>
          <w:tcPr>
            <w:tcW w:w="4141" w:type="dxa"/>
            <w:tcBorders/>
            <w:shd w:fill="EEEEEE" w:val="clear"/>
            <w:vAlign w:val="center"/>
          </w:tcPr>
          <w:p>
            <w:pPr>
              <w:pStyle w:val="TableContents"/>
              <w:bidi w:val="0"/>
              <w:spacing w:before="0" w:after="283"/>
              <w:jc w:val="right"/>
              <w:rPr/>
            </w:pPr>
            <w:r>
              <w:rPr/>
              <w:t> </w:t>
            </w:r>
          </w:p>
        </w:tc>
        <w:tc>
          <w:tcPr>
            <w:tcW w:w="78" w:type="dxa"/>
            <w:tcBorders/>
            <w:shd w:fill="EEEEEE" w:val="clear"/>
            <w:vAlign w:val="center"/>
          </w:tcPr>
          <w:p>
            <w:pPr>
              <w:pStyle w:val="TableContents"/>
              <w:bidi w:val="0"/>
              <w:spacing w:before="0" w:after="283"/>
              <w:jc w:val="left"/>
              <w:rPr/>
            </w:pPr>
            <w:r>
              <w:rPr/>
              <w:t> </w:t>
            </w:r>
          </w:p>
        </w:tc>
      </w:tr>
      <w:tr>
        <w:trPr/>
        <w:tc>
          <w:tcPr>
            <w:tcW w:w="3431" w:type="dxa"/>
            <w:tcBorders/>
            <w:shd w:fill="FFFFFF" w:val="clear"/>
            <w:vAlign w:val="center"/>
          </w:tcPr>
          <w:p>
            <w:pPr>
              <w:pStyle w:val="TableContents"/>
              <w:bidi w:val="0"/>
              <w:spacing w:before="0" w:after="283"/>
              <w:jc w:val="left"/>
              <w:rPr/>
            </w:pPr>
            <w:r>
              <w:rPr/>
              <w:t>RSUs vested</w:t>
            </w:r>
          </w:p>
        </w:tc>
        <w:tc>
          <w:tcPr>
            <w:tcW w:w="60" w:type="dxa"/>
            <w:tcBorders/>
            <w:shd w:fill="FFFFFF" w:val="clear"/>
            <w:vAlign w:val="center"/>
          </w:tcPr>
          <w:p>
            <w:pPr>
              <w:pStyle w:val="TableContents"/>
              <w:bidi w:val="0"/>
              <w:spacing w:before="0" w:after="283"/>
              <w:jc w:val="left"/>
              <w:rPr/>
            </w:pPr>
            <w:r>
              <w:rPr/>
              <w:t> </w:t>
            </w:r>
          </w:p>
        </w:tc>
        <w:tc>
          <w:tcPr>
            <w:tcW w:w="10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762" w:name="xdx_984_eus-gaap--ShareBasedCompensation"/>
            <w:bookmarkEnd w:id="762"/>
          </w:p>
        </w:tc>
        <w:tc>
          <w:tcPr>
            <w:tcW w:w="1517" w:type="dxa"/>
            <w:tcBorders>
              <w:bottom w:val="single" w:sz="8" w:space="0" w:color="000000"/>
            </w:tcBorders>
            <w:shd w:fill="FFFFFF" w:val="clear"/>
            <w:tcMar>
              <w:bottom w:w="28" w:type="dxa"/>
            </w:tcMar>
            <w:vAlign w:val="center"/>
          </w:tcPr>
          <w:p>
            <w:pPr>
              <w:pStyle w:val="TableContents"/>
              <w:bidi w:val="0"/>
              <w:spacing w:before="0" w:after="283"/>
              <w:jc w:val="right"/>
              <w:rPr/>
            </w:pPr>
            <w:r>
              <w:rPr/>
              <w:t>(98,945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20" w:type="dxa"/>
            <w:tcBorders/>
            <w:shd w:fill="FFFFFF" w:val="clear"/>
            <w:vAlign w:val="center"/>
          </w:tcPr>
          <w:p>
            <w:pPr>
              <w:pStyle w:val="TableContents"/>
              <w:bidi w:val="0"/>
              <w:spacing w:before="0" w:after="283"/>
              <w:jc w:val="left"/>
              <w:rPr/>
            </w:pPr>
            <w:r>
              <w:rPr/>
              <w:t> </w:t>
            </w:r>
          </w:p>
        </w:tc>
        <w:tc>
          <w:tcPr>
            <w:tcW w:w="4141"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3431" w:type="dxa"/>
            <w:tcBorders/>
            <w:shd w:fill="EEEEEE" w:val="clear"/>
            <w:vAlign w:val="center"/>
          </w:tcPr>
          <w:p>
            <w:pPr>
              <w:pStyle w:val="TableContents"/>
              <w:bidi w:val="0"/>
              <w:spacing w:before="0" w:after="283"/>
              <w:jc w:val="left"/>
              <w:rPr/>
            </w:pPr>
            <w:r>
              <w:rPr/>
              <w:t>RSUs granted, but not vested, at June 30, 2023</w:t>
            </w:r>
          </w:p>
        </w:tc>
        <w:tc>
          <w:tcPr>
            <w:tcW w:w="60" w:type="dxa"/>
            <w:tcBorders/>
            <w:shd w:fill="EEEEEE" w:val="clear"/>
            <w:vAlign w:val="center"/>
          </w:tcPr>
          <w:p>
            <w:pPr>
              <w:pStyle w:val="TableContents"/>
              <w:bidi w:val="0"/>
              <w:spacing w:before="0" w:after="283"/>
              <w:jc w:val="left"/>
              <w:rPr/>
            </w:pPr>
            <w:r>
              <w:rPr/>
              <w:t> </w:t>
            </w:r>
          </w:p>
        </w:tc>
        <w:tc>
          <w:tcPr>
            <w:tcW w:w="103" w:type="dxa"/>
            <w:tcBorders>
              <w:bottom w:val="double" w:sz="6" w:space="0" w:color="000000"/>
            </w:tcBorders>
            <w:shd w:fill="EEEEEE" w:val="clear"/>
            <w:tcMar>
              <w:bottom w:w="28" w:type="dxa"/>
            </w:tcMar>
            <w:vAlign w:val="center"/>
          </w:tcPr>
          <w:p>
            <w:pPr>
              <w:pStyle w:val="TableContents"/>
              <w:bidi w:val="0"/>
              <w:spacing w:before="0" w:after="283"/>
              <w:jc w:val="left"/>
              <w:rPr/>
            </w:pPr>
            <w:r>
              <w:rPr/>
              <w:t> </w:t>
            </w:r>
            <w:bookmarkStart w:id="763" w:name="xdx_986_eus-gaap--ShareBasedCompensation"/>
            <w:bookmarkEnd w:id="763"/>
          </w:p>
        </w:tc>
        <w:tc>
          <w:tcPr>
            <w:tcW w:w="1517" w:type="dxa"/>
            <w:tcBorders>
              <w:bottom w:val="double" w:sz="6" w:space="0" w:color="000000"/>
            </w:tcBorders>
            <w:shd w:fill="EEEEEE" w:val="clear"/>
            <w:tcMar>
              <w:bottom w:w="28" w:type="dxa"/>
            </w:tcMar>
            <w:vAlign w:val="center"/>
          </w:tcPr>
          <w:p>
            <w:pPr>
              <w:pStyle w:val="TableContents"/>
              <w:bidi w:val="0"/>
              <w:spacing w:before="0" w:after="283"/>
              <w:jc w:val="right"/>
              <w:rPr/>
            </w:pPr>
            <w:r>
              <w:rPr/>
              <w:t>38,793</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720" w:type="dxa"/>
            <w:tcBorders/>
            <w:shd w:fill="EEEEEE" w:val="clear"/>
            <w:vAlign w:val="center"/>
          </w:tcPr>
          <w:p>
            <w:pPr>
              <w:pStyle w:val="TableContents"/>
              <w:bidi w:val="0"/>
              <w:spacing w:before="0" w:after="283"/>
              <w:jc w:val="left"/>
              <w:rPr/>
            </w:pPr>
            <w:r>
              <w:rPr/>
              <w:t> </w:t>
            </w:r>
          </w:p>
        </w:tc>
        <w:tc>
          <w:tcPr>
            <w:tcW w:w="4141" w:type="dxa"/>
            <w:tcBorders/>
            <w:shd w:fill="EEEEEE" w:val="clear"/>
            <w:vAlign w:val="center"/>
          </w:tcPr>
          <w:p>
            <w:pPr>
              <w:pStyle w:val="TableContents"/>
              <w:bidi w:val="0"/>
              <w:spacing w:before="0" w:after="283"/>
              <w:jc w:val="right"/>
              <w:rPr/>
            </w:pPr>
            <w:r>
              <w:rPr/>
              <w:t> </w:t>
            </w:r>
          </w:p>
        </w:tc>
        <w:tc>
          <w:tcPr>
            <w:tcW w:w="78" w:type="dxa"/>
            <w:tcBorders/>
            <w:shd w:fill="EEEEEE"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_____________________</w:t>
      </w:r>
    </w:p>
    <w:tbl>
      <w:tblPr>
        <w:tblW w:w="6250" w:type="dxa"/>
        <w:jc w:val="left"/>
        <w:tblInd w:w="0" w:type="dxa"/>
        <w:tblLayout w:type="fixed"/>
        <w:tblCellMar>
          <w:top w:w="0" w:type="dxa"/>
          <w:left w:w="0" w:type="dxa"/>
          <w:bottom w:w="0" w:type="dxa"/>
          <w:right w:w="0" w:type="dxa"/>
        </w:tblCellMar>
      </w:tblPr>
      <w:tblGrid>
        <w:gridCol w:w="260"/>
        <w:gridCol w:w="5990"/>
      </w:tblGrid>
      <w:tr>
        <w:trPr/>
        <w:tc>
          <w:tcPr>
            <w:tcW w:w="260" w:type="dxa"/>
            <w:tcBorders/>
            <w:vAlign w:val="center"/>
          </w:tcPr>
          <w:p>
            <w:pPr>
              <w:pStyle w:val="TableContents"/>
              <w:bidi w:val="0"/>
              <w:spacing w:before="0" w:after="283"/>
              <w:jc w:val="left"/>
              <w:rPr>
                <w:rFonts w:ascii="Times New Roman;Times;Serif" w:hAnsi="Times New Roman;Times;Serif"/>
                <w:sz w:val="20"/>
              </w:rPr>
            </w:pPr>
            <w:bookmarkStart w:id="764" w:name="xdx_F00_zdJeI4HRlDxb"/>
            <w:bookmarkEnd w:id="764"/>
            <w:r>
              <w:rPr>
                <w:rFonts w:ascii="Times New Roman;Times;Serif" w:hAnsi="Times New Roman;Times;Serif"/>
                <w:sz w:val="20"/>
              </w:rPr>
              <w:t>(1)</w:t>
            </w:r>
          </w:p>
        </w:tc>
        <w:tc>
          <w:tcPr>
            <w:tcW w:w="5990" w:type="dxa"/>
            <w:tcBorders/>
            <w:vAlign w:val="center"/>
          </w:tcPr>
          <w:p>
            <w:pPr>
              <w:pStyle w:val="TableContents"/>
              <w:bidi w:val="0"/>
              <w:spacing w:before="0" w:after="283"/>
              <w:jc w:val="left"/>
              <w:rPr>
                <w:rFonts w:ascii="Times New Roman;Times;Serif" w:hAnsi="Times New Roman;Times;Serif"/>
                <w:sz w:val="20"/>
              </w:rPr>
            </w:pPr>
            <w:bookmarkStart w:id="765" w:name="xdx_F12_zJcRA3BlWN61"/>
            <w:bookmarkEnd w:id="765"/>
            <w:r>
              <w:rPr>
                <w:rFonts w:ascii="Times New Roman;Times;Serif" w:hAnsi="Times New Roman;Times;Serif"/>
                <w:sz w:val="20"/>
              </w:rPr>
              <w:t>The total fair value was based on the current stock price on the grant date.</w:t>
            </w:r>
          </w:p>
        </w:tc>
      </w:tr>
    </w:tbl>
    <w:p>
      <w:pPr>
        <w:pStyle w:val="TextBody"/>
        <w:bidi w:val="0"/>
        <w:spacing w:before="0" w:after="0"/>
        <w:ind w:left="0" w:right="0" w:hanging="0"/>
        <w:jc w:val="both"/>
        <w:rPr>
          <w:caps w:val="false"/>
          <w:smallCaps w:val="false"/>
        </w:rPr>
      </w:pPr>
      <w:bookmarkStart w:id="766" w:name="xdx_8AD_z7e0A6eGEH6l"/>
      <w:bookmarkEnd w:id="766"/>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2023, of the </w:t>
      </w:r>
      <w:bookmarkStart w:id="767" w:name="xdx_909_eus-gaap--ShareBasedCompensation"/>
      <w:bookmarkEnd w:id="767"/>
      <w:r>
        <w:rPr>
          <w:rFonts w:ascii="Times New Roman;Times;Serif" w:hAnsi="Times New Roman;Times;Serif"/>
          <w:b w:val="false"/>
          <w:i w:val="false"/>
          <w:caps w:val="false"/>
          <w:smallCaps w:val="false"/>
          <w:sz w:val="20"/>
        </w:rPr>
        <w:t xml:space="preserve">232,011 vested RSUs, </w:t>
      </w:r>
      <w:bookmarkStart w:id="768" w:name="xdx_905_eus-gaap--ConversionOfStockShare"/>
      <w:bookmarkEnd w:id="768"/>
      <w:r>
        <w:rPr>
          <w:rFonts w:ascii="Times New Roman;Times;Serif" w:hAnsi="Times New Roman;Times;Serif"/>
          <w:b w:val="false"/>
          <w:i w:val="false"/>
          <w:caps w:val="false"/>
          <w:smallCaps w:val="false"/>
          <w:sz w:val="20"/>
        </w:rPr>
        <w:t xml:space="preserve">178,576 shares of Common Stock were issued, and </w:t>
      </w:r>
      <w:bookmarkStart w:id="769" w:name="xdx_90A_ecustom--ConversionOfStockShares"/>
      <w:bookmarkEnd w:id="769"/>
      <w:r>
        <w:rPr>
          <w:rFonts w:ascii="Times New Roman;Times;Serif" w:hAnsi="Times New Roman;Times;Serif"/>
          <w:b w:val="false"/>
          <w:i w:val="false"/>
          <w:caps w:val="false"/>
          <w:smallCaps w:val="false"/>
          <w:sz w:val="20"/>
        </w:rPr>
        <w:t>53,435 shares were to be issued in the next fiscal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Stock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12, 2022, the Compensation Committee of the Board of Directors approved an incentive plan for the Company’s executive officers consisting of a cash performance bonus of $</w:t>
      </w:r>
      <w:bookmarkStart w:id="770" w:name="xdx_90A_ecustom--CashPerformanceBonus_pp"/>
      <w:bookmarkEnd w:id="770"/>
      <w:r>
        <w:rPr>
          <w:rFonts w:ascii="Times New Roman;Times;Serif" w:hAnsi="Times New Roman;Times;Serif"/>
          <w:b w:val="false"/>
          <w:i w:val="false"/>
          <w:caps w:val="false"/>
          <w:smallCaps w:val="false"/>
          <w:sz w:val="20"/>
        </w:rPr>
        <w:t xml:space="preserve">60,000 to be awarded to Kevin Vassily, CFO of the Company, and grants of stock option (the “Option Grants”) in the amount of 60,000(i) </w:t>
      </w:r>
      <w:bookmarkStart w:id="771" w:name="xdx_90F_eus-gaap--ShareBasedCompensation"/>
      <w:bookmarkEnd w:id="771"/>
      <w:r>
        <w:rPr>
          <w:rFonts w:ascii="Times New Roman;Times;Serif" w:hAnsi="Times New Roman;Times;Serif"/>
          <w:b w:val="false"/>
          <w:i w:val="false"/>
          <w:caps w:val="false"/>
          <w:smallCaps w:val="false"/>
          <w:sz w:val="20"/>
        </w:rPr>
        <w:t xml:space="preserve">3,000,000 shares to Chenlong Tan, CEO and (ii) </w:t>
      </w:r>
      <w:bookmarkStart w:id="772" w:name="xdx_906_eus-gaap--ShareBasedCompensation"/>
      <w:bookmarkEnd w:id="772"/>
      <w:r>
        <w:rPr>
          <w:rFonts w:ascii="Times New Roman;Times;Serif" w:hAnsi="Times New Roman;Times;Serif"/>
          <w:b w:val="false"/>
          <w:i w:val="false"/>
          <w:caps w:val="false"/>
          <w:smallCaps w:val="false"/>
          <w:sz w:val="20"/>
        </w:rPr>
        <w:t>330,000 shares to Mr. Vassily. The Option Grants, which were issued on May 13, 2022, have an exercise price of $1.12, a contractual term of 10 years and consist of six vesting tranches with a vesting schedule based entirely on the attainment of both operational milestones (performance conditions) and market conditions, assuming continued employment of the recipients through each vesting date. Each of the six vesting tranches of the Option Grants will vest when both (i) the market capitalization milestone for such tranche, which begins at $150 million for the first tranche and increases by increments of $50 million through the fourth tranche and $100 million thereafter (based on achieving such market capitalization for five consecutive trading days), has been achieved, and (ii) any one of the following six operational milestones focused on revenue or any one of the six operational milestones focused on operating income have been achieved during a given fiscal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achievement status of the operational milestones as of June 30, 2023 was as follows:</w:t>
      </w:r>
    </w:p>
    <w:tbl>
      <w:tblPr>
        <w:tblW w:w="5452" w:type="dxa"/>
        <w:jc w:val="left"/>
        <w:tblInd w:w="0" w:type="dxa"/>
        <w:tblLayout w:type="fixed"/>
        <w:tblCellMar>
          <w:top w:w="0" w:type="dxa"/>
          <w:left w:w="0" w:type="dxa"/>
          <w:bottom w:w="28" w:type="dxa"/>
          <w:right w:w="0" w:type="dxa"/>
        </w:tblCellMar>
      </w:tblPr>
      <w:tblGrid>
        <w:gridCol w:w="155"/>
        <w:gridCol w:w="1055"/>
        <w:gridCol w:w="60"/>
        <w:gridCol w:w="60"/>
        <w:gridCol w:w="60"/>
        <w:gridCol w:w="1100"/>
        <w:gridCol w:w="60"/>
        <w:gridCol w:w="60"/>
        <w:gridCol w:w="140"/>
        <w:gridCol w:w="1188"/>
        <w:gridCol w:w="67"/>
        <w:gridCol w:w="67"/>
        <w:gridCol w:w="67"/>
        <w:gridCol w:w="1238"/>
        <w:gridCol w:w="75"/>
      </w:tblGrid>
      <w:tr>
        <w:trPr/>
        <w:tc>
          <w:tcPr>
            <w:tcW w:w="155" w:type="dxa"/>
            <w:tcBorders>
              <w:bottom w:val="single" w:sz="8" w:space="0" w:color="000000"/>
            </w:tcBorders>
            <w:vAlign w:val="center"/>
          </w:tcPr>
          <w:p>
            <w:pPr>
              <w:pStyle w:val="TableContents"/>
              <w:bidi w:val="0"/>
              <w:spacing w:before="0" w:after="283"/>
              <w:jc w:val="center"/>
              <w:rPr/>
            </w:pPr>
            <w:r>
              <w:rPr/>
              <w:t> </w:t>
            </w:r>
          </w:p>
        </w:tc>
        <w:tc>
          <w:tcPr>
            <w:tcW w:w="1055" w:type="dxa"/>
            <w:tcBorders>
              <w:bottom w:val="single" w:sz="8" w:space="0" w:color="000000"/>
            </w:tcBorders>
            <w:vAlign w:val="center"/>
          </w:tcPr>
          <w:p>
            <w:pPr>
              <w:pStyle w:val="TableContents"/>
              <w:bidi w:val="0"/>
              <w:spacing w:before="0" w:after="283"/>
              <w:jc w:val="center"/>
              <w:rPr/>
            </w:pPr>
            <w:r>
              <w:rPr/>
              <w:t> </w:t>
            </w:r>
          </w:p>
        </w:tc>
        <w:tc>
          <w:tcPr>
            <w:tcW w:w="60" w:type="dxa"/>
            <w:tcBorders>
              <w:bottom w:val="single" w:sz="8" w:space="0" w:color="000000"/>
            </w:tcBorders>
            <w:vAlign w:val="center"/>
          </w:tcPr>
          <w:p>
            <w:pPr>
              <w:pStyle w:val="TableContents"/>
              <w:bidi w:val="0"/>
              <w:spacing w:before="0" w:after="283"/>
              <w:jc w:val="center"/>
              <w:rPr/>
            </w:pPr>
            <w:r>
              <w:rPr/>
              <w:t> </w:t>
            </w:r>
          </w:p>
        </w:tc>
        <w:tc>
          <w:tcPr>
            <w:tcW w:w="60" w:type="dxa"/>
            <w:tcBorders>
              <w:bottom w:val="single" w:sz="8" w:space="0" w:color="000000"/>
            </w:tcBorders>
            <w:vAlign w:val="center"/>
          </w:tcPr>
          <w:p>
            <w:pPr>
              <w:pStyle w:val="TableContents"/>
              <w:bidi w:val="0"/>
              <w:spacing w:before="0" w:after="283"/>
              <w:jc w:val="center"/>
              <w:rPr/>
            </w:pPr>
            <w:r>
              <w:rPr/>
              <w:t> </w:t>
            </w:r>
          </w:p>
        </w:tc>
        <w:tc>
          <w:tcPr>
            <w:tcW w:w="60" w:type="dxa"/>
            <w:tcBorders>
              <w:bottom w:val="single" w:sz="8" w:space="0" w:color="000000"/>
            </w:tcBorders>
            <w:vAlign w:val="center"/>
          </w:tcPr>
          <w:p>
            <w:pPr>
              <w:pStyle w:val="TableContents"/>
              <w:bidi w:val="0"/>
              <w:spacing w:before="0" w:after="283"/>
              <w:jc w:val="center"/>
              <w:rPr/>
            </w:pPr>
            <w:r>
              <w:rPr/>
              <w:t> </w:t>
            </w:r>
          </w:p>
        </w:tc>
        <w:tc>
          <w:tcPr>
            <w:tcW w:w="1100" w:type="dxa"/>
            <w:tcBorders>
              <w:bottom w:val="single" w:sz="8" w:space="0" w:color="000000"/>
            </w:tcBorders>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40" w:type="dxa"/>
            <w:tcBorders>
              <w:bottom w:val="single" w:sz="8" w:space="0" w:color="000000"/>
            </w:tcBorders>
            <w:vAlign w:val="center"/>
          </w:tcPr>
          <w:p>
            <w:pPr>
              <w:pStyle w:val="TableContents"/>
              <w:bidi w:val="0"/>
              <w:spacing w:before="0" w:after="283"/>
              <w:jc w:val="center"/>
              <w:rPr/>
            </w:pPr>
            <w:r>
              <w:rPr/>
              <w:t> </w:t>
            </w:r>
          </w:p>
        </w:tc>
        <w:tc>
          <w:tcPr>
            <w:tcW w:w="1188" w:type="dxa"/>
            <w:tcBorders>
              <w:bottom w:val="single" w:sz="8" w:space="0" w:color="000000"/>
            </w:tcBorders>
            <w:vAlign w:val="center"/>
          </w:tcPr>
          <w:p>
            <w:pPr>
              <w:pStyle w:val="TableContents"/>
              <w:bidi w:val="0"/>
              <w:spacing w:before="0" w:after="283"/>
              <w:jc w:val="center"/>
              <w:rPr/>
            </w:pPr>
            <w:r>
              <w:rPr/>
              <w:t> </w:t>
            </w:r>
          </w:p>
        </w:tc>
        <w:tc>
          <w:tcPr>
            <w:tcW w:w="67" w:type="dxa"/>
            <w:tcBorders>
              <w:bottom w:val="single" w:sz="8" w:space="0" w:color="000000"/>
            </w:tcBorders>
            <w:vAlign w:val="center"/>
          </w:tcPr>
          <w:p>
            <w:pPr>
              <w:pStyle w:val="TableContents"/>
              <w:bidi w:val="0"/>
              <w:spacing w:before="0" w:after="283"/>
              <w:jc w:val="center"/>
              <w:rPr/>
            </w:pPr>
            <w:r>
              <w:rPr/>
              <w:t> </w:t>
            </w:r>
          </w:p>
        </w:tc>
        <w:tc>
          <w:tcPr>
            <w:tcW w:w="67" w:type="dxa"/>
            <w:tcBorders>
              <w:bottom w:val="single" w:sz="8" w:space="0" w:color="000000"/>
            </w:tcBorders>
            <w:vAlign w:val="center"/>
          </w:tcPr>
          <w:p>
            <w:pPr>
              <w:pStyle w:val="TableContents"/>
              <w:bidi w:val="0"/>
              <w:spacing w:before="0" w:after="283"/>
              <w:jc w:val="center"/>
              <w:rPr/>
            </w:pPr>
            <w:r>
              <w:rPr/>
              <w:t> </w:t>
            </w:r>
          </w:p>
        </w:tc>
        <w:tc>
          <w:tcPr>
            <w:tcW w:w="67" w:type="dxa"/>
            <w:tcBorders>
              <w:bottom w:val="single" w:sz="8" w:space="0" w:color="000000"/>
            </w:tcBorders>
            <w:vAlign w:val="center"/>
          </w:tcPr>
          <w:p>
            <w:pPr>
              <w:pStyle w:val="TableContents"/>
              <w:bidi w:val="0"/>
              <w:spacing w:before="0" w:after="283"/>
              <w:jc w:val="center"/>
              <w:rPr/>
            </w:pPr>
            <w:r>
              <w:rPr/>
              <w:t> </w:t>
            </w:r>
          </w:p>
        </w:tc>
        <w:tc>
          <w:tcPr>
            <w:tcW w:w="1238" w:type="dxa"/>
            <w:tcBorders>
              <w:bottom w:val="single" w:sz="8" w:space="0" w:color="000000"/>
            </w:tcBorders>
            <w:vAlign w:val="center"/>
          </w:tcPr>
          <w:p>
            <w:pPr>
              <w:pStyle w:val="TableContents"/>
              <w:bidi w:val="0"/>
              <w:spacing w:before="0" w:after="283"/>
              <w:jc w:val="center"/>
              <w:rPr/>
            </w:pPr>
            <w:r>
              <w:rPr/>
              <w:t> </w:t>
            </w:r>
          </w:p>
        </w:tc>
        <w:tc>
          <w:tcPr>
            <w:tcW w:w="75" w:type="dxa"/>
            <w:tcBorders/>
            <w:tcMar>
              <w:bottom w:w="0" w:type="dxa"/>
            </w:tcMar>
            <w:vAlign w:val="center"/>
          </w:tcPr>
          <w:p>
            <w:pPr>
              <w:pStyle w:val="TableContents"/>
              <w:bidi w:val="0"/>
              <w:spacing w:before="0" w:after="283"/>
              <w:jc w:val="center"/>
              <w:rPr/>
            </w:pPr>
            <w:r>
              <w:rPr/>
              <w:t> </w:t>
            </w:r>
          </w:p>
        </w:tc>
      </w:tr>
      <w:tr>
        <w:trPr/>
        <w:tc>
          <w:tcPr>
            <w:tcW w:w="155" w:type="dxa"/>
            <w:tcBorders>
              <w:bottom w:val="single" w:sz="8" w:space="0" w:color="000000"/>
            </w:tcBorders>
            <w:vAlign w:val="center"/>
          </w:tcPr>
          <w:p>
            <w:pPr>
              <w:pStyle w:val="TableContents"/>
              <w:bidi w:val="0"/>
              <w:spacing w:before="0" w:after="283"/>
              <w:jc w:val="center"/>
              <w:rPr/>
            </w:pPr>
            <w:r>
              <w:rPr/>
              <w:t> </w:t>
            </w:r>
          </w:p>
        </w:tc>
        <w:tc>
          <w:tcPr>
            <w:tcW w:w="2335" w:type="dxa"/>
            <w:gridSpan w:val="5"/>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Revenue in Fiscal Year</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40" w:type="dxa"/>
            <w:tcBorders>
              <w:bottom w:val="single" w:sz="8" w:space="0" w:color="000000"/>
            </w:tcBorders>
            <w:vAlign w:val="center"/>
          </w:tcPr>
          <w:p>
            <w:pPr>
              <w:pStyle w:val="TableContents"/>
              <w:bidi w:val="0"/>
              <w:spacing w:before="0" w:after="283"/>
              <w:jc w:val="center"/>
              <w:rPr/>
            </w:pPr>
            <w:r>
              <w:rPr/>
              <w:t> </w:t>
            </w:r>
          </w:p>
        </w:tc>
        <w:tc>
          <w:tcPr>
            <w:tcW w:w="2627" w:type="dxa"/>
            <w:gridSpan w:val="5"/>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Operating Income in Fiscal Year</w:t>
            </w:r>
          </w:p>
        </w:tc>
        <w:tc>
          <w:tcPr>
            <w:tcW w:w="75" w:type="dxa"/>
            <w:tcBorders/>
            <w:tcMar>
              <w:bottom w:w="0" w:type="dxa"/>
            </w:tcMar>
            <w:vAlign w:val="center"/>
          </w:tcPr>
          <w:p>
            <w:pPr>
              <w:pStyle w:val="TableContents"/>
              <w:bidi w:val="0"/>
              <w:spacing w:before="0" w:after="283"/>
              <w:jc w:val="center"/>
              <w:rPr/>
            </w:pPr>
            <w:r>
              <w:rPr/>
              <w:t> </w:t>
            </w:r>
          </w:p>
        </w:tc>
      </w:tr>
      <w:tr>
        <w:trPr/>
        <w:tc>
          <w:tcPr>
            <w:tcW w:w="155" w:type="dxa"/>
            <w:tcBorders>
              <w:bottom w:val="single" w:sz="8" w:space="0" w:color="000000"/>
            </w:tcBorders>
            <w:vAlign w:val="center"/>
          </w:tcPr>
          <w:p>
            <w:pPr>
              <w:pStyle w:val="TableContents"/>
              <w:bidi w:val="0"/>
              <w:spacing w:before="0" w:after="283"/>
              <w:jc w:val="center"/>
              <w:rPr/>
            </w:pPr>
            <w:r>
              <w:rPr/>
              <w:t> </w:t>
            </w:r>
          </w:p>
        </w:tc>
        <w:tc>
          <w:tcPr>
            <w:tcW w:w="1055" w:type="dxa"/>
            <w:tcBorders>
              <w:bottom w:val="single" w:sz="8" w:space="0" w:color="000000"/>
            </w:tcBorders>
            <w:vAlign w:val="center"/>
          </w:tcPr>
          <w:p>
            <w:pPr>
              <w:pStyle w:val="TableContents"/>
              <w:bidi w:val="0"/>
              <w:jc w:val="center"/>
              <w:rPr>
                <w:rFonts w:ascii="Times New Roman;Times;Serif" w:hAnsi="Times New Roman;Times;Serif"/>
                <w:sz w:val="20"/>
              </w:rPr>
            </w:pPr>
            <w:r>
              <w:rPr>
                <w:rFonts w:ascii="Times New Roman;Times;Serif" w:hAnsi="Times New Roman;Times;Serif"/>
                <w:sz w:val="20"/>
              </w:rPr>
              <w:t>Milestone</w:t>
            </w:r>
          </w:p>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 Millions)</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60" w:type="dxa"/>
            <w:tcBorders>
              <w:bottom w:val="single" w:sz="8" w:space="0" w:color="000000"/>
            </w:tcBorders>
            <w:vAlign w:val="center"/>
          </w:tcPr>
          <w:p>
            <w:pPr>
              <w:pStyle w:val="TableContents"/>
              <w:bidi w:val="0"/>
              <w:spacing w:before="0" w:after="283"/>
              <w:jc w:val="center"/>
              <w:rPr/>
            </w:pPr>
            <w:r>
              <w:rPr/>
              <w:t> </w:t>
            </w:r>
          </w:p>
        </w:tc>
        <w:tc>
          <w:tcPr>
            <w:tcW w:w="1100" w:type="dxa"/>
            <w:tcBorders>
              <w:bottom w:val="single" w:sz="8" w:space="0" w:color="000000"/>
            </w:tcBorders>
            <w:vAlign w:val="center"/>
          </w:tcPr>
          <w:p>
            <w:pPr>
              <w:pStyle w:val="TableContents"/>
              <w:bidi w:val="0"/>
              <w:jc w:val="center"/>
              <w:rPr>
                <w:rFonts w:ascii="Times New Roman;Times;Serif" w:hAnsi="Times New Roman;Times;Serif"/>
                <w:sz w:val="20"/>
              </w:rPr>
            </w:pPr>
            <w:r>
              <w:rPr>
                <w:rFonts w:ascii="Times New Roman;Times;Serif" w:hAnsi="Times New Roman;Times;Serif"/>
                <w:sz w:val="20"/>
              </w:rPr>
              <w:t>Achievement</w:t>
            </w:r>
          </w:p>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Status</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40" w:type="dxa"/>
            <w:tcBorders>
              <w:bottom w:val="single" w:sz="8" w:space="0" w:color="000000"/>
            </w:tcBorders>
            <w:vAlign w:val="center"/>
          </w:tcPr>
          <w:p>
            <w:pPr>
              <w:pStyle w:val="TableContents"/>
              <w:bidi w:val="0"/>
              <w:spacing w:before="0" w:after="283"/>
              <w:jc w:val="center"/>
              <w:rPr/>
            </w:pPr>
            <w:r>
              <w:rPr/>
              <w:t> </w:t>
            </w:r>
          </w:p>
        </w:tc>
        <w:tc>
          <w:tcPr>
            <w:tcW w:w="1188" w:type="dxa"/>
            <w:tcBorders>
              <w:bottom w:val="single" w:sz="8" w:space="0" w:color="000000"/>
            </w:tcBorders>
            <w:vAlign w:val="center"/>
          </w:tcPr>
          <w:p>
            <w:pPr>
              <w:pStyle w:val="TableContents"/>
              <w:bidi w:val="0"/>
              <w:jc w:val="center"/>
              <w:rPr>
                <w:rFonts w:ascii="Times New Roman;Times;Serif" w:hAnsi="Times New Roman;Times;Serif"/>
                <w:sz w:val="20"/>
              </w:rPr>
            </w:pPr>
            <w:r>
              <w:rPr>
                <w:rFonts w:ascii="Times New Roman;Times;Serif" w:hAnsi="Times New Roman;Times;Serif"/>
                <w:sz w:val="20"/>
              </w:rPr>
              <w:t>Milestone</w:t>
            </w:r>
          </w:p>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 Millions)</w:t>
            </w:r>
          </w:p>
        </w:tc>
        <w:tc>
          <w:tcPr>
            <w:tcW w:w="67" w:type="dxa"/>
            <w:tcBorders/>
            <w:tcMar>
              <w:bottom w:w="0" w:type="dxa"/>
            </w:tcMar>
            <w:vAlign w:val="center"/>
          </w:tcPr>
          <w:p>
            <w:pPr>
              <w:pStyle w:val="TableContents"/>
              <w:bidi w:val="0"/>
              <w:spacing w:before="0" w:after="283"/>
              <w:jc w:val="center"/>
              <w:rPr/>
            </w:pPr>
            <w:r>
              <w:rPr/>
              <w:t> </w:t>
            </w:r>
          </w:p>
        </w:tc>
        <w:tc>
          <w:tcPr>
            <w:tcW w:w="67" w:type="dxa"/>
            <w:tcBorders/>
            <w:tcMar>
              <w:bottom w:w="0" w:type="dxa"/>
            </w:tcMar>
            <w:vAlign w:val="center"/>
          </w:tcPr>
          <w:p>
            <w:pPr>
              <w:pStyle w:val="TableContents"/>
              <w:bidi w:val="0"/>
              <w:spacing w:before="0" w:after="283"/>
              <w:jc w:val="center"/>
              <w:rPr/>
            </w:pPr>
            <w:r>
              <w:rPr/>
              <w:t> </w:t>
            </w:r>
          </w:p>
        </w:tc>
        <w:tc>
          <w:tcPr>
            <w:tcW w:w="67" w:type="dxa"/>
            <w:tcBorders>
              <w:bottom w:val="single" w:sz="8" w:space="0" w:color="000000"/>
            </w:tcBorders>
            <w:vAlign w:val="center"/>
          </w:tcPr>
          <w:p>
            <w:pPr>
              <w:pStyle w:val="TableContents"/>
              <w:bidi w:val="0"/>
              <w:spacing w:before="0" w:after="283"/>
              <w:jc w:val="center"/>
              <w:rPr/>
            </w:pPr>
            <w:r>
              <w:rPr/>
              <w:t> </w:t>
            </w:r>
          </w:p>
        </w:tc>
        <w:tc>
          <w:tcPr>
            <w:tcW w:w="1238" w:type="dxa"/>
            <w:tcBorders>
              <w:bottom w:val="single" w:sz="8" w:space="0" w:color="000000"/>
            </w:tcBorders>
            <w:vAlign w:val="center"/>
          </w:tcPr>
          <w:p>
            <w:pPr>
              <w:pStyle w:val="TableContents"/>
              <w:bidi w:val="0"/>
              <w:jc w:val="center"/>
              <w:rPr>
                <w:rFonts w:ascii="Times New Roman;Times;Serif" w:hAnsi="Times New Roman;Times;Serif"/>
                <w:sz w:val="20"/>
              </w:rPr>
            </w:pPr>
            <w:r>
              <w:rPr>
                <w:rFonts w:ascii="Times New Roman;Times;Serif" w:hAnsi="Times New Roman;Times;Serif"/>
                <w:sz w:val="20"/>
              </w:rPr>
              <w:t>Achievement</w:t>
            </w:r>
          </w:p>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Status</w:t>
            </w:r>
          </w:p>
        </w:tc>
        <w:tc>
          <w:tcPr>
            <w:tcW w:w="75" w:type="dxa"/>
            <w:tcBorders/>
            <w:tcMar>
              <w:bottom w:w="0" w:type="dxa"/>
            </w:tcMar>
            <w:vAlign w:val="center"/>
          </w:tcPr>
          <w:p>
            <w:pPr>
              <w:pStyle w:val="TableContents"/>
              <w:bidi w:val="0"/>
              <w:spacing w:before="0" w:after="283"/>
              <w:jc w:val="center"/>
              <w:rPr/>
            </w:pPr>
            <w:r>
              <w:rPr/>
              <w:t> </w:t>
            </w:r>
          </w:p>
        </w:tc>
      </w:tr>
      <w:tr>
        <w:trPr/>
        <w:tc>
          <w:tcPr>
            <w:tcW w:w="155" w:type="dxa"/>
            <w:tcBorders/>
            <w:tcMar>
              <w:bottom w:w="0" w:type="dxa"/>
            </w:tcMar>
            <w:vAlign w:val="center"/>
          </w:tcPr>
          <w:p>
            <w:pPr>
              <w:pStyle w:val="TableContents"/>
              <w:bidi w:val="0"/>
              <w:spacing w:before="0" w:after="283"/>
              <w:jc w:val="left"/>
              <w:rPr/>
            </w:pPr>
            <w:r>
              <w:rPr/>
              <w:t> </w:t>
            </w:r>
          </w:p>
        </w:tc>
        <w:tc>
          <w:tcPr>
            <w:tcW w:w="1055"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1188" w:type="dxa"/>
            <w:tcBorders/>
            <w:tcMar>
              <w:bottom w:w="0" w:type="dxa"/>
            </w:tcMar>
            <w:vAlign w:val="center"/>
          </w:tcPr>
          <w:p>
            <w:pPr>
              <w:pStyle w:val="TableContents"/>
              <w:bidi w:val="0"/>
              <w:spacing w:before="0" w:after="283"/>
              <w:jc w:val="right"/>
              <w:rPr/>
            </w:pPr>
            <w:r>
              <w:rPr/>
              <w:t> </w:t>
            </w:r>
          </w:p>
        </w:tc>
        <w:tc>
          <w:tcPr>
            <w:tcW w:w="67" w:type="dxa"/>
            <w:tcBorders/>
            <w:tcMar>
              <w:bottom w:w="0" w:type="dxa"/>
            </w:tcMar>
            <w:vAlign w:val="center"/>
          </w:tcPr>
          <w:p>
            <w:pPr>
              <w:pStyle w:val="TableContents"/>
              <w:bidi w:val="0"/>
              <w:spacing w:before="0" w:after="283"/>
              <w:jc w:val="left"/>
              <w:rPr/>
            </w:pPr>
            <w:r>
              <w:rPr/>
              <w:t> </w:t>
            </w:r>
          </w:p>
        </w:tc>
        <w:tc>
          <w:tcPr>
            <w:tcW w:w="67" w:type="dxa"/>
            <w:tcBorders/>
            <w:tcMar>
              <w:bottom w:w="0" w:type="dxa"/>
            </w:tcMar>
            <w:vAlign w:val="center"/>
          </w:tcPr>
          <w:p>
            <w:pPr>
              <w:pStyle w:val="TableContents"/>
              <w:bidi w:val="0"/>
              <w:spacing w:before="0" w:after="283"/>
              <w:jc w:val="left"/>
              <w:rPr/>
            </w:pPr>
            <w:r>
              <w:rPr/>
              <w:t> </w:t>
            </w:r>
          </w:p>
        </w:tc>
        <w:tc>
          <w:tcPr>
            <w:tcW w:w="67" w:type="dxa"/>
            <w:tcBorders/>
            <w:tcMar>
              <w:bottom w:w="0" w:type="dxa"/>
            </w:tcMar>
            <w:vAlign w:val="center"/>
          </w:tcPr>
          <w:p>
            <w:pPr>
              <w:pStyle w:val="TableContents"/>
              <w:bidi w:val="0"/>
              <w:spacing w:before="0" w:after="283"/>
              <w:jc w:val="left"/>
              <w:rPr/>
            </w:pPr>
            <w:r>
              <w:rPr/>
              <w:t> </w:t>
            </w:r>
          </w:p>
        </w:tc>
        <w:tc>
          <w:tcPr>
            <w:tcW w:w="1238" w:type="dxa"/>
            <w:tcBorders/>
            <w:tcMar>
              <w:bottom w:w="0" w:type="dxa"/>
            </w:tcMar>
            <w:vAlign w:val="center"/>
          </w:tcPr>
          <w:p>
            <w:pPr>
              <w:pStyle w:val="TableContents"/>
              <w:bidi w:val="0"/>
              <w:spacing w:before="0" w:after="283"/>
              <w:jc w:val="center"/>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155" w:type="dxa"/>
            <w:tcBorders/>
            <w:shd w:fill="EEEEEE" w:val="clear"/>
            <w:tcMar>
              <w:bottom w:w="0" w:type="dxa"/>
            </w:tcMar>
            <w:vAlign w:val="center"/>
          </w:tcPr>
          <w:p>
            <w:pPr>
              <w:pStyle w:val="TableContents"/>
              <w:bidi w:val="0"/>
              <w:spacing w:before="0" w:after="283"/>
              <w:jc w:val="left"/>
              <w:rPr/>
            </w:pPr>
            <w:r>
              <w:rPr/>
              <w:t>$</w:t>
            </w:r>
          </w:p>
        </w:tc>
        <w:tc>
          <w:tcPr>
            <w:tcW w:w="1055" w:type="dxa"/>
            <w:tcBorders/>
            <w:shd w:fill="EEEEEE" w:val="clear"/>
            <w:tcMar>
              <w:bottom w:w="0" w:type="dxa"/>
            </w:tcMar>
            <w:vAlign w:val="center"/>
          </w:tcPr>
          <w:p>
            <w:pPr>
              <w:pStyle w:val="TableContents"/>
              <w:bidi w:val="0"/>
              <w:spacing w:before="0" w:after="283"/>
              <w:jc w:val="right"/>
              <w:rPr/>
            </w:pPr>
            <w:r>
              <w:rPr/>
              <w:t>90</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100" w:type="dxa"/>
            <w:tcBorders/>
            <w:shd w:fill="EEEEEE"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Probable</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40" w:type="dxa"/>
            <w:tcBorders/>
            <w:shd w:fill="EEEEEE" w:val="clear"/>
            <w:tcMar>
              <w:bottom w:w="0" w:type="dxa"/>
            </w:tcMar>
            <w:vAlign w:val="center"/>
          </w:tcPr>
          <w:p>
            <w:pPr>
              <w:pStyle w:val="TableContents"/>
              <w:bidi w:val="0"/>
              <w:spacing w:before="0" w:after="283"/>
              <w:jc w:val="left"/>
              <w:rPr/>
            </w:pPr>
            <w:r>
              <w:rPr/>
              <w:t>$</w:t>
            </w:r>
          </w:p>
        </w:tc>
        <w:tc>
          <w:tcPr>
            <w:tcW w:w="1188" w:type="dxa"/>
            <w:tcBorders/>
            <w:shd w:fill="EEEEEE" w:val="clear"/>
            <w:tcMar>
              <w:bottom w:w="0" w:type="dxa"/>
            </w:tcMar>
            <w:vAlign w:val="center"/>
          </w:tcPr>
          <w:p>
            <w:pPr>
              <w:pStyle w:val="TableContents"/>
              <w:bidi w:val="0"/>
              <w:spacing w:before="0" w:after="283"/>
              <w:jc w:val="right"/>
              <w:rPr/>
            </w:pPr>
            <w:r>
              <w:rPr/>
              <w:t>6</w:t>
            </w:r>
          </w:p>
        </w:tc>
        <w:tc>
          <w:tcPr>
            <w:tcW w:w="67" w:type="dxa"/>
            <w:tcBorders/>
            <w:shd w:fill="EEEEEE" w:val="clear"/>
            <w:tcMar>
              <w:bottom w:w="0" w:type="dxa"/>
            </w:tcMar>
            <w:vAlign w:val="center"/>
          </w:tcPr>
          <w:p>
            <w:pPr>
              <w:pStyle w:val="TableContents"/>
              <w:bidi w:val="0"/>
              <w:spacing w:before="0" w:after="283"/>
              <w:jc w:val="left"/>
              <w:rPr/>
            </w:pPr>
            <w:r>
              <w:rPr/>
              <w:t> </w:t>
            </w:r>
          </w:p>
        </w:tc>
        <w:tc>
          <w:tcPr>
            <w:tcW w:w="67" w:type="dxa"/>
            <w:tcBorders/>
            <w:shd w:fill="EEEEEE" w:val="clear"/>
            <w:tcMar>
              <w:bottom w:w="0" w:type="dxa"/>
            </w:tcMar>
            <w:vAlign w:val="center"/>
          </w:tcPr>
          <w:p>
            <w:pPr>
              <w:pStyle w:val="TableContents"/>
              <w:bidi w:val="0"/>
              <w:spacing w:before="0" w:after="283"/>
              <w:jc w:val="left"/>
              <w:rPr/>
            </w:pPr>
            <w:r>
              <w:rPr/>
              <w:t> </w:t>
            </w:r>
          </w:p>
        </w:tc>
        <w:tc>
          <w:tcPr>
            <w:tcW w:w="67" w:type="dxa"/>
            <w:tcBorders/>
            <w:shd w:fill="EEEEEE" w:val="clear"/>
            <w:tcMar>
              <w:bottom w:w="0" w:type="dxa"/>
            </w:tcMar>
            <w:vAlign w:val="center"/>
          </w:tcPr>
          <w:p>
            <w:pPr>
              <w:pStyle w:val="TableContents"/>
              <w:bidi w:val="0"/>
              <w:spacing w:before="0" w:after="283"/>
              <w:jc w:val="left"/>
              <w:rPr/>
            </w:pPr>
            <w:r>
              <w:rPr/>
              <w:t> </w:t>
            </w:r>
          </w:p>
        </w:tc>
        <w:tc>
          <w:tcPr>
            <w:tcW w:w="1238" w:type="dxa"/>
            <w:tcBorders/>
            <w:shd w:fill="EEEEEE"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Probable</w:t>
            </w:r>
          </w:p>
        </w:tc>
        <w:tc>
          <w:tcPr>
            <w:tcW w:w="75" w:type="dxa"/>
            <w:tcBorders/>
            <w:shd w:fill="EEEEEE" w:val="clear"/>
            <w:tcMar>
              <w:bottom w:w="0" w:type="dxa"/>
            </w:tcMar>
            <w:vAlign w:val="center"/>
          </w:tcPr>
          <w:p>
            <w:pPr>
              <w:pStyle w:val="TableContents"/>
              <w:bidi w:val="0"/>
              <w:spacing w:before="0" w:after="283"/>
              <w:jc w:val="left"/>
              <w:rPr/>
            </w:pPr>
            <w:r>
              <w:rPr/>
              <w:t> </w:t>
            </w:r>
          </w:p>
        </w:tc>
      </w:tr>
      <w:tr>
        <w:trPr/>
        <w:tc>
          <w:tcPr>
            <w:tcW w:w="155" w:type="dxa"/>
            <w:tcBorders/>
            <w:shd w:fill="FFFFFF" w:val="clear"/>
            <w:tcMar>
              <w:bottom w:w="0" w:type="dxa"/>
            </w:tcMar>
            <w:vAlign w:val="center"/>
          </w:tcPr>
          <w:p>
            <w:pPr>
              <w:pStyle w:val="TableContents"/>
              <w:bidi w:val="0"/>
              <w:spacing w:before="0" w:after="283"/>
              <w:jc w:val="left"/>
              <w:rPr/>
            </w:pPr>
            <w:r>
              <w:rPr/>
              <w:t>$</w:t>
            </w:r>
          </w:p>
        </w:tc>
        <w:tc>
          <w:tcPr>
            <w:tcW w:w="1055" w:type="dxa"/>
            <w:tcBorders/>
            <w:shd w:fill="FFFFFF" w:val="clear"/>
            <w:tcMar>
              <w:bottom w:w="0" w:type="dxa"/>
            </w:tcMar>
            <w:vAlign w:val="center"/>
          </w:tcPr>
          <w:p>
            <w:pPr>
              <w:pStyle w:val="TableContents"/>
              <w:bidi w:val="0"/>
              <w:spacing w:before="0" w:after="283"/>
              <w:jc w:val="right"/>
              <w:rPr/>
            </w:pPr>
            <w:r>
              <w:rPr/>
              <w:t>100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Probable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88" w:type="dxa"/>
            <w:tcBorders/>
            <w:shd w:fill="FFFFFF" w:val="clear"/>
            <w:tcMar>
              <w:bottom w:w="0" w:type="dxa"/>
            </w:tcMar>
            <w:vAlign w:val="center"/>
          </w:tcPr>
          <w:p>
            <w:pPr>
              <w:pStyle w:val="TableContents"/>
              <w:bidi w:val="0"/>
              <w:spacing w:before="0" w:after="283"/>
              <w:jc w:val="right"/>
              <w:rPr/>
            </w:pPr>
            <w:r>
              <w:rPr/>
              <w:t>8</w:t>
            </w:r>
          </w:p>
        </w:tc>
        <w:tc>
          <w:tcPr>
            <w:tcW w:w="67"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1238"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Probable</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55" w:type="dxa"/>
            <w:tcBorders/>
            <w:shd w:fill="EEEEEE" w:val="clear"/>
            <w:tcMar>
              <w:bottom w:w="0" w:type="dxa"/>
            </w:tcMar>
            <w:vAlign w:val="center"/>
          </w:tcPr>
          <w:p>
            <w:pPr>
              <w:pStyle w:val="TableContents"/>
              <w:bidi w:val="0"/>
              <w:spacing w:before="0" w:after="283"/>
              <w:jc w:val="left"/>
              <w:rPr/>
            </w:pPr>
            <w:r>
              <w:rPr/>
              <w:t>$</w:t>
            </w:r>
          </w:p>
        </w:tc>
        <w:tc>
          <w:tcPr>
            <w:tcW w:w="1055" w:type="dxa"/>
            <w:tcBorders/>
            <w:shd w:fill="EEEEEE" w:val="clear"/>
            <w:tcMar>
              <w:bottom w:w="0" w:type="dxa"/>
            </w:tcMar>
            <w:vAlign w:val="center"/>
          </w:tcPr>
          <w:p>
            <w:pPr>
              <w:pStyle w:val="TableContents"/>
              <w:bidi w:val="0"/>
              <w:spacing w:before="0" w:after="283"/>
              <w:jc w:val="right"/>
              <w:rPr/>
            </w:pPr>
            <w:r>
              <w:rPr/>
              <w:t>125</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100" w:type="dxa"/>
            <w:tcBorders/>
            <w:shd w:fill="EEEEEE"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Probable</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40" w:type="dxa"/>
            <w:tcBorders/>
            <w:shd w:fill="EEEEEE" w:val="clear"/>
            <w:tcMar>
              <w:bottom w:w="0" w:type="dxa"/>
            </w:tcMar>
            <w:vAlign w:val="center"/>
          </w:tcPr>
          <w:p>
            <w:pPr>
              <w:pStyle w:val="TableContents"/>
              <w:bidi w:val="0"/>
              <w:spacing w:before="0" w:after="283"/>
              <w:jc w:val="left"/>
              <w:rPr/>
            </w:pPr>
            <w:r>
              <w:rPr/>
              <w:t>$</w:t>
            </w:r>
          </w:p>
        </w:tc>
        <w:tc>
          <w:tcPr>
            <w:tcW w:w="1188" w:type="dxa"/>
            <w:tcBorders/>
            <w:shd w:fill="EEEEEE" w:val="clear"/>
            <w:tcMar>
              <w:bottom w:w="0" w:type="dxa"/>
            </w:tcMar>
            <w:vAlign w:val="center"/>
          </w:tcPr>
          <w:p>
            <w:pPr>
              <w:pStyle w:val="TableContents"/>
              <w:bidi w:val="0"/>
              <w:spacing w:before="0" w:after="283"/>
              <w:jc w:val="right"/>
              <w:rPr/>
            </w:pPr>
            <w:r>
              <w:rPr/>
              <w:t>10</w:t>
            </w:r>
          </w:p>
        </w:tc>
        <w:tc>
          <w:tcPr>
            <w:tcW w:w="67" w:type="dxa"/>
            <w:tcBorders/>
            <w:shd w:fill="EEEEEE" w:val="clear"/>
            <w:tcMar>
              <w:bottom w:w="0" w:type="dxa"/>
            </w:tcMar>
            <w:vAlign w:val="center"/>
          </w:tcPr>
          <w:p>
            <w:pPr>
              <w:pStyle w:val="TableContents"/>
              <w:bidi w:val="0"/>
              <w:spacing w:before="0" w:after="283"/>
              <w:jc w:val="left"/>
              <w:rPr/>
            </w:pPr>
            <w:r>
              <w:rPr/>
              <w:t> </w:t>
            </w:r>
          </w:p>
        </w:tc>
        <w:tc>
          <w:tcPr>
            <w:tcW w:w="67" w:type="dxa"/>
            <w:tcBorders/>
            <w:shd w:fill="EEEEEE" w:val="clear"/>
            <w:tcMar>
              <w:bottom w:w="0" w:type="dxa"/>
            </w:tcMar>
            <w:vAlign w:val="center"/>
          </w:tcPr>
          <w:p>
            <w:pPr>
              <w:pStyle w:val="TableContents"/>
              <w:bidi w:val="0"/>
              <w:spacing w:before="0" w:after="283"/>
              <w:jc w:val="left"/>
              <w:rPr/>
            </w:pPr>
            <w:r>
              <w:rPr/>
              <w:t> </w:t>
            </w:r>
          </w:p>
        </w:tc>
        <w:tc>
          <w:tcPr>
            <w:tcW w:w="67" w:type="dxa"/>
            <w:tcBorders/>
            <w:shd w:fill="EEEEEE" w:val="clear"/>
            <w:tcMar>
              <w:bottom w:w="0" w:type="dxa"/>
            </w:tcMar>
            <w:vAlign w:val="center"/>
          </w:tcPr>
          <w:p>
            <w:pPr>
              <w:pStyle w:val="TableContents"/>
              <w:bidi w:val="0"/>
              <w:spacing w:before="0" w:after="283"/>
              <w:jc w:val="left"/>
              <w:rPr/>
            </w:pPr>
            <w:r>
              <w:rPr/>
              <w:t> </w:t>
            </w:r>
          </w:p>
        </w:tc>
        <w:tc>
          <w:tcPr>
            <w:tcW w:w="1238" w:type="dxa"/>
            <w:tcBorders/>
            <w:shd w:fill="EEEEEE"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Probable</w:t>
            </w:r>
          </w:p>
        </w:tc>
        <w:tc>
          <w:tcPr>
            <w:tcW w:w="75" w:type="dxa"/>
            <w:tcBorders/>
            <w:shd w:fill="EEEEEE" w:val="clear"/>
            <w:tcMar>
              <w:bottom w:w="0" w:type="dxa"/>
            </w:tcMar>
            <w:vAlign w:val="center"/>
          </w:tcPr>
          <w:p>
            <w:pPr>
              <w:pStyle w:val="TableContents"/>
              <w:bidi w:val="0"/>
              <w:spacing w:before="0" w:after="283"/>
              <w:jc w:val="left"/>
              <w:rPr/>
            </w:pPr>
            <w:r>
              <w:rPr/>
              <w:t> </w:t>
            </w:r>
          </w:p>
        </w:tc>
      </w:tr>
      <w:tr>
        <w:trPr/>
        <w:tc>
          <w:tcPr>
            <w:tcW w:w="155" w:type="dxa"/>
            <w:tcBorders/>
            <w:shd w:fill="FFFFFF" w:val="clear"/>
            <w:tcMar>
              <w:bottom w:w="0" w:type="dxa"/>
            </w:tcMar>
            <w:vAlign w:val="center"/>
          </w:tcPr>
          <w:p>
            <w:pPr>
              <w:pStyle w:val="TableContents"/>
              <w:bidi w:val="0"/>
              <w:spacing w:before="0" w:after="283"/>
              <w:jc w:val="left"/>
              <w:rPr/>
            </w:pPr>
            <w:r>
              <w:rPr/>
              <w:t>$</w:t>
            </w:r>
          </w:p>
        </w:tc>
        <w:tc>
          <w:tcPr>
            <w:tcW w:w="1055" w:type="dxa"/>
            <w:tcBorders/>
            <w:shd w:fill="FFFFFF" w:val="clear"/>
            <w:tcMar>
              <w:bottom w:w="0" w:type="dxa"/>
            </w:tcMar>
            <w:vAlign w:val="center"/>
          </w:tcPr>
          <w:p>
            <w:pPr>
              <w:pStyle w:val="TableContents"/>
              <w:bidi w:val="0"/>
              <w:spacing w:before="0" w:after="283"/>
              <w:jc w:val="right"/>
              <w:rPr/>
            </w:pPr>
            <w:r>
              <w:rPr/>
              <w:t>150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Probable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88" w:type="dxa"/>
            <w:tcBorders/>
            <w:shd w:fill="FFFFFF" w:val="clear"/>
            <w:tcMar>
              <w:bottom w:w="0" w:type="dxa"/>
            </w:tcMar>
            <w:vAlign w:val="center"/>
          </w:tcPr>
          <w:p>
            <w:pPr>
              <w:pStyle w:val="TableContents"/>
              <w:bidi w:val="0"/>
              <w:spacing w:before="0" w:after="283"/>
              <w:jc w:val="right"/>
              <w:rPr/>
            </w:pPr>
            <w:r>
              <w:rPr/>
              <w:t>12</w:t>
            </w:r>
          </w:p>
        </w:tc>
        <w:tc>
          <w:tcPr>
            <w:tcW w:w="67"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1238"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Probable</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55" w:type="dxa"/>
            <w:tcBorders/>
            <w:shd w:fill="EEEEEE" w:val="clear"/>
            <w:tcMar>
              <w:bottom w:w="0" w:type="dxa"/>
            </w:tcMar>
            <w:vAlign w:val="center"/>
          </w:tcPr>
          <w:p>
            <w:pPr>
              <w:pStyle w:val="TableContents"/>
              <w:bidi w:val="0"/>
              <w:spacing w:before="0" w:after="283"/>
              <w:jc w:val="left"/>
              <w:rPr/>
            </w:pPr>
            <w:r>
              <w:rPr/>
              <w:t>$</w:t>
            </w:r>
          </w:p>
        </w:tc>
        <w:tc>
          <w:tcPr>
            <w:tcW w:w="1055" w:type="dxa"/>
            <w:tcBorders/>
            <w:shd w:fill="EEEEEE" w:val="clear"/>
            <w:tcMar>
              <w:bottom w:w="0" w:type="dxa"/>
            </w:tcMar>
            <w:vAlign w:val="center"/>
          </w:tcPr>
          <w:p>
            <w:pPr>
              <w:pStyle w:val="TableContents"/>
              <w:bidi w:val="0"/>
              <w:spacing w:before="0" w:after="283"/>
              <w:jc w:val="right"/>
              <w:rPr/>
            </w:pPr>
            <w:r>
              <w:rPr/>
              <w:t>200</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100" w:type="dxa"/>
            <w:tcBorders/>
            <w:shd w:fill="EEEEEE"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Probable</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40" w:type="dxa"/>
            <w:tcBorders/>
            <w:shd w:fill="EEEEEE" w:val="clear"/>
            <w:tcMar>
              <w:bottom w:w="0" w:type="dxa"/>
            </w:tcMar>
            <w:vAlign w:val="center"/>
          </w:tcPr>
          <w:p>
            <w:pPr>
              <w:pStyle w:val="TableContents"/>
              <w:bidi w:val="0"/>
              <w:spacing w:before="0" w:after="283"/>
              <w:jc w:val="left"/>
              <w:rPr/>
            </w:pPr>
            <w:r>
              <w:rPr/>
              <w:t>$</w:t>
            </w:r>
          </w:p>
        </w:tc>
        <w:tc>
          <w:tcPr>
            <w:tcW w:w="1188" w:type="dxa"/>
            <w:tcBorders/>
            <w:shd w:fill="EEEEEE" w:val="clear"/>
            <w:tcMar>
              <w:bottom w:w="0" w:type="dxa"/>
            </w:tcMar>
            <w:vAlign w:val="center"/>
          </w:tcPr>
          <w:p>
            <w:pPr>
              <w:pStyle w:val="TableContents"/>
              <w:bidi w:val="0"/>
              <w:spacing w:before="0" w:after="283"/>
              <w:jc w:val="right"/>
              <w:rPr/>
            </w:pPr>
            <w:r>
              <w:rPr/>
              <w:t>16</w:t>
            </w:r>
          </w:p>
        </w:tc>
        <w:tc>
          <w:tcPr>
            <w:tcW w:w="67" w:type="dxa"/>
            <w:tcBorders/>
            <w:shd w:fill="EEEEEE" w:val="clear"/>
            <w:tcMar>
              <w:bottom w:w="0" w:type="dxa"/>
            </w:tcMar>
            <w:vAlign w:val="center"/>
          </w:tcPr>
          <w:p>
            <w:pPr>
              <w:pStyle w:val="TableContents"/>
              <w:bidi w:val="0"/>
              <w:spacing w:before="0" w:after="283"/>
              <w:jc w:val="left"/>
              <w:rPr/>
            </w:pPr>
            <w:r>
              <w:rPr/>
              <w:t> </w:t>
            </w:r>
          </w:p>
        </w:tc>
        <w:tc>
          <w:tcPr>
            <w:tcW w:w="67" w:type="dxa"/>
            <w:tcBorders/>
            <w:shd w:fill="EEEEEE" w:val="clear"/>
            <w:tcMar>
              <w:bottom w:w="0" w:type="dxa"/>
            </w:tcMar>
            <w:vAlign w:val="center"/>
          </w:tcPr>
          <w:p>
            <w:pPr>
              <w:pStyle w:val="TableContents"/>
              <w:bidi w:val="0"/>
              <w:spacing w:before="0" w:after="283"/>
              <w:jc w:val="left"/>
              <w:rPr/>
            </w:pPr>
            <w:r>
              <w:rPr/>
              <w:t> </w:t>
            </w:r>
          </w:p>
        </w:tc>
        <w:tc>
          <w:tcPr>
            <w:tcW w:w="67" w:type="dxa"/>
            <w:tcBorders/>
            <w:shd w:fill="EEEEEE" w:val="clear"/>
            <w:tcMar>
              <w:bottom w:w="0" w:type="dxa"/>
            </w:tcMar>
            <w:vAlign w:val="center"/>
          </w:tcPr>
          <w:p>
            <w:pPr>
              <w:pStyle w:val="TableContents"/>
              <w:bidi w:val="0"/>
              <w:spacing w:before="0" w:after="283"/>
              <w:jc w:val="left"/>
              <w:rPr/>
            </w:pPr>
            <w:r>
              <w:rPr/>
              <w:t> </w:t>
            </w:r>
          </w:p>
        </w:tc>
        <w:tc>
          <w:tcPr>
            <w:tcW w:w="1238" w:type="dxa"/>
            <w:tcBorders/>
            <w:shd w:fill="EEEEEE" w:val="clear"/>
            <w:tcMar>
              <w:bottom w:w="0" w:type="dxa"/>
            </w:tcMar>
            <w:vAlign w:val="center"/>
          </w:tcPr>
          <w:p>
            <w:pPr>
              <w:pStyle w:val="TableContents"/>
              <w:bidi w:val="0"/>
              <w:spacing w:before="0" w:after="283"/>
              <w:jc w:val="center"/>
              <w:rPr/>
            </w:pPr>
            <w:r>
              <w:rPr/>
              <w:t>–</w:t>
            </w:r>
          </w:p>
        </w:tc>
        <w:tc>
          <w:tcPr>
            <w:tcW w:w="75" w:type="dxa"/>
            <w:tcBorders/>
            <w:shd w:fill="EEEEEE" w:val="clear"/>
            <w:tcMar>
              <w:bottom w:w="0" w:type="dxa"/>
            </w:tcMar>
            <w:vAlign w:val="center"/>
          </w:tcPr>
          <w:p>
            <w:pPr>
              <w:pStyle w:val="TableContents"/>
              <w:bidi w:val="0"/>
              <w:spacing w:before="0" w:after="283"/>
              <w:jc w:val="left"/>
              <w:rPr/>
            </w:pPr>
            <w:r>
              <w:rPr/>
              <w:t> </w:t>
            </w:r>
          </w:p>
        </w:tc>
      </w:tr>
      <w:tr>
        <w:trPr/>
        <w:tc>
          <w:tcPr>
            <w:tcW w:w="155" w:type="dxa"/>
            <w:tcBorders/>
            <w:shd w:fill="FFFFFF" w:val="clear"/>
            <w:tcMar>
              <w:bottom w:w="0" w:type="dxa"/>
            </w:tcMar>
            <w:vAlign w:val="center"/>
          </w:tcPr>
          <w:p>
            <w:pPr>
              <w:pStyle w:val="TableContents"/>
              <w:bidi w:val="0"/>
              <w:spacing w:before="0" w:after="283"/>
              <w:jc w:val="left"/>
              <w:rPr/>
            </w:pPr>
            <w:r>
              <w:rPr/>
              <w:t>$</w:t>
            </w:r>
          </w:p>
        </w:tc>
        <w:tc>
          <w:tcPr>
            <w:tcW w:w="1055" w:type="dxa"/>
            <w:tcBorders/>
            <w:shd w:fill="FFFFFF" w:val="clear"/>
            <w:tcMar>
              <w:bottom w:w="0" w:type="dxa"/>
            </w:tcMar>
            <w:vAlign w:val="center"/>
          </w:tcPr>
          <w:p>
            <w:pPr>
              <w:pStyle w:val="TableContents"/>
              <w:bidi w:val="0"/>
              <w:spacing w:before="0" w:after="283"/>
              <w:jc w:val="right"/>
              <w:rPr/>
            </w:pPr>
            <w:r>
              <w:rPr/>
              <w:t>250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center"/>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88" w:type="dxa"/>
            <w:tcBorders/>
            <w:shd w:fill="FFFFFF" w:val="clear"/>
            <w:tcMar>
              <w:bottom w:w="0" w:type="dxa"/>
            </w:tcMar>
            <w:vAlign w:val="center"/>
          </w:tcPr>
          <w:p>
            <w:pPr>
              <w:pStyle w:val="TableContents"/>
              <w:bidi w:val="0"/>
              <w:spacing w:before="0" w:after="283"/>
              <w:jc w:val="right"/>
              <w:rPr/>
            </w:pPr>
            <w:r>
              <w:rPr/>
              <w:t>20</w:t>
            </w:r>
          </w:p>
        </w:tc>
        <w:tc>
          <w:tcPr>
            <w:tcW w:w="67"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1238" w:type="dxa"/>
            <w:tcBorders/>
            <w:shd w:fill="FFFFFF" w:val="clear"/>
            <w:tcMar>
              <w:bottom w:w="0" w:type="dxa"/>
            </w:tcMar>
            <w:vAlign w:val="center"/>
          </w:tcPr>
          <w:p>
            <w:pPr>
              <w:pStyle w:val="TableContents"/>
              <w:bidi w:val="0"/>
              <w:spacing w:before="0" w:after="283"/>
              <w:jc w:val="center"/>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773" w:name="xdx_23D_zJ7aoAut49e8"/>
      <w:bookmarkEnd w:id="773"/>
      <w:r>
        <w:rPr>
          <w:caps w:val="false"/>
          <w:smallCaps w:val="false"/>
        </w:rPr>
        <w:t> </w:t>
      </w:r>
    </w:p>
    <w:p>
      <w:pPr>
        <w:pStyle w:val="TextBody"/>
        <w:bidi w:val="0"/>
        <w:spacing w:before="0" w:after="0"/>
        <w:ind w:left="0" w:right="0" w:hanging="0"/>
        <w:jc w:val="both"/>
        <w:rPr>
          <w:caps w:val="false"/>
          <w:smallCaps w:val="false"/>
        </w:rPr>
      </w:pPr>
      <w:bookmarkStart w:id="774" w:name="xdx_23C_zjWtgTiznDT4"/>
      <w:bookmarkEnd w:id="774"/>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F-27</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bookmarkStart w:id="775" w:name="xdx_233_ztxlQRYD7Su1"/>
      <w:bookmarkEnd w:id="775"/>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776" w:name="xdx_23A_z2u0UQLCbYT6"/>
      <w:bookmarkEnd w:id="776"/>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the performance condition and market condition under ASC 718-10-20. The Option Grants are considered an award containing a performance and a market condition and both conditions (in this case at least one of the performance conditions) must be satisfied for the award to vest. The market condition is incorporated into the fair value of the award, and that fair value is recognized over the longer of the implied service period or requisite service period if it is probable that one of the performance conditions will be met. In relation to the five awards deemed probable to vest, the recognition period ranges from 2.93 years to 9.64 years. If the performance condition is ultimately not met, compensation cost related to the award should not be recognized (or should be reversed to the extent any expense has been recognized related to such tranche) because the vesting condition in the award would not have been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grant date, a Monte Carlo simulation was used to determine for each tranche (i) a fixed amount of expense for such tranche and (ii) the future time when the market capitalization milestone for such tranche was expected to be achieved. Separately, based on a subjective assessment of our future financial performance, each quarter we determine whether it is probable that we will achieve each operational milestone that has not previously been achieved or deemed probable of achievement and if so, the future time when we expect to achieve that operational milestone. The Monte Carlo simulation utilized the following inputs:</w:t>
      </w:r>
    </w:p>
    <w:p>
      <w:pPr>
        <w:pStyle w:val="TextBody"/>
        <w:bidi w:val="0"/>
        <w:spacing w:before="0" w:after="0"/>
        <w:ind w:left="0" w:right="0" w:hanging="0"/>
        <w:jc w:val="both"/>
        <w:rPr>
          <w:caps w:val="false"/>
          <w:smallCaps w:val="false"/>
        </w:rPr>
      </w:pPr>
      <w:r>
        <w:rPr>
          <w:caps w:val="false"/>
          <w:smallCaps w:val="false"/>
        </w:rPr>
        <w:t> </w:t>
      </w:r>
    </w:p>
    <w:tbl>
      <w:tblPr>
        <w:tblW w:w="2965" w:type="dxa"/>
        <w:jc w:val="left"/>
        <w:tblInd w:w="0" w:type="dxa"/>
        <w:tblLayout w:type="fixed"/>
        <w:tblCellMar>
          <w:top w:w="0" w:type="dxa"/>
          <w:left w:w="0" w:type="dxa"/>
          <w:bottom w:w="0" w:type="dxa"/>
          <w:right w:w="0" w:type="dxa"/>
        </w:tblCellMar>
      </w:tblPr>
      <w:tblGrid>
        <w:gridCol w:w="75"/>
        <w:gridCol w:w="95"/>
        <w:gridCol w:w="279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7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Stock Price - $</w:t>
            </w:r>
            <w:bookmarkStart w:id="777" w:name="xdx_90E_eus-gaap--SharePrice_c20220512_p"/>
            <w:bookmarkEnd w:id="777"/>
            <w:r>
              <w:rPr>
                <w:rFonts w:ascii="Times New Roman;Times;Serif" w:hAnsi="Times New Roman;Times;Serif"/>
                <w:sz w:val="20"/>
              </w:rPr>
              <w:t xml:space="preserve">1.12 </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7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Volatility – </w:t>
            </w:r>
            <w:bookmarkStart w:id="778" w:name="xdx_901_eus-gaap--ShareBasedCompensation"/>
            <w:bookmarkEnd w:id="778"/>
            <w:r>
              <w:rPr>
                <w:rFonts w:ascii="Times New Roman;Times;Serif" w:hAnsi="Times New Roman;Times;Serif"/>
                <w:sz w:val="20"/>
              </w:rPr>
              <w:t xml:space="preserve">95.65% </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7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Term –</w:t>
            </w:r>
            <w:bookmarkStart w:id="779" w:name="xdx_90B_eus-gaap--SharebasedCompensation"/>
            <w:bookmarkEnd w:id="779"/>
            <w:r>
              <w:rPr>
                <w:rFonts w:ascii="Times New Roman;Times;Serif" w:hAnsi="Times New Roman;Times;Serif"/>
                <w:sz w:val="20"/>
              </w:rPr>
              <w:t>10 years</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7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Risk Free Rate of Return – </w:t>
            </w:r>
            <w:bookmarkStart w:id="780" w:name="xdx_905_eus-gaap--ShareBasedCompensation"/>
            <w:bookmarkEnd w:id="780"/>
            <w:r>
              <w:rPr>
                <w:rFonts w:ascii="Times New Roman;Times;Serif" w:hAnsi="Times New Roman;Times;Serif"/>
                <w:sz w:val="20"/>
              </w:rPr>
              <w:t xml:space="preserve">2.93% </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7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Dividend Yield – </w:t>
            </w:r>
            <w:bookmarkStart w:id="781" w:name="xdx_905_eus-gaap--ShareBasedCompensation"/>
            <w:bookmarkEnd w:id="781"/>
            <w:r>
              <w:rPr>
                <w:rFonts w:ascii="Times New Roman;Times;Serif" w:hAnsi="Times New Roman;Times;Serif"/>
                <w:sz w:val="20"/>
              </w:rPr>
              <w:t>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fair value of the Option Grants was $</w:t>
      </w:r>
      <w:bookmarkStart w:id="782" w:name="xdx_90B_ecustom--FairValueOfOptionsGrant"/>
      <w:bookmarkStart w:id="783" w:name="xdx_902_ecustom--FairValueOfOptionsGrant"/>
      <w:bookmarkEnd w:id="782"/>
      <w:bookmarkEnd w:id="783"/>
      <w:r>
        <w:rPr>
          <w:rFonts w:ascii="Times New Roman;Times;Serif" w:hAnsi="Times New Roman;Times;Serif"/>
          <w:b w:val="false"/>
          <w:i w:val="false"/>
          <w:caps w:val="false"/>
          <w:smallCaps w:val="false"/>
          <w:sz w:val="20"/>
        </w:rPr>
        <w:t xml:space="preserve">3.2 million of which, at June 30, 2023 and 2022, $2.3 million is deemed probable of vesting. As of June 30, 2023 and 2022, </w:t>
      </w:r>
      <w:bookmarkStart w:id="784" w:name="xdx_90F_eus-gaap--ShareBasedCompensation"/>
      <w:bookmarkStart w:id="785" w:name="xdx_909_eus-gaap--ShareBasedCompensation"/>
      <w:bookmarkEnd w:id="784"/>
      <w:bookmarkEnd w:id="785"/>
      <w:r>
        <w:rPr>
          <w:rFonts w:ascii="Times New Roman;Times;Serif" w:hAnsi="Times New Roman;Times;Serif"/>
          <w:b w:val="false"/>
          <w:i w:val="false"/>
          <w:caps w:val="false"/>
          <w:smallCaps w:val="false"/>
          <w:sz w:val="20"/>
        </w:rPr>
        <w:t>none of the options had vested. For the year ended June 30, 2023 and 2022, the Company recorded $</w:t>
      </w:r>
      <w:bookmarkStart w:id="786" w:name="xdx_902_eus-gaap--ShareBasedCompensation"/>
      <w:bookmarkEnd w:id="786"/>
      <w:r>
        <w:rPr>
          <w:rFonts w:ascii="Times New Roman;Times;Serif" w:hAnsi="Times New Roman;Times;Serif"/>
          <w:b w:val="false"/>
          <w:i w:val="false"/>
          <w:caps w:val="false"/>
          <w:smallCaps w:val="false"/>
          <w:sz w:val="20"/>
        </w:rPr>
        <w:t>441,528 and $</w:t>
      </w:r>
      <w:bookmarkStart w:id="787" w:name="xdx_907_eus-gaap--ShareBasedCompensation"/>
      <w:bookmarkEnd w:id="787"/>
      <w:r>
        <w:rPr>
          <w:rFonts w:ascii="Times New Roman;Times;Serif" w:hAnsi="Times New Roman;Times;Serif"/>
          <w:b w:val="false"/>
          <w:i w:val="false"/>
          <w:caps w:val="false"/>
          <w:smallCaps w:val="false"/>
          <w:sz w:val="20"/>
        </w:rPr>
        <w:t>58,064 of stock-based compensation expense related to the Option Grants. Unrecognized compensation cost related to tranches probable of vesting is approximately $</w:t>
      </w:r>
      <w:bookmarkStart w:id="788" w:name="xdx_909_eus-gaap--EmployeeServiceShareBa"/>
      <w:bookmarkEnd w:id="788"/>
      <w:r>
        <w:rPr>
          <w:rFonts w:ascii="Times New Roman;Times;Serif" w:hAnsi="Times New Roman;Times;Serif"/>
          <w:b w:val="false"/>
          <w:i w:val="false"/>
          <w:caps w:val="false"/>
          <w:smallCaps w:val="false"/>
          <w:sz w:val="20"/>
        </w:rPr>
        <w:t xml:space="preserve">1.8 million and will be recognized over </w:t>
      </w:r>
      <w:bookmarkStart w:id="789" w:name="xdx_904_ecustom--EmployeeServiceShareBas"/>
      <w:bookmarkEnd w:id="789"/>
      <w:r>
        <w:rPr>
          <w:rFonts w:ascii="Times New Roman;Times;Serif" w:hAnsi="Times New Roman;Times;Serif"/>
          <w:b w:val="false"/>
          <w:i w:val="false"/>
          <w:caps w:val="false"/>
          <w:smallCaps w:val="false"/>
          <w:sz w:val="20"/>
        </w:rPr>
        <w:t>2 years to 9 years, depending on the tranche.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90" w:name="xdx_804_ecustom--WarrantLiabilitiesTextB"/>
      <w:bookmarkEnd w:id="790"/>
      <w:r>
        <w:rPr>
          <w:rFonts w:ascii="Times New Roman;Times;Serif" w:hAnsi="Times New Roman;Times;Serif"/>
          <w:b/>
          <w:i w:val="false"/>
          <w:caps w:val="false"/>
          <w:smallCaps w:val="false"/>
          <w:sz w:val="20"/>
        </w:rPr>
        <w:t xml:space="preserve">Note 17 – </w:t>
      </w:r>
      <w:bookmarkStart w:id="791" w:name="xdx_82F_zYnIKMWzwNjd"/>
      <w:bookmarkEnd w:id="791"/>
      <w:r>
        <w:rPr>
          <w:rFonts w:ascii="Times New Roman;Times;Serif" w:hAnsi="Times New Roman;Times;Serif"/>
          <w:b/>
          <w:i w:val="false"/>
          <w:caps w:val="false"/>
          <w:smallCaps w:val="false"/>
          <w:sz w:val="20"/>
        </w:rPr>
        <w:t>Warrant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27, 2021, the Company completed a private placement offering pursuant to which the Company sold to two accredited investors an aggregate of $</w:t>
      </w:r>
      <w:bookmarkStart w:id="792" w:name="xdx_90B_eus-gaap--ProceedsFromConvertibl"/>
      <w:bookmarkEnd w:id="792"/>
      <w:r>
        <w:rPr>
          <w:rFonts w:ascii="Times New Roman;Times;Serif" w:hAnsi="Times New Roman;Times;Serif"/>
          <w:b w:val="false"/>
          <w:i w:val="false"/>
          <w:caps w:val="false"/>
          <w:smallCaps w:val="false"/>
          <w:sz w:val="20"/>
        </w:rPr>
        <w:t>3,000,000 in Convertible Notes and warrants to purchase shares of Class A Common Stock equaling 80% of the number of shares of Class A Common Stock issuable upon conversion of the Convertible Notes. The convertible note warrants shall be exercisable for a period of three years from the IPO completion date at a per share exercise price equal to the IPO. In accordance with the terms of the warrants, in the event the Convertible Notes are repaid in cash by the Company, the warrants issued in conjunction with the Convertible Notes will expire and have no further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outstanding warrants held by the Convertible Note investors were reclassified to additional paid in capital as the terms became fixed upon closing of the IPO. Through June 30, 2023, none of the private placement investors exercised any of their warrants. As such, as of June 30, 2023 and 2022, the number of shares issuable under the outstanding warrants was </w:t>
      </w:r>
      <w:bookmarkStart w:id="793" w:name="xdx_90C_eus-gaap--ClassOfWarrantOrRightN"/>
      <w:bookmarkStart w:id="794" w:name="xdx_905_eus-gaap--ClassOfWarrantOrRightN"/>
      <w:bookmarkEnd w:id="793"/>
      <w:bookmarkEnd w:id="794"/>
      <w:r>
        <w:rPr>
          <w:rFonts w:ascii="Times New Roman;Times;Serif" w:hAnsi="Times New Roman;Times;Serif"/>
          <w:b w:val="false"/>
          <w:i w:val="false"/>
          <w:caps w:val="false"/>
          <w:smallCaps w:val="false"/>
          <w:sz w:val="20"/>
        </w:rPr>
        <w:t>685,715, with an average exercise price of $</w:t>
      </w:r>
      <w:bookmarkStart w:id="795" w:name="xdx_90E_eus-gaap--ClassOfWarrantOrRightE"/>
      <w:bookmarkStart w:id="796" w:name="xdx_902_eus-gaap--ClassOfWarrantOrRightE"/>
      <w:bookmarkEnd w:id="795"/>
      <w:bookmarkEnd w:id="796"/>
      <w:r>
        <w:rPr>
          <w:rFonts w:ascii="Times New Roman;Times;Serif" w:hAnsi="Times New Roman;Times;Serif"/>
          <w:b w:val="false"/>
          <w:i w:val="false"/>
          <w:caps w:val="false"/>
          <w:smallCaps w:val="false"/>
          <w:sz w:val="20"/>
        </w:rPr>
        <w:t>5.00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797" w:name="xdx_231_zANyZYTfJLX4"/>
      <w:bookmarkEnd w:id="797"/>
      <w:r>
        <w:rPr>
          <w:caps w:val="false"/>
          <w:smallCaps w:val="false"/>
        </w:rPr>
        <w:t> </w:t>
      </w:r>
    </w:p>
    <w:p>
      <w:pPr>
        <w:pStyle w:val="TextBody"/>
        <w:bidi w:val="0"/>
        <w:spacing w:before="0" w:after="0"/>
        <w:ind w:left="0" w:right="0" w:hanging="0"/>
        <w:jc w:val="left"/>
        <w:rPr>
          <w:caps w:val="false"/>
          <w:smallCaps w:val="false"/>
        </w:rPr>
      </w:pPr>
      <w:bookmarkStart w:id="798" w:name="xdx_23C_z6W4ExHkp39h"/>
      <w:bookmarkEnd w:id="798"/>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F-28</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bookmarkStart w:id="799" w:name="xdx_236_zq4ZTmoEwULl"/>
      <w:bookmarkEnd w:id="799"/>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caps w:val="false"/>
          <w:smallCaps w:val="false"/>
        </w:rPr>
      </w:pPr>
      <w:bookmarkStart w:id="800" w:name="xdx_23E_zmjJWOaKv609"/>
      <w:bookmarkEnd w:id="800"/>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801" w:name="xdx_804_eus-gaap--ConcentrationRiskDiscl"/>
      <w:bookmarkEnd w:id="801"/>
      <w:r>
        <w:rPr>
          <w:rFonts w:ascii="Times New Roman;Times;Serif" w:hAnsi="Times New Roman;Times;Serif"/>
          <w:b/>
          <w:i w:val="false"/>
          <w:caps w:val="false"/>
          <w:smallCaps w:val="false"/>
          <w:sz w:val="20"/>
        </w:rPr>
        <w:t xml:space="preserve">Note 18 - </w:t>
      </w:r>
      <w:bookmarkStart w:id="802" w:name="xdx_821_zRTDkEtxryll"/>
      <w:bookmarkEnd w:id="802"/>
      <w:r>
        <w:rPr>
          <w:rFonts w:ascii="Times New Roman;Times;Serif" w:hAnsi="Times New Roman;Times;Serif"/>
          <w:b/>
          <w:i w:val="false"/>
          <w:caps w:val="false"/>
          <w:smallCaps w:val="false"/>
          <w:sz w:val="20"/>
        </w:rPr>
        <w:t>Concentration of risk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Credit risk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subject the Company to significant concentrations of credit risk consist primarily of cash and cash equivalents and accounts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2023 and 2022, $</w:t>
      </w:r>
      <w:bookmarkStart w:id="803" w:name="xdx_90F_eus-gaap--CashAndCashEquivalents"/>
      <w:bookmarkEnd w:id="803"/>
      <w:r>
        <w:rPr>
          <w:rFonts w:ascii="Times New Roman;Times;Serif" w:hAnsi="Times New Roman;Times;Serif"/>
          <w:b w:val="false"/>
          <w:i w:val="false"/>
          <w:caps w:val="false"/>
          <w:smallCaps w:val="false"/>
          <w:sz w:val="20"/>
        </w:rPr>
        <w:t>3,735,642 and $</w:t>
      </w:r>
      <w:bookmarkStart w:id="804" w:name="xdx_904_eus-gaap--CashAndCashEquivalents"/>
      <w:bookmarkEnd w:id="804"/>
      <w:r>
        <w:rPr>
          <w:rFonts w:ascii="Times New Roman;Times;Serif" w:hAnsi="Times New Roman;Times;Serif"/>
          <w:b w:val="false"/>
          <w:i w:val="false"/>
          <w:caps w:val="false"/>
          <w:smallCaps w:val="false"/>
          <w:sz w:val="20"/>
        </w:rPr>
        <w:t>1,821,947, respectively, were deposited with various major financial institutions in the United States and PRC. Accounts at each institution in the United States are insured by the Federal Deposit Insurance Corporation (FDIC) for up to $250,000. The Company had approximately $</w:t>
      </w:r>
      <w:bookmarkStart w:id="805" w:name="xdx_903_eus-gaap--CashUninsuredAmount_iI"/>
      <w:bookmarkEnd w:id="805"/>
      <w:r>
        <w:rPr>
          <w:rFonts w:ascii="Times New Roman;Times;Serif" w:hAnsi="Times New Roman;Times;Serif"/>
          <w:b w:val="false"/>
          <w:i w:val="false"/>
          <w:caps w:val="false"/>
          <w:smallCaps w:val="false"/>
          <w:sz w:val="20"/>
        </w:rPr>
        <w:t>2.7 million and $</w:t>
      </w:r>
      <w:bookmarkStart w:id="806" w:name="xdx_902_eus-gaap--CashUninsuredAmount_iI"/>
      <w:bookmarkEnd w:id="806"/>
      <w:r>
        <w:rPr>
          <w:rFonts w:ascii="Times New Roman;Times;Serif" w:hAnsi="Times New Roman;Times;Serif"/>
          <w:b w:val="false"/>
          <w:i w:val="false"/>
          <w:caps w:val="false"/>
          <w:smallCaps w:val="false"/>
          <w:sz w:val="20"/>
        </w:rPr>
        <w:t>0.5 million, respectively, in excess of the FDIC insurance limit, as of June 30, 2023 and 2022.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are typically unsecured and derived from revenue earned from customers, thereby exposing the Company to credit risk. The risk is mitigated by the Company’s assessment of its customers’ creditworthiness and its ongoing monitoring of outstanding balances. The Company maintains reserves for estimated credit losses, and such losses have generally been within expectations.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of DHS, the Company’s VIE, may be impacted by Chinese economic conditions, changes in regulations and laws, and other uncertainties.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Customer and vendor concentration risk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years ended June 30, 2023 and 2022, Amazon Vendor and Amazon Seller customers accounted for </w:t>
      </w:r>
      <w:bookmarkStart w:id="807" w:name="xdx_906_eus-gaap--ConcentrationRiskPerce"/>
      <w:bookmarkEnd w:id="807"/>
      <w:r>
        <w:rPr>
          <w:rFonts w:ascii="Times New Roman;Times;Serif" w:hAnsi="Times New Roman;Times;Serif"/>
          <w:b w:val="false"/>
          <w:i w:val="false"/>
          <w:caps w:val="false"/>
          <w:smallCaps w:val="false"/>
          <w:sz w:val="20"/>
        </w:rPr>
        <w:t xml:space="preserve">91% and </w:t>
      </w:r>
      <w:bookmarkStart w:id="808" w:name="xdx_90C_eus-gaap--ConcentrationRiskPerce"/>
      <w:bookmarkEnd w:id="808"/>
      <w:r>
        <w:rPr>
          <w:rFonts w:ascii="Times New Roman;Times;Serif" w:hAnsi="Times New Roman;Times;Serif"/>
          <w:b w:val="false"/>
          <w:i w:val="false"/>
          <w:caps w:val="false"/>
          <w:smallCaps w:val="false"/>
          <w:sz w:val="20"/>
        </w:rPr>
        <w:t xml:space="preserve">88% of the Company's total revenues, respectively. As of June 30, 2023 and 2022, accounts receivable from Amazon Vendor and Amazon Seller accounted for </w:t>
      </w:r>
      <w:bookmarkStart w:id="809" w:name="xdx_907_eus-gaap--ConcentrationRiskPerce"/>
      <w:bookmarkEnd w:id="809"/>
      <w:r>
        <w:rPr>
          <w:rFonts w:ascii="Times New Roman;Times;Serif" w:hAnsi="Times New Roman;Times;Serif"/>
          <w:b w:val="false"/>
          <w:i w:val="false"/>
          <w:caps w:val="false"/>
          <w:smallCaps w:val="false"/>
          <w:sz w:val="20"/>
        </w:rPr>
        <w:t xml:space="preserve">95% and </w:t>
      </w:r>
      <w:bookmarkStart w:id="810" w:name="xdx_904_eus-gaap--ConcentrationRiskPerce"/>
      <w:bookmarkEnd w:id="810"/>
      <w:r>
        <w:rPr>
          <w:rFonts w:ascii="Times New Roman;Times;Serif" w:hAnsi="Times New Roman;Times;Serif"/>
          <w:b w:val="false"/>
          <w:i w:val="false"/>
          <w:caps w:val="false"/>
          <w:smallCaps w:val="false"/>
          <w:sz w:val="20"/>
        </w:rPr>
        <w:t>94% of the Company’s total accounts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years ended June 30, 2023 and 2022, one supplier accounted for </w:t>
      </w:r>
      <w:bookmarkStart w:id="811" w:name="xdx_90E_eus-gaap--ConcentrationRiskPerce"/>
      <w:bookmarkEnd w:id="811"/>
      <w:r>
        <w:rPr>
          <w:rFonts w:ascii="Times New Roman;Times;Serif" w:hAnsi="Times New Roman;Times;Serif"/>
          <w:b w:val="false"/>
          <w:i w:val="false"/>
          <w:caps w:val="false"/>
          <w:smallCaps w:val="false"/>
          <w:sz w:val="20"/>
        </w:rPr>
        <w:t xml:space="preserve">27% and </w:t>
      </w:r>
      <w:bookmarkStart w:id="812" w:name="xdx_900_eus-gaap--ConcentrationRiskPerce"/>
      <w:bookmarkEnd w:id="812"/>
      <w:r>
        <w:rPr>
          <w:rFonts w:ascii="Times New Roman;Times;Serif" w:hAnsi="Times New Roman;Times;Serif"/>
          <w:b w:val="false"/>
          <w:i w:val="false"/>
          <w:caps w:val="false"/>
          <w:smallCaps w:val="false"/>
          <w:sz w:val="20"/>
        </w:rPr>
        <w:t xml:space="preserve">18% of the Company's total purchases, respectively. As of June 30, 2023, accounts payable to one supplier accounted for </w:t>
      </w:r>
      <w:bookmarkStart w:id="813" w:name="xdx_90E_eus-gaap--ConcentrationRiskPerce"/>
      <w:bookmarkEnd w:id="813"/>
      <w:r>
        <w:rPr>
          <w:rFonts w:ascii="Times New Roman;Times;Serif" w:hAnsi="Times New Roman;Times;Serif"/>
          <w:b w:val="false"/>
          <w:i w:val="false"/>
          <w:caps w:val="false"/>
          <w:smallCaps w:val="false"/>
          <w:sz w:val="20"/>
        </w:rPr>
        <w:t xml:space="preserve">49% of the Company’s total accounts payable. As of June 30, 2022, accounts payable to two suppliers accounted for </w:t>
      </w:r>
      <w:bookmarkStart w:id="814" w:name="xdx_904_eus-gaap--ConcentrationRiskPerce"/>
      <w:bookmarkEnd w:id="814"/>
      <w:r>
        <w:rPr>
          <w:rFonts w:ascii="Times New Roman;Times;Serif" w:hAnsi="Times New Roman;Times;Serif"/>
          <w:b w:val="false"/>
          <w:i w:val="false"/>
          <w:caps w:val="false"/>
          <w:smallCaps w:val="false"/>
          <w:sz w:val="20"/>
        </w:rPr>
        <w:t xml:space="preserve">34% and </w:t>
      </w:r>
      <w:bookmarkStart w:id="815" w:name="xdx_908_eus-gaap--ConcentrationRiskPerce"/>
      <w:bookmarkEnd w:id="815"/>
      <w:r>
        <w:rPr>
          <w:rFonts w:ascii="Times New Roman;Times;Serif" w:hAnsi="Times New Roman;Times;Serif"/>
          <w:b w:val="false"/>
          <w:i w:val="false"/>
          <w:caps w:val="false"/>
          <w:smallCaps w:val="false"/>
          <w:sz w:val="20"/>
        </w:rPr>
        <w:t>10% of the Company’s total accounts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16" w:name="xdx_802_eus-gaap--CommitmentsAndContinge"/>
      <w:bookmarkEnd w:id="816"/>
      <w:r>
        <w:rPr>
          <w:rFonts w:ascii="Times New Roman;Times;Serif" w:hAnsi="Times New Roman;Times;Serif"/>
          <w:b/>
          <w:i w:val="false"/>
          <w:caps w:val="false"/>
          <w:smallCaps w:val="false"/>
          <w:sz w:val="20"/>
        </w:rPr>
        <w:t xml:space="preserve">Note 19 - </w:t>
      </w:r>
      <w:bookmarkStart w:id="817" w:name="xdx_82D_zbDAFsCq1ohi"/>
      <w:bookmarkEnd w:id="817"/>
      <w:r>
        <w:rPr>
          <w:rFonts w:ascii="Times New Roman;Times;Serif" w:hAnsi="Times New Roman;Times;Serif"/>
          <w:b/>
          <w:i w:val="false"/>
          <w:caps w:val="false"/>
          <w:smallCaps w:val="false"/>
          <w:sz w:val="20"/>
        </w:rPr>
        <w:t>Commitments and contingencies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Lease commitments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into a lease agreement for office and warehouse space with a lease period from December 1, 2018 until December 31, 2020. On August 24, 2020, the Company negotiated for new terms to extend the lease through December 21, 2023 at the rate of approximately $42,000 per month.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 2020, in addition to the primary fulfillment center, the Company leased a second fulfillment center in City of Industry, California. The base rental fee is $27,921 to $29,910 per month through October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15, 2022, upon completion of the acquisition of Anivia Limited, the Company assumed an operating lease for offices located in the People’s Republic of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818" w:name="xdx_238_za63yIvOOGF7"/>
      <w:bookmarkEnd w:id="818"/>
      <w:r>
        <w:rPr>
          <w:caps w:val="false"/>
          <w:smallCaps w:val="false"/>
        </w:rPr>
        <w:t> </w:t>
      </w:r>
    </w:p>
    <w:p>
      <w:pPr>
        <w:pStyle w:val="TextBody"/>
        <w:bidi w:val="0"/>
        <w:spacing w:before="0" w:after="0"/>
        <w:ind w:left="0" w:right="0" w:hanging="0"/>
        <w:jc w:val="both"/>
        <w:rPr>
          <w:caps w:val="false"/>
          <w:smallCaps w:val="false"/>
        </w:rPr>
      </w:pPr>
      <w:bookmarkStart w:id="819" w:name="xdx_238_zJUWbpKDhpk3"/>
      <w:bookmarkEnd w:id="819"/>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F-29</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bookmarkStart w:id="820" w:name="xdx_23B_z352GnYsiRJc"/>
      <w:bookmarkEnd w:id="820"/>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821" w:name="xdx_238_z2yMMFLXgDf1"/>
      <w:bookmarkEnd w:id="821"/>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28, 2021, the Company entered into a Lease agreement (the “Lease Agreement”) with 9th &amp; Vineyard, LLC, a Delaware limited liability company (the “Landlord”), to lease from the Landlord approximately 99,347 square feet of space located at 8798 9th Street, Rancho Cucamonga, California (the “Premises”). The term of the Lease Agreement is for 62 months, commencing on the date on which the Landlord completes certain prescribed improvements on the property (the “Rent Commencement Date”). The Lease Agreement does not provide for an option to renew.</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will be responsible for its pro rata share of certain costs, including utility costs, insurance and common area costs, as further detailed in the Lease Agreement. Following the Rent Commencement Date, the first two months of the Base Rent will be abated.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lease was not started under the original agreement as the construction was not completed. On February 23, 2022, the Company entered into an amended agreement to extend the lease term to 74 months. The lease commencement date is February 10, 2022, with rent payments commencing May 11, 2022 and the lease expiring on May 31, 2028. The base rental fee is $114,249 to $140,079 per month through the expiration date of May 31, 2028.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 2022, the Company leased another fulfillment center in Duarte, California. The base rental fee is $56,000 to $59,410 per month through April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commitment for the full term of these leases is $</w:t>
      </w:r>
      <w:bookmarkStart w:id="822" w:name="xdx_901_eus-gaap--ContractualObligation_"/>
      <w:bookmarkEnd w:id="822"/>
      <w:r>
        <w:rPr>
          <w:rFonts w:ascii="Times New Roman;Times;Serif" w:hAnsi="Times New Roman;Times;Serif"/>
          <w:b w:val="false"/>
          <w:i w:val="false"/>
          <w:caps w:val="false"/>
          <w:smallCaps w:val="false"/>
          <w:sz w:val="20"/>
        </w:rPr>
        <w:t>12,440,869. The financial statements reflected $</w:t>
      </w:r>
      <w:bookmarkStart w:id="823" w:name="xdx_908_eus-gaap--OperatingLeaseRightOfU"/>
      <w:bookmarkEnd w:id="823"/>
      <w:r>
        <w:rPr>
          <w:rFonts w:ascii="Times New Roman;Times;Serif" w:hAnsi="Times New Roman;Times;Serif"/>
          <w:b w:val="false"/>
          <w:i w:val="false"/>
          <w:caps w:val="false"/>
          <w:smallCaps w:val="false"/>
          <w:sz w:val="20"/>
        </w:rPr>
        <w:t>7,837,345 and $</w:t>
      </w:r>
      <w:bookmarkStart w:id="824" w:name="xdx_90D_eus-gaap--OperatingLeaseRightOfU"/>
      <w:bookmarkEnd w:id="824"/>
      <w:r>
        <w:rPr>
          <w:rFonts w:ascii="Times New Roman;Times;Serif" w:hAnsi="Times New Roman;Times;Serif"/>
          <w:b w:val="false"/>
          <w:i w:val="false"/>
          <w:caps w:val="false"/>
          <w:smallCaps w:val="false"/>
          <w:sz w:val="20"/>
        </w:rPr>
        <w:t>10,453,282, respectively, of operating lease right-of-use assets, and $</w:t>
      </w:r>
      <w:bookmarkStart w:id="825" w:name="xdx_90C_eus-gaap--OperatingLeaseLiabilit"/>
      <w:bookmarkEnd w:id="825"/>
      <w:r>
        <w:rPr>
          <w:rFonts w:ascii="Times New Roman;Times;Serif" w:hAnsi="Times New Roman;Times;Serif"/>
          <w:b w:val="false"/>
          <w:i w:val="false"/>
          <w:caps w:val="false"/>
          <w:smallCaps w:val="false"/>
          <w:sz w:val="20"/>
        </w:rPr>
        <w:t>8,265,220 and $</w:t>
      </w:r>
      <w:bookmarkStart w:id="826" w:name="xdx_901_eus-gaap--OperatingLeaseLiabilit"/>
      <w:bookmarkEnd w:id="826"/>
      <w:r>
        <w:rPr>
          <w:rFonts w:ascii="Times New Roman;Times;Serif" w:hAnsi="Times New Roman;Times;Serif"/>
          <w:b w:val="false"/>
          <w:i w:val="false"/>
          <w:caps w:val="false"/>
          <w:smallCaps w:val="false"/>
          <w:sz w:val="20"/>
        </w:rPr>
        <w:t>10,848,544, respectively, of operating lease liabilities as of June 30, 2023 and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Years Ended June 30, 2023 and 2022:</w:t>
      </w:r>
    </w:p>
    <w:p>
      <w:pPr>
        <w:pStyle w:val="Normal"/>
        <w:bidi w:val="0"/>
        <w:spacing w:before="0" w:after="0"/>
        <w:jc w:val="left"/>
        <w:rPr>
          <w:sz w:val="4"/>
          <w:szCs w:val="4"/>
        </w:rPr>
      </w:pPr>
      <w:r>
        <w:rPr>
          <w:sz w:val="4"/>
          <w:szCs w:val="4"/>
        </w:rPr>
      </w:r>
      <w:bookmarkStart w:id="827" w:name="xdx_895_eus-gaap--LeaseCostTableTextBloc"/>
      <w:bookmarkStart w:id="828" w:name="xdx_895_eus-gaap--LeaseCostTableTextBloc"/>
      <w:bookmarkEnd w:id="828"/>
    </w:p>
    <w:tbl>
      <w:tblPr>
        <w:tblW w:w="8995" w:type="dxa"/>
        <w:jc w:val="left"/>
        <w:tblInd w:w="0" w:type="dxa"/>
        <w:tblLayout w:type="fixed"/>
        <w:tblCellMar>
          <w:top w:w="0" w:type="dxa"/>
          <w:left w:w="0" w:type="dxa"/>
          <w:bottom w:w="0" w:type="dxa"/>
          <w:right w:w="0" w:type="dxa"/>
        </w:tblCellMar>
      </w:tblPr>
      <w:tblGrid>
        <w:gridCol w:w="6620"/>
        <w:gridCol w:w="60"/>
        <w:gridCol w:w="125"/>
        <w:gridCol w:w="935"/>
        <w:gridCol w:w="60"/>
        <w:gridCol w:w="60"/>
        <w:gridCol w:w="125"/>
        <w:gridCol w:w="935"/>
        <w:gridCol w:w="75"/>
      </w:tblGrid>
      <w:tr>
        <w:trPr/>
        <w:tc>
          <w:tcPr>
            <w:tcW w:w="6620" w:type="dxa"/>
            <w:tcBorders/>
            <w:vAlign w:val="center"/>
          </w:tcPr>
          <w:p>
            <w:pPr>
              <w:pStyle w:val="TableContents"/>
              <w:bidi w:val="0"/>
              <w:spacing w:before="0" w:after="283"/>
              <w:jc w:val="left"/>
              <w:rPr/>
            </w:pPr>
            <w:bookmarkStart w:id="829" w:name="xdx_8BB_zscbIkvFwnM7"/>
            <w:bookmarkEnd w:id="829"/>
            <w:r>
              <w:rPr/>
              <w:t>Schedule of lease cost and other information</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pPr>
            <w:r>
              <w:rPr/>
              <w:t> </w:t>
            </w:r>
          </w:p>
        </w:tc>
        <w:tc>
          <w:tcPr>
            <w:tcW w:w="9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pPr>
            <w:r>
              <w:rPr/>
              <w:t> </w:t>
            </w:r>
          </w:p>
        </w:tc>
        <w:tc>
          <w:tcPr>
            <w:tcW w:w="935"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6620"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Lease cost</w:t>
            </w:r>
          </w:p>
        </w:tc>
        <w:tc>
          <w:tcPr>
            <w:tcW w:w="60" w:type="dxa"/>
            <w:tcBorders/>
            <w:vAlign w:val="center"/>
          </w:tcPr>
          <w:p>
            <w:pPr>
              <w:pStyle w:val="TableContents"/>
              <w:bidi w:val="0"/>
              <w:spacing w:before="0" w:after="283"/>
              <w:jc w:val="left"/>
              <w:rPr/>
            </w:pPr>
            <w:r>
              <w:rPr/>
              <w:t> </w:t>
            </w:r>
          </w:p>
        </w:tc>
        <w:tc>
          <w:tcPr>
            <w:tcW w:w="125" w:type="dxa"/>
            <w:tcBorders>
              <w:bottom w:val="single" w:sz="8" w:space="0" w:color="000000"/>
            </w:tcBorders>
            <w:tcMar>
              <w:bottom w:w="28" w:type="dxa"/>
            </w:tcMar>
            <w:vAlign w:val="center"/>
          </w:tcPr>
          <w:p>
            <w:pPr>
              <w:pStyle w:val="TableContents"/>
              <w:bidi w:val="0"/>
              <w:spacing w:before="0" w:after="283"/>
              <w:jc w:val="center"/>
              <w:rPr/>
            </w:pPr>
            <w:r>
              <w:rPr/>
              <w:t> </w:t>
            </w:r>
          </w:p>
        </w:tc>
        <w:tc>
          <w:tcPr>
            <w:tcW w:w="93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6/30/2023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8" w:space="0" w:color="000000"/>
            </w:tcBorders>
            <w:tcMar>
              <w:bottom w:w="28" w:type="dxa"/>
            </w:tcMar>
            <w:vAlign w:val="center"/>
          </w:tcPr>
          <w:p>
            <w:pPr>
              <w:pStyle w:val="TableContents"/>
              <w:bidi w:val="0"/>
              <w:spacing w:before="0" w:after="283"/>
              <w:jc w:val="center"/>
              <w:rPr/>
            </w:pPr>
            <w:r>
              <w:rPr/>
              <w:t> </w:t>
            </w:r>
          </w:p>
        </w:tc>
        <w:tc>
          <w:tcPr>
            <w:tcW w:w="93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6/30/2022</w:t>
            </w:r>
          </w:p>
        </w:tc>
        <w:tc>
          <w:tcPr>
            <w:tcW w:w="75" w:type="dxa"/>
            <w:tcBorders/>
            <w:vAlign w:val="center"/>
          </w:tcPr>
          <w:p>
            <w:pPr>
              <w:pStyle w:val="TableContents"/>
              <w:bidi w:val="0"/>
              <w:spacing w:before="0" w:after="283"/>
              <w:jc w:val="left"/>
              <w:rPr/>
            </w:pPr>
            <w:r>
              <w:rPr/>
              <w:t> </w:t>
            </w:r>
          </w:p>
        </w:tc>
      </w:tr>
      <w:tr>
        <w:trPr/>
        <w:tc>
          <w:tcPr>
            <w:tcW w:w="6620" w:type="dxa"/>
            <w:tcBorders/>
            <w:shd w:fill="EEEEEE"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 cost (included in G&amp;A in the Company's statement of operations)</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30" w:name="xdx_984_eus-gaap--OperatingLeaseCost_pp0"/>
            <w:bookmarkEnd w:id="830"/>
          </w:p>
        </w:tc>
        <w:tc>
          <w:tcPr>
            <w:tcW w:w="935" w:type="dxa"/>
            <w:tcBorders/>
            <w:shd w:fill="EEEEEE"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3,107,513</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31" w:name="xdx_985_eus-gaap--OperatingLeaseCost_pp0"/>
            <w:bookmarkEnd w:id="831"/>
          </w:p>
        </w:tc>
        <w:tc>
          <w:tcPr>
            <w:tcW w:w="935" w:type="dxa"/>
            <w:tcBorders/>
            <w:shd w:fill="EEEEEE"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1,568,907</w:t>
            </w:r>
          </w:p>
        </w:tc>
        <w:tc>
          <w:tcPr>
            <w:tcW w:w="75" w:type="dxa"/>
            <w:tcBorders/>
            <w:shd w:fill="EEEEEE"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620" w:type="dxa"/>
            <w:tcBorders/>
            <w:shd w:fill="EEEEEE" w:val="clear"/>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Other information</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pPr>
            <w:r>
              <w:rPr/>
              <w:t> </w:t>
            </w:r>
          </w:p>
        </w:tc>
        <w:tc>
          <w:tcPr>
            <w:tcW w:w="935"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pPr>
            <w:r>
              <w:rPr/>
              <w:t> </w:t>
            </w:r>
          </w:p>
        </w:tc>
        <w:tc>
          <w:tcPr>
            <w:tcW w:w="935" w:type="dxa"/>
            <w:tcBorders/>
            <w:shd w:fill="EEEEEE" w:val="clear"/>
            <w:vAlign w:val="center"/>
          </w:tcPr>
          <w:p>
            <w:pPr>
              <w:pStyle w:val="TableContents"/>
              <w:bidi w:val="0"/>
              <w:spacing w:before="0" w:after="283"/>
              <w:jc w:val="right"/>
              <w:rPr/>
            </w:pPr>
            <w:r>
              <w:rPr/>
              <w:t> </w:t>
            </w:r>
          </w:p>
        </w:tc>
        <w:tc>
          <w:tcPr>
            <w:tcW w:w="75" w:type="dxa"/>
            <w:tcBorders/>
            <w:shd w:fill="EEEEEE"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paid for amounts included in the measurement of lease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32" w:name="xdx_981_eus-gaap--OperatingLeasePayments"/>
            <w:bookmarkEnd w:id="832"/>
          </w:p>
        </w:tc>
        <w:tc>
          <w:tcPr>
            <w:tcW w:w="9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3,074,909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33" w:name="xdx_981_eus-gaap--OperatingLeasePayments"/>
            <w:bookmarkEnd w:id="833"/>
          </w:p>
        </w:tc>
        <w:tc>
          <w:tcPr>
            <w:tcW w:w="9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1,247,305</w:t>
            </w:r>
          </w:p>
        </w:tc>
        <w:tc>
          <w:tcPr>
            <w:tcW w:w="75" w:type="dxa"/>
            <w:tcBorders/>
            <w:shd w:fill="FFFFFF" w:val="clear"/>
            <w:vAlign w:val="center"/>
          </w:tcPr>
          <w:p>
            <w:pPr>
              <w:pStyle w:val="TableContents"/>
              <w:bidi w:val="0"/>
              <w:spacing w:before="0" w:after="283"/>
              <w:jc w:val="left"/>
              <w:rPr/>
            </w:pPr>
            <w:r>
              <w:rPr/>
              <w:t> </w:t>
            </w:r>
          </w:p>
        </w:tc>
      </w:tr>
      <w:tr>
        <w:trPr/>
        <w:tc>
          <w:tcPr>
            <w:tcW w:w="6620" w:type="dxa"/>
            <w:tcBorders/>
            <w:shd w:fill="EEEEEE"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Remaining term in years</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pPr>
            <w:r>
              <w:rPr/>
              <w:t> </w:t>
            </w:r>
          </w:p>
        </w:tc>
        <w:tc>
          <w:tcPr>
            <w:tcW w:w="935" w:type="dxa"/>
            <w:tcBorders/>
            <w:shd w:fill="EEEEEE" w:val="clear"/>
            <w:vAlign w:val="center"/>
          </w:tcPr>
          <w:p>
            <w:pPr>
              <w:pStyle w:val="TableContents"/>
              <w:bidi w:val="0"/>
              <w:spacing w:before="0" w:after="283"/>
              <w:jc w:val="right"/>
              <w:rPr>
                <w:rFonts w:ascii="Times New Roman;Times;Serif" w:hAnsi="Times New Roman;Times;Serif"/>
                <w:sz w:val="20"/>
              </w:rPr>
            </w:pPr>
            <w:bookmarkStart w:id="834" w:name="xdx_90F_ecustom--OperatingLeaseWeightedA"/>
            <w:bookmarkEnd w:id="834"/>
            <w:r>
              <w:rPr>
                <w:rFonts w:ascii="Times New Roman;Times;Serif" w:hAnsi="Times New Roman;Times;Serif"/>
                <w:sz w:val="20"/>
              </w:rPr>
              <w:t>0.08 – 4.92</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pPr>
            <w:r>
              <w:rPr/>
              <w:t> </w:t>
            </w:r>
          </w:p>
        </w:tc>
        <w:tc>
          <w:tcPr>
            <w:tcW w:w="935" w:type="dxa"/>
            <w:tcBorders/>
            <w:shd w:fill="EEEEEE" w:val="clear"/>
            <w:vAlign w:val="center"/>
          </w:tcPr>
          <w:p>
            <w:pPr>
              <w:pStyle w:val="TableContents"/>
              <w:bidi w:val="0"/>
              <w:spacing w:before="0" w:after="283"/>
              <w:jc w:val="right"/>
              <w:rPr>
                <w:rFonts w:ascii="Times New Roman;Times;Serif" w:hAnsi="Times New Roman;Times;Serif"/>
                <w:sz w:val="20"/>
              </w:rPr>
            </w:pPr>
            <w:bookmarkStart w:id="835" w:name="xdx_909_ecustom--OperatingLeaseWeightedA"/>
            <w:bookmarkEnd w:id="835"/>
            <w:r>
              <w:rPr>
                <w:rFonts w:ascii="Times New Roman;Times;Serif" w:hAnsi="Times New Roman;Times;Serif"/>
                <w:sz w:val="20"/>
              </w:rPr>
              <w:t>0.08 – 5.92</w:t>
            </w:r>
          </w:p>
        </w:tc>
        <w:tc>
          <w:tcPr>
            <w:tcW w:w="75" w:type="dxa"/>
            <w:tcBorders/>
            <w:shd w:fill="EEEEEE"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Average discount rate - operating leases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rFonts w:ascii="Times New Roman;Times;Serif" w:hAnsi="Times New Roman;Times;Serif"/>
                <w:sz w:val="20"/>
              </w:rPr>
            </w:pPr>
            <w:bookmarkStart w:id="836" w:name="xdx_905_ecustom--OperatingLeaseWeightedA"/>
            <w:bookmarkEnd w:id="836"/>
            <w:r>
              <w:rPr>
                <w:rFonts w:ascii="Times New Roman;Times;Serif" w:hAnsi="Times New Roman;Times;Serif"/>
                <w:sz w:val="20"/>
              </w:rPr>
              <w:t>5 - 8%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rFonts w:ascii="Times New Roman;Times;Serif" w:hAnsi="Times New Roman;Times;Serif"/>
                <w:sz w:val="20"/>
              </w:rPr>
            </w:pPr>
            <w:bookmarkStart w:id="837" w:name="xdx_90D_ecustom--OperatingLeaseWeightedA"/>
            <w:bookmarkEnd w:id="837"/>
            <w:r>
              <w:rPr>
                <w:rFonts w:ascii="Times New Roman;Times;Serif" w:hAnsi="Times New Roman;Times;Serif"/>
                <w:sz w:val="20"/>
              </w:rPr>
              <w:t>5 - 8%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838" w:name="xdx_8A5_zcfgFtAexa74"/>
      <w:bookmarkEnd w:id="838"/>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supplemental balance sheet information related to leases for the period is as follows:</w:t>
      </w:r>
    </w:p>
    <w:p>
      <w:pPr>
        <w:pStyle w:val="Normal"/>
        <w:bidi w:val="0"/>
        <w:spacing w:before="0" w:after="0"/>
        <w:jc w:val="left"/>
        <w:rPr>
          <w:sz w:val="4"/>
          <w:szCs w:val="4"/>
        </w:rPr>
      </w:pPr>
      <w:r>
        <w:rPr>
          <w:sz w:val="4"/>
          <w:szCs w:val="4"/>
        </w:rPr>
      </w:r>
      <w:bookmarkStart w:id="839" w:name="xdx_899_eus-gaap--ScheduleOfCashFlowSupp"/>
      <w:bookmarkStart w:id="840" w:name="xdx_899_eus-gaap--ScheduleOfCashFlowSupp"/>
      <w:bookmarkEnd w:id="840"/>
    </w:p>
    <w:tbl>
      <w:tblPr>
        <w:tblW w:w="9100" w:type="dxa"/>
        <w:jc w:val="left"/>
        <w:tblInd w:w="0" w:type="dxa"/>
        <w:tblLayout w:type="fixed"/>
        <w:tblCellMar>
          <w:top w:w="0" w:type="dxa"/>
          <w:left w:w="0" w:type="dxa"/>
          <w:bottom w:w="0" w:type="dxa"/>
          <w:right w:w="0" w:type="dxa"/>
        </w:tblCellMar>
      </w:tblPr>
      <w:tblGrid>
        <w:gridCol w:w="6485"/>
        <w:gridCol w:w="60"/>
        <w:gridCol w:w="140"/>
        <w:gridCol w:w="980"/>
        <w:gridCol w:w="60"/>
        <w:gridCol w:w="60"/>
        <w:gridCol w:w="140"/>
        <w:gridCol w:w="1100"/>
        <w:gridCol w:w="75"/>
      </w:tblGrid>
      <w:tr>
        <w:trPr/>
        <w:tc>
          <w:tcPr>
            <w:tcW w:w="6485" w:type="dxa"/>
            <w:tcBorders/>
            <w:vAlign w:val="center"/>
          </w:tcPr>
          <w:p>
            <w:pPr>
              <w:pStyle w:val="TableContents"/>
              <w:bidi w:val="0"/>
              <w:spacing w:before="0" w:after="283"/>
              <w:jc w:val="left"/>
              <w:rPr/>
            </w:pPr>
            <w:bookmarkStart w:id="841" w:name="xdx_8B2_zK3ZzJn2opP8"/>
            <w:bookmarkEnd w:id="841"/>
            <w:r>
              <w:rPr/>
              <w:t>Schedule of supplemental balance sheet information related to leases</w:t>
            </w:r>
          </w:p>
        </w:tc>
        <w:tc>
          <w:tcPr>
            <w:tcW w:w="60" w:type="dxa"/>
            <w:tcBorders/>
            <w:vAlign w:val="center"/>
          </w:tcPr>
          <w:p>
            <w:pPr>
              <w:pStyle w:val="TableContents"/>
              <w:bidi w:val="0"/>
              <w:spacing w:before="0" w:after="283"/>
              <w:jc w:val="left"/>
              <w:rPr/>
            </w:pPr>
            <w:r>
              <w:rPr/>
              <w:t> </w:t>
            </w:r>
            <w:bookmarkStart w:id="842" w:name="xdx_49C_20230630_zz42lwdIGMec"/>
            <w:bookmarkEnd w:id="842"/>
          </w:p>
        </w:tc>
        <w:tc>
          <w:tcPr>
            <w:tcW w:w="11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43" w:name="xdx_497_20220630_zOlyrP3elmwg"/>
            <w:bookmarkEnd w:id="843"/>
          </w:p>
        </w:tc>
        <w:tc>
          <w:tcPr>
            <w:tcW w:w="124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6485" w:type="dxa"/>
            <w:tcBorders/>
            <w:vAlign w:val="center"/>
          </w:tcPr>
          <w:p>
            <w:pPr>
              <w:pStyle w:val="TableContents"/>
              <w:bidi w:val="0"/>
              <w:spacing w:before="0" w:after="283"/>
              <w:jc w:val="left"/>
              <w:rPr>
                <w:u w:val="single"/>
              </w:rPr>
            </w:pPr>
            <w:r>
              <w:rPr>
                <w:u w:val="single"/>
              </w:rPr>
              <w:t>Operating leases</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pPr>
            <w:r>
              <w:rPr/>
              <w:t>6/30/2023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pPr>
            <w:r>
              <w:rPr/>
              <w:t>6/30/2022</w:t>
            </w:r>
          </w:p>
        </w:tc>
        <w:tc>
          <w:tcPr>
            <w:tcW w:w="75" w:type="dxa"/>
            <w:tcBorders/>
            <w:vAlign w:val="center"/>
          </w:tcPr>
          <w:p>
            <w:pPr>
              <w:pStyle w:val="TableContents"/>
              <w:bidi w:val="0"/>
              <w:spacing w:before="0" w:after="283"/>
              <w:jc w:val="left"/>
              <w:rPr/>
            </w:pPr>
            <w:r>
              <w:rPr/>
              <w:t> </w:t>
            </w:r>
            <w:bookmarkStart w:id="844" w:name="xdx_406_eus-gaap--OperatingLeaseRightOfU"/>
            <w:bookmarkEnd w:id="844"/>
          </w:p>
        </w:tc>
      </w:tr>
      <w:tr>
        <w:trPr/>
        <w:tc>
          <w:tcPr>
            <w:tcW w:w="6485" w:type="dxa"/>
            <w:tcBorders/>
            <w:shd w:fill="EEEEEE" w:val="clear"/>
            <w:vAlign w:val="center"/>
          </w:tcPr>
          <w:p>
            <w:pPr>
              <w:pStyle w:val="TableContents"/>
              <w:bidi w:val="0"/>
              <w:spacing w:before="0" w:after="283"/>
              <w:jc w:val="left"/>
              <w:rPr/>
            </w:pPr>
            <w:r>
              <w:rPr/>
              <w:t>Right of use asset - non-current</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w:t>
            </w:r>
          </w:p>
        </w:tc>
        <w:tc>
          <w:tcPr>
            <w:tcW w:w="980" w:type="dxa"/>
            <w:tcBorders>
              <w:bottom w:val="single" w:sz="8" w:space="0" w:color="000000"/>
            </w:tcBorders>
            <w:shd w:fill="EEEEEE" w:val="clear"/>
            <w:tcMar>
              <w:bottom w:w="28" w:type="dxa"/>
            </w:tcMar>
            <w:vAlign w:val="center"/>
          </w:tcPr>
          <w:p>
            <w:pPr>
              <w:pStyle w:val="TableContents"/>
              <w:bidi w:val="0"/>
              <w:spacing w:before="0" w:after="283"/>
              <w:jc w:val="right"/>
              <w:rPr/>
            </w:pPr>
            <w:r>
              <w:rPr/>
              <w:t>7,837,345</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w:t>
            </w:r>
          </w:p>
        </w:tc>
        <w:tc>
          <w:tcPr>
            <w:tcW w:w="1100" w:type="dxa"/>
            <w:tcBorders>
              <w:bottom w:val="single" w:sz="8" w:space="0" w:color="000000"/>
            </w:tcBorders>
            <w:shd w:fill="EEEEEE" w:val="clear"/>
            <w:tcMar>
              <w:bottom w:w="28" w:type="dxa"/>
            </w:tcMar>
            <w:vAlign w:val="center"/>
          </w:tcPr>
          <w:p>
            <w:pPr>
              <w:pStyle w:val="TableContents"/>
              <w:bidi w:val="0"/>
              <w:spacing w:before="0" w:after="283"/>
              <w:jc w:val="right"/>
              <w:rPr/>
            </w:pPr>
            <w:r>
              <w:rPr/>
              <w:t>10,453,282</w:t>
            </w:r>
          </w:p>
        </w:tc>
        <w:tc>
          <w:tcPr>
            <w:tcW w:w="75" w:type="dxa"/>
            <w:tcBorders/>
            <w:shd w:fill="EEEEEE"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845" w:name="xdx_40D_ecustom--OperatingLeaseLiability"/>
            <w:bookmarkEnd w:id="845"/>
          </w:p>
        </w:tc>
      </w:tr>
      <w:tr>
        <w:trPr/>
        <w:tc>
          <w:tcPr>
            <w:tcW w:w="6485" w:type="dxa"/>
            <w:tcBorders/>
            <w:shd w:fill="EEEEEE" w:val="clear"/>
            <w:vAlign w:val="center"/>
          </w:tcPr>
          <w:p>
            <w:pPr>
              <w:pStyle w:val="TableContents"/>
              <w:bidi w:val="0"/>
              <w:spacing w:before="0" w:after="283"/>
              <w:jc w:val="left"/>
              <w:rPr/>
            </w:pPr>
            <w:r>
              <w:rPr/>
              <w:t>Lease Liability – current</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2,159,173</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2,582,933</w:t>
            </w:r>
          </w:p>
        </w:tc>
        <w:tc>
          <w:tcPr>
            <w:tcW w:w="75" w:type="dxa"/>
            <w:tcBorders/>
            <w:shd w:fill="EEEEEE" w:val="clear"/>
            <w:vAlign w:val="center"/>
          </w:tcPr>
          <w:p>
            <w:pPr>
              <w:pStyle w:val="TableContents"/>
              <w:bidi w:val="0"/>
              <w:spacing w:before="0" w:after="283"/>
              <w:jc w:val="left"/>
              <w:rPr/>
            </w:pPr>
            <w:r>
              <w:rPr/>
              <w:t> </w:t>
            </w:r>
            <w:bookmarkStart w:id="846" w:name="xdx_404_ecustom--OperatingLeaseLiability"/>
            <w:bookmarkEnd w:id="846"/>
          </w:p>
        </w:tc>
      </w:tr>
      <w:tr>
        <w:trPr/>
        <w:tc>
          <w:tcPr>
            <w:tcW w:w="6485" w:type="dxa"/>
            <w:tcBorders/>
            <w:shd w:fill="FFFFFF" w:val="clear"/>
            <w:vAlign w:val="center"/>
          </w:tcPr>
          <w:p>
            <w:pPr>
              <w:pStyle w:val="TableContents"/>
              <w:bidi w:val="0"/>
              <w:spacing w:before="0" w:after="283"/>
              <w:jc w:val="left"/>
              <w:rPr/>
            </w:pPr>
            <w:r>
              <w:rPr/>
              <w:t>Lease Liability - non-current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6,106,047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8,265,611</w:t>
            </w:r>
          </w:p>
        </w:tc>
        <w:tc>
          <w:tcPr>
            <w:tcW w:w="75" w:type="dxa"/>
            <w:tcBorders/>
            <w:shd w:fill="FFFFFF" w:val="clear"/>
            <w:vAlign w:val="center"/>
          </w:tcPr>
          <w:p>
            <w:pPr>
              <w:pStyle w:val="TableContents"/>
              <w:bidi w:val="0"/>
              <w:spacing w:before="0" w:after="283"/>
              <w:jc w:val="left"/>
              <w:rPr/>
            </w:pPr>
            <w:r>
              <w:rPr/>
              <w:t> </w:t>
            </w:r>
            <w:bookmarkStart w:id="847" w:name="xdx_402_eus-gaap--OperatingLeaseLiabilit"/>
            <w:bookmarkEnd w:id="847"/>
          </w:p>
        </w:tc>
      </w:tr>
      <w:tr>
        <w:trPr/>
        <w:tc>
          <w:tcPr>
            <w:tcW w:w="6485" w:type="dxa"/>
            <w:tcBorders/>
            <w:shd w:fill="EEEEEE" w:val="clear"/>
            <w:vAlign w:val="center"/>
          </w:tcPr>
          <w:p>
            <w:pPr>
              <w:pStyle w:val="TableContents"/>
              <w:bidi w:val="0"/>
              <w:spacing w:before="0" w:after="283"/>
              <w:jc w:val="left"/>
              <w:rPr/>
            </w:pPr>
            <w:r>
              <w:rPr/>
              <w:t>Total operating lease liabilities</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EEEEEE" w:val="clear"/>
            <w:tcMar>
              <w:bottom w:w="28" w:type="dxa"/>
            </w:tcMar>
            <w:vAlign w:val="center"/>
          </w:tcPr>
          <w:p>
            <w:pPr>
              <w:pStyle w:val="TableContents"/>
              <w:bidi w:val="0"/>
              <w:spacing w:before="0" w:after="283"/>
              <w:jc w:val="right"/>
              <w:rPr/>
            </w:pPr>
            <w:r>
              <w:rPr/>
              <w:t>8,265,220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EEEEEE" w:val="clear"/>
            <w:tcMar>
              <w:bottom w:w="28" w:type="dxa"/>
            </w:tcMar>
            <w:vAlign w:val="center"/>
          </w:tcPr>
          <w:p>
            <w:pPr>
              <w:pStyle w:val="TableContents"/>
              <w:bidi w:val="0"/>
              <w:spacing w:before="0" w:after="283"/>
              <w:jc w:val="right"/>
              <w:rPr/>
            </w:pPr>
            <w:r>
              <w:rPr/>
              <w:t>10,848,544</w:t>
            </w:r>
          </w:p>
        </w:tc>
        <w:tc>
          <w:tcPr>
            <w:tcW w:w="75" w:type="dxa"/>
            <w:tcBorders/>
            <w:shd w:fill="EEEEEE"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848" w:name="xdx_8A3_zjlpSa2ydNXk"/>
      <w:bookmarkEnd w:id="848"/>
      <w:r>
        <w:rPr>
          <w:caps w:val="false"/>
          <w:smallCaps w:val="false"/>
        </w:rPr>
        <w:t> </w:t>
      </w:r>
    </w:p>
    <w:p>
      <w:pPr>
        <w:pStyle w:val="TextBody"/>
        <w:bidi w:val="0"/>
        <w:spacing w:before="0" w:after="0"/>
        <w:ind w:left="0" w:right="0" w:hanging="0"/>
        <w:jc w:val="both"/>
        <w:rPr>
          <w:caps w:val="false"/>
          <w:smallCaps w:val="false"/>
        </w:rPr>
      </w:pPr>
      <w:bookmarkStart w:id="849" w:name="xdx_23F_zceJFqcQruQ9"/>
      <w:bookmarkEnd w:id="849"/>
      <w:r>
        <w:rPr>
          <w:caps w:val="false"/>
          <w:smallCaps w:val="false"/>
        </w:rPr>
        <w:t> </w:t>
      </w:r>
    </w:p>
    <w:p>
      <w:pPr>
        <w:pStyle w:val="TextBody"/>
        <w:bidi w:val="0"/>
        <w:spacing w:before="0" w:after="0"/>
        <w:ind w:left="0" w:right="0" w:hanging="0"/>
        <w:jc w:val="both"/>
        <w:rPr>
          <w:caps w:val="false"/>
          <w:smallCaps w:val="false"/>
        </w:rPr>
      </w:pPr>
      <w:bookmarkStart w:id="850" w:name="xdx_232_zKEK1PGxpet2"/>
      <w:bookmarkEnd w:id="850"/>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bookmarkStart w:id="851" w:name="xdx_23C_zqaI1iqVxUq5"/>
      <w:bookmarkStart w:id="852" w:name="xdx_23C_zqaI1iqVxUq5"/>
      <w:bookmarkEnd w:id="852"/>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F-30</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bookmarkStart w:id="853" w:name="xdx_234_zOtqOxKImd9l"/>
      <w:bookmarkEnd w:id="853"/>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854" w:name="xdx_23E_zoC0cmLzy45b"/>
      <w:bookmarkEnd w:id="854"/>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Maturities of the Company’s lease liabilities are as follows:</w:t>
      </w:r>
    </w:p>
    <w:p>
      <w:pPr>
        <w:pStyle w:val="Normal"/>
        <w:bidi w:val="0"/>
        <w:spacing w:before="0" w:after="0"/>
        <w:jc w:val="left"/>
        <w:rPr>
          <w:sz w:val="4"/>
          <w:szCs w:val="4"/>
        </w:rPr>
      </w:pPr>
      <w:r>
        <w:rPr>
          <w:sz w:val="4"/>
          <w:szCs w:val="4"/>
        </w:rPr>
      </w:r>
      <w:bookmarkStart w:id="855" w:name="xdx_899_eus-gaap--LesseeOperatingLeaseLi"/>
      <w:bookmarkStart w:id="856" w:name="xdx_899_eus-gaap--LesseeOperatingLeaseLi"/>
      <w:bookmarkEnd w:id="856"/>
    </w:p>
    <w:tbl>
      <w:tblPr>
        <w:tblW w:w="5105" w:type="dxa"/>
        <w:jc w:val="left"/>
        <w:tblInd w:w="0" w:type="dxa"/>
        <w:tblLayout w:type="fixed"/>
        <w:tblCellMar>
          <w:top w:w="0" w:type="dxa"/>
          <w:left w:w="0" w:type="dxa"/>
          <w:bottom w:w="0" w:type="dxa"/>
          <w:right w:w="0" w:type="dxa"/>
        </w:tblCellMar>
      </w:tblPr>
      <w:tblGrid>
        <w:gridCol w:w="3815"/>
        <w:gridCol w:w="60"/>
        <w:gridCol w:w="140"/>
        <w:gridCol w:w="980"/>
        <w:gridCol w:w="110"/>
      </w:tblGrid>
      <w:tr>
        <w:trPr/>
        <w:tc>
          <w:tcPr>
            <w:tcW w:w="3815" w:type="dxa"/>
            <w:tcBorders/>
            <w:vAlign w:val="center"/>
          </w:tcPr>
          <w:p>
            <w:pPr>
              <w:pStyle w:val="TableContents"/>
              <w:bidi w:val="0"/>
              <w:spacing w:before="0" w:after="283"/>
              <w:jc w:val="left"/>
              <w:rPr/>
            </w:pPr>
            <w:bookmarkStart w:id="857" w:name="xdx_8BB_zO2ZiXtO804d"/>
            <w:bookmarkEnd w:id="857"/>
            <w:r>
              <w:rPr/>
              <w:t>Schedule of maturities of lease liabilities</w:t>
            </w:r>
          </w:p>
        </w:tc>
        <w:tc>
          <w:tcPr>
            <w:tcW w:w="60" w:type="dxa"/>
            <w:tcBorders/>
            <w:vAlign w:val="center"/>
          </w:tcPr>
          <w:p>
            <w:pPr>
              <w:pStyle w:val="TableContents"/>
              <w:bidi w:val="0"/>
              <w:spacing w:before="0" w:after="283"/>
              <w:jc w:val="left"/>
              <w:rPr/>
            </w:pPr>
            <w:r>
              <w:rPr/>
              <w:t> </w:t>
            </w:r>
            <w:bookmarkStart w:id="858" w:name="xdx_498_20230630_zKARJq9rVvRh"/>
            <w:bookmarkEnd w:id="858"/>
          </w:p>
        </w:tc>
        <w:tc>
          <w:tcPr>
            <w:tcW w:w="1120"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pPr>
            <w:r>
              <w:rPr/>
              <w:t>Operating</w:t>
            </w:r>
          </w:p>
        </w:tc>
        <w:tc>
          <w:tcPr>
            <w:tcW w:w="110" w:type="dxa"/>
            <w:tcBorders/>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pPr>
            <w:r>
              <w:rPr/>
              <w:t>Lease</w:t>
            </w:r>
          </w:p>
        </w:tc>
        <w:tc>
          <w:tcPr>
            <w:tcW w:w="110" w:type="dxa"/>
            <w:tcBorders/>
            <w:vAlign w:val="center"/>
          </w:tcPr>
          <w:p>
            <w:pPr>
              <w:pStyle w:val="TableContents"/>
              <w:bidi w:val="0"/>
              <w:spacing w:before="0" w:after="283"/>
              <w:jc w:val="left"/>
              <w:rPr/>
            </w:pPr>
            <w:r>
              <w:rPr/>
              <w:t> </w:t>
            </w:r>
          </w:p>
        </w:tc>
      </w:tr>
      <w:tr>
        <w:trPr/>
        <w:tc>
          <w:tcPr>
            <w:tcW w:w="3815" w:type="dxa"/>
            <w:tcBorders/>
            <w:shd w:fill="EEEEEE"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 Year ending June 30:</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 </w:t>
            </w:r>
          </w:p>
        </w:tc>
        <w:tc>
          <w:tcPr>
            <w:tcW w:w="110" w:type="dxa"/>
            <w:tcBorders/>
            <w:shd w:fill="EEEEEE" w:val="clear"/>
            <w:vAlign w:val="center"/>
          </w:tcPr>
          <w:p>
            <w:pPr>
              <w:pStyle w:val="TableContents"/>
              <w:bidi w:val="0"/>
              <w:spacing w:before="0" w:after="283"/>
              <w:jc w:val="left"/>
              <w:rPr/>
            </w:pPr>
            <w:r>
              <w:rPr/>
              <w:t> </w:t>
            </w:r>
            <w:bookmarkStart w:id="859" w:name="xdx_405_eus-gaap--LesseeOperatingLeaseLi"/>
            <w:bookmarkEnd w:id="859"/>
          </w:p>
        </w:tc>
      </w:tr>
      <w:tr>
        <w:trPr/>
        <w:tc>
          <w:tcPr>
            <w:tcW w:w="3815" w:type="dxa"/>
            <w:tcBorders/>
            <w:shd w:fill="FFFFFF" w:val="clear"/>
            <w:vAlign w:val="center"/>
          </w:tcPr>
          <w:p>
            <w:pPr>
              <w:pStyle w:val="TableContents"/>
              <w:bidi w:val="0"/>
              <w:spacing w:before="0" w:after="283"/>
              <w:jc w:val="left"/>
              <w:rPr/>
            </w:pPr>
            <w:r>
              <w:rPr/>
              <w:t>2024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2,510,571</w:t>
            </w:r>
          </w:p>
        </w:tc>
        <w:tc>
          <w:tcPr>
            <w:tcW w:w="110" w:type="dxa"/>
            <w:tcBorders/>
            <w:shd w:fill="FFFFFF" w:val="clear"/>
            <w:vAlign w:val="center"/>
          </w:tcPr>
          <w:p>
            <w:pPr>
              <w:pStyle w:val="TableContents"/>
              <w:bidi w:val="0"/>
              <w:spacing w:before="0" w:after="283"/>
              <w:jc w:val="left"/>
              <w:rPr/>
            </w:pPr>
            <w:r>
              <w:rPr/>
              <w:t> </w:t>
            </w:r>
            <w:bookmarkStart w:id="860" w:name="xdx_40A_eus-gaap--LesseeOperatingLeaseLi"/>
            <w:bookmarkEnd w:id="860"/>
          </w:p>
        </w:tc>
      </w:tr>
      <w:tr>
        <w:trPr/>
        <w:tc>
          <w:tcPr>
            <w:tcW w:w="3815" w:type="dxa"/>
            <w:tcBorders/>
            <w:shd w:fill="EEEEEE" w:val="clear"/>
            <w:vAlign w:val="center"/>
          </w:tcPr>
          <w:p>
            <w:pPr>
              <w:pStyle w:val="TableContents"/>
              <w:bidi w:val="0"/>
              <w:spacing w:before="0" w:after="283"/>
              <w:jc w:val="left"/>
              <w:rPr/>
            </w:pPr>
            <w:r>
              <w:rPr/>
              <w:t>2025</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2,080,332</w:t>
            </w:r>
          </w:p>
        </w:tc>
        <w:tc>
          <w:tcPr>
            <w:tcW w:w="110" w:type="dxa"/>
            <w:tcBorders/>
            <w:shd w:fill="EEEEEE" w:val="clear"/>
            <w:vAlign w:val="center"/>
          </w:tcPr>
          <w:p>
            <w:pPr>
              <w:pStyle w:val="TableContents"/>
              <w:bidi w:val="0"/>
              <w:spacing w:before="0" w:after="283"/>
              <w:jc w:val="left"/>
              <w:rPr/>
            </w:pPr>
            <w:r>
              <w:rPr/>
              <w:t> </w:t>
            </w:r>
            <w:bookmarkStart w:id="861" w:name="xdx_40D_eus-gaap--LesseeOperatingLeaseLi"/>
            <w:bookmarkEnd w:id="861"/>
          </w:p>
        </w:tc>
      </w:tr>
      <w:tr>
        <w:trPr/>
        <w:tc>
          <w:tcPr>
            <w:tcW w:w="3815" w:type="dxa"/>
            <w:tcBorders/>
            <w:shd w:fill="FFFFFF" w:val="clear"/>
            <w:vAlign w:val="center"/>
          </w:tcPr>
          <w:p>
            <w:pPr>
              <w:pStyle w:val="TableContents"/>
              <w:bidi w:val="0"/>
              <w:spacing w:before="0" w:after="283"/>
              <w:jc w:val="left"/>
              <w:rPr/>
            </w:pPr>
            <w:r>
              <w:rPr/>
              <w:t>2026</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1,533,918</w:t>
            </w:r>
          </w:p>
        </w:tc>
        <w:tc>
          <w:tcPr>
            <w:tcW w:w="110" w:type="dxa"/>
            <w:tcBorders/>
            <w:shd w:fill="FFFFFF" w:val="clear"/>
            <w:vAlign w:val="center"/>
          </w:tcPr>
          <w:p>
            <w:pPr>
              <w:pStyle w:val="TableContents"/>
              <w:bidi w:val="0"/>
              <w:spacing w:before="0" w:after="283"/>
              <w:jc w:val="left"/>
              <w:rPr/>
            </w:pPr>
            <w:r>
              <w:rPr/>
              <w:t> </w:t>
            </w:r>
            <w:bookmarkStart w:id="862" w:name="xdx_402_eus-gaap--LesseeOperatingLeaseLi"/>
            <w:bookmarkEnd w:id="862"/>
          </w:p>
        </w:tc>
      </w:tr>
      <w:tr>
        <w:trPr/>
        <w:tc>
          <w:tcPr>
            <w:tcW w:w="3815" w:type="dxa"/>
            <w:tcBorders/>
            <w:shd w:fill="EEEEEE" w:val="clear"/>
            <w:vAlign w:val="center"/>
          </w:tcPr>
          <w:p>
            <w:pPr>
              <w:pStyle w:val="TableContents"/>
              <w:bidi w:val="0"/>
              <w:spacing w:before="0" w:after="283"/>
              <w:jc w:val="left"/>
              <w:rPr/>
            </w:pPr>
            <w:r>
              <w:rPr/>
              <w:t>2027</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1,586,572</w:t>
            </w:r>
          </w:p>
        </w:tc>
        <w:tc>
          <w:tcPr>
            <w:tcW w:w="110" w:type="dxa"/>
            <w:tcBorders/>
            <w:shd w:fill="EEEEEE" w:val="clear"/>
            <w:vAlign w:val="center"/>
          </w:tcPr>
          <w:p>
            <w:pPr>
              <w:pStyle w:val="TableContents"/>
              <w:bidi w:val="0"/>
              <w:spacing w:before="0" w:after="283"/>
              <w:jc w:val="left"/>
              <w:rPr/>
            </w:pPr>
            <w:r>
              <w:rPr/>
              <w:t> </w:t>
            </w:r>
            <w:bookmarkStart w:id="863" w:name="xdx_405_eus-gaap--LesseeOperatingLeaseLi"/>
            <w:bookmarkEnd w:id="863"/>
          </w:p>
        </w:tc>
      </w:tr>
      <w:tr>
        <w:trPr/>
        <w:tc>
          <w:tcPr>
            <w:tcW w:w="3815" w:type="dxa"/>
            <w:tcBorders/>
            <w:shd w:fill="FFFFFF" w:val="clear"/>
            <w:vAlign w:val="center"/>
          </w:tcPr>
          <w:p>
            <w:pPr>
              <w:pStyle w:val="TableContents"/>
              <w:bidi w:val="0"/>
              <w:spacing w:before="0" w:after="283"/>
              <w:jc w:val="left"/>
              <w:rPr/>
            </w:pPr>
            <w:r>
              <w:rPr/>
              <w:t>2028</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1,459,407</w:t>
            </w:r>
          </w:p>
        </w:tc>
        <w:tc>
          <w:tcPr>
            <w:tcW w:w="110" w:type="dxa"/>
            <w:tcBorders/>
            <w:shd w:fill="FFFFFF" w:val="clear"/>
            <w:vAlign w:val="center"/>
          </w:tcPr>
          <w:p>
            <w:pPr>
              <w:pStyle w:val="TableContents"/>
              <w:bidi w:val="0"/>
              <w:spacing w:before="0" w:after="283"/>
              <w:jc w:val="left"/>
              <w:rPr/>
            </w:pPr>
            <w:r>
              <w:rPr/>
              <w:t> </w:t>
            </w:r>
            <w:bookmarkStart w:id="864" w:name="xdx_409_eus-gaap--LesseeOperatingLeaseLi"/>
            <w:bookmarkEnd w:id="864"/>
          </w:p>
        </w:tc>
      </w:tr>
      <w:tr>
        <w:trPr/>
        <w:tc>
          <w:tcPr>
            <w:tcW w:w="3815" w:type="dxa"/>
            <w:tcBorders/>
            <w:shd w:fill="EEEEEE"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Less: Imputed interest/present value discount</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EEEEEE" w:val="clear"/>
            <w:tcMar>
              <w:bottom w:w="28" w:type="dxa"/>
            </w:tcMar>
            <w:vAlign w:val="center"/>
          </w:tcPr>
          <w:p>
            <w:pPr>
              <w:pStyle w:val="TableContents"/>
              <w:bidi w:val="0"/>
              <w:spacing w:before="0" w:after="283"/>
              <w:jc w:val="right"/>
              <w:rPr/>
            </w:pPr>
            <w:r>
              <w:rPr/>
              <w:t>(905,580</w:t>
            </w:r>
          </w:p>
        </w:tc>
        <w:tc>
          <w:tcPr>
            <w:tcW w:w="110" w:type="dxa"/>
            <w:tcBorders/>
            <w:shd w:fill="EEEEEE" w:val="clear"/>
            <w:vAlign w:val="center"/>
          </w:tcPr>
          <w:p>
            <w:pPr>
              <w:pStyle w:val="TableContents"/>
              <w:bidi w:val="0"/>
              <w:spacing w:before="0" w:after="283"/>
              <w:jc w:val="left"/>
              <w:rPr/>
            </w:pPr>
            <w:r>
              <w:rPr/>
              <w:t>)</w:t>
            </w:r>
            <w:bookmarkStart w:id="865" w:name="xdx_406_eus-gaap--OperatingLeaseLiabilit"/>
            <w:bookmarkEnd w:id="865"/>
          </w:p>
        </w:tc>
      </w:tr>
      <w:tr>
        <w:trPr/>
        <w:tc>
          <w:tcPr>
            <w:tcW w:w="38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Present value of 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8,265,220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866" w:name="xdx_8AC_zkKAjOhIz1c7"/>
      <w:bookmarkEnd w:id="866"/>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Contingencies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disclosed below, the Company is not currently a party to any material legal proceedings, investigation or claims. As the Company may, from time to time, be involved in legal matters arising in the ordinary course of its business, there can be no assurance that such matters will not arise in the future or that any such matters in which the Company is involved, or which may arise in the ordinary course of the Company’s business, will not at some point proceed to litigation or that such litigation will not have a material adverse effect on the business, financial condition or results of operations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an engagement agreement, dated and effective August 31, 2020 (the “Engagement Agreement”), with Boustead Securities LLC (“Boustead”), the Company engaged Boustead to act as its exclusive placement agent for private placements of its securities and as a potential underwriter for its initial public offering. On February 28, 2021, the Company informed Boustead that it was terminating the Engagement Agreement and any continuing obligations the Company may have had under its terms. On April 15, 2021, the Company provided formal written notice to Boustead of its termination of the Engagement Agreement and all obligations thereunder, effective immediately. On April 30, 2021, Boustead filed a statement of claim with the Financial Institute Regulatory Authority, or FINRA, demanding to arbitrate the dispute, and is seeking, among other things, monetary damages against the Company and D.A. Davidson &amp; Co. (who acted as underwriter in the Company’s IPO). The matter is presently scheduled to have a pre-hearing conference before a FINRA arbitration panel on September 26, 2023. The Company has agreed to indemnify D.A. Davidson &amp; Co. and the other underwriters against any liability or expense they may incur or be subject to arising out of the Boustead dispute. Additionally, Chenlong Tan, the Company’s Chairman, President and Chief Executive Officer and a beneficial owner more than 5% of the Company’s Common Stock, has agreed to reimburse the Company for any judgments, fines and amounts paid or actually incurred by the Company or an indemnitee in connection with such legal action or in connection with any settlement agreement entered into by the Company or an indemnitee up to a maximum of $3.5 million in the aggregate, with the sole source of funding of such reimbursement to come from sales of shares then owned by Mr. Tan. The Company cannot reasonably estimate the amount of potential exposure as of the date of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 effort to contain or slow the COVID-19 outbreak, authorities across the world have implemented various measures, some of which have been subsequently rescinded or modified, including travel bans, stay-at-home orders and shutdowns of certain businesses. The Company anticipates that these actions and the global health crisis caused by the COVID-19 outbreak, including any resurgences, will continue to negatively impact global economic activity. While the COVID-19 outbreak has not had a material adverse impact on the Company’s operations to date, it is difficult to predict all of the positive or negative impacts the COVID-19 outbreak may have on the Company’s business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 February 2022, the Russian Federation began conducting military operations against Ukraine, resulting in global economic uncertainty and increased cost of various commodities. In response to these types of events, should they directly impact our supply chain or other operations, we may experience or be exposed to supply chain disruption which could cause us to seek alternate sources for product supply, or suffer consequences that are unexpected and difficult to mitigate. Any of these risks might have a materially adverse impact on our business operations and our financial position or results of operations. Although, it is difficult to predict the impact that these factors may have on our business in the future, they did not have a material effect on our results of operations, financial condition, or liquidity for the year ended June 30, 2023 and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F-31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13, 2020, the Company entered into an agreement with Royal Business Bank (the “Lender”) for a total amount of $175,500, pursuant to a promissory note issued by the Company to the Lender (the “PPP Note”). The loan was made pursuant to the Payroll Protection Program established as part of the Coronavirus Aid, Relief and Economic Security Act (the “CARES Act”). On March 22, 2021, the $175,500 PPP Note due to Royal Business Bank was fully forgiven by the SBA.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required to retain PPP loan documentation through 2026 and permit authorized representatives of the SBA to access such files upon request. Should the SBA conduct such a review and reject all or some of the Company’s judgments pertaining to satisfying PPP loan eligibility or forgiveness conditions, the Company may be required to adjust previously reported amounts and disclosures in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867" w:name="xdx_801_eus-gaap--SubsequentEventsTextBl"/>
      <w:bookmarkEnd w:id="867"/>
      <w:r>
        <w:rPr>
          <w:rFonts w:ascii="Times New Roman;Times;Serif" w:hAnsi="Times New Roman;Times;Serif"/>
          <w:b/>
          <w:i w:val="false"/>
          <w:caps w:val="false"/>
          <w:smallCaps w:val="false"/>
          <w:sz w:val="20"/>
        </w:rPr>
        <w:t xml:space="preserve">Note 20 - </w:t>
      </w:r>
      <w:bookmarkStart w:id="868" w:name="xdx_820_ztv9KF0FAIS1"/>
      <w:bookmarkEnd w:id="868"/>
      <w:r>
        <w:rPr>
          <w:rFonts w:ascii="Times New Roman;Times;Serif" w:hAnsi="Times New Roman;Times;Serif"/>
          <w:b/>
          <w:i w:val="false"/>
          <w:caps w:val="false"/>
          <w:smallCaps w:val="false"/>
          <w:sz w:val="20"/>
        </w:rPr>
        <w:t>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subsequent events and transactions that occurred after the balance sheet date through the date that the consolidated financial statements are available to be issued. Other than as set forth below, no material subsequent events that required recognition or additional disclosure in the consolidated financial statements are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24, 2023, we received a letter from the Nasdaq Listing Qualifications Staff of The Nasdaq Stock Market LLC (“Nasdaq”) stating that for the 30 consecutive business day period between July 13, 2023 to August 23, 2023 the Company’s common stock had failed to maintain a minimum closing bid price of $1.00 per share, as required for continued listing on The Nasdaq Capital Market pursuant to Nasdaq Listing Rule 5550(a)(2) (the “Minimum Bid Price Requirement”). To regain compliance, the closing bid price of the Company’s common stock must meet or exceed $1.00 per share for a minimum of 10 consecutive trading days, unless such period is extended by Nasdaq. Following receipt of Nasdaq’s deficiency notification, the Company has 180 days, or until February 20, 2024, to regain compliance with the Bid Price Requirement and may seek an additional 180-day extension thereafter. During that time, the Company will evaluate what actions it needs to take should the Company determine that it is unlikely that it will regain compliance within the requisite time period. While the Company needs to remain mindful of the timing in which it needs to regain compliance, the deficiency notification has no immediate effect on the Company’s Nasdaq listing and the Company’s common stock will continue to trade on Nasdaq under the ticker symbol “IPW.”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869" w:name="xdx_812_zMVN4Y0UufS5"/>
      <w:bookmarkEnd w:id="869"/>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F-32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70" w:name="k_021"/>
      <w:bookmarkEnd w:id="870"/>
      <w:r>
        <w:rPr>
          <w:rFonts w:ascii="Times New Roman;Times;Serif" w:hAnsi="Times New Roman;Times;Serif"/>
          <w:b/>
          <w:i w:val="false"/>
          <w:caps w:val="false"/>
          <w:smallCaps w:val="false"/>
          <w:sz w:val="20"/>
        </w:rPr>
        <w:t>ITEM 9. CHANGES IN AND DISAGREEMENTS WITH ACCOUNTANTS ON ACCOUNTING AND FINANCIAL DISCLOSURE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71" w:name="k_022"/>
      <w:bookmarkEnd w:id="871"/>
      <w:r>
        <w:rPr>
          <w:rFonts w:ascii="Times New Roman;Times;Serif" w:hAnsi="Times New Roman;Times;Serif"/>
          <w:b/>
          <w:i w:val="false"/>
          <w:caps w:val="false"/>
          <w:smallCaps w:val="false"/>
          <w:sz w:val="20"/>
        </w:rPr>
        <w:t xml:space="preserve">ITEM 9A. CONTROLS AND PROCEDURES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by Rule 13a-15 of the Exchange Act, under the supervision and with the participation of our management, including our principal executive officer and principal financial officer, we evaluated the effectiveness of the design and operation of the Company’s disclosure controls and procedures and internal control over financial reporting as of the end of the period covered by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Evaluation of Disclosure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disclosure controls and procedures as defined in Rules 13a-15(e) and 15d-15(e) of the Exchange Act that are designed to ensure that information required to be disclosed in our reports filed or submitted to the SEC under the Exchange Act is recorded, processed, summarized and reported within the time periods specified by the SEC’s rules and forms, and that information is accumulated and communicated to management, including the principal executive and principal financial officer, as appropriate, to allow timely decisions regarding required disclosures. Our principal executive officer and principal financial officer evaluated the effectiveness of disclosure controls and procedures as of the end of the period covered by this Annual Report (the “Evaluation Date”), pursuant to Rule 13a-15(b) under the Exchange Act. Based on that evaluation, our principal executive officer and principal financial officer concluded that, as of the Evaluation Date, our disclosure controls and procedures were not effective due to material weaknesses described in our report on internal control over financial reporting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existence of the material weaknesses, we believe that the consolidated financial statements included in this report fairly present in accordance with U.S. GAAP, in all material respects, our financial condition, results of operations and cash flows for the periods presented in this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Limitations on the Effectiveness of Controls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control system, no matter how well conceived and operated, can provide only reasonable, not absolute, assurance that the objectives of the control system are met. Because of the inherent limitations in all controls systems, no evaluation of controls can provide absolute assurance that all control issues and instances of fraud, if any, within a company have been detected. Our disclosure controls and procedures are designed to provide reasonable assurance of achieving its objectives.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Management’s Report on Internal Control Over Financial Reporting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executive officer and our principal accounting and financial officer are responsible for establishing and maintaining adequate internal control over financial reporting, as such term is defined in Exchange Act Rules 13a-15(f). Management conducted an assessment of the effectiveness of our internal control over financial reporting as of June 30, 2023. In making this assessment, management used the criteria described in Internal Control-Integrated Framework (2013) issued by the Committee of Sponsoring Organizations of the Treadway Commission (COSO). Based upon such assessment and due to the existence of the material weaknesses in our internal control over financial reporting described below, our principal executive officer and our principal accounting and financial officer have concluded that, as of June 30, 2023, our internal control over financial reporting was not effective because, among other things, (i) we lack effective communication and reconciliation procedures in our controlled subsidiaries, and (ii) our controls related to the financial statements closing process were not adequately designed or appropriately implemented to identify material misstatements in our financial reporting on a timely basis. Management has evaluated remediation plans to address these deficiencies and is implementing changes to address the material weakness identified, including hiring additional accountants and consultants and implementing controls and procedures over the financial reporting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should be noted that any system of controls, however well designed and operated, can provide only reasonable and not absolute assurance that the objectives of the system are met. In addition, the design of any control system is based in part upon certain assumptions about the likelihood of certain events. Because of these and other inherent limitations of control systems, there can be no assurance that any design will succeed in achieving its stated goals under all potential future conditions, regardless of how remote.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light of the material weaknesses described above, we performed additional analysis and other post-closing procedures to ensure our financial statements were prepared in accordance with generally accepted accounting principles. Accordingly, we believe that the consolidated financial statements included in this Annual Report fairly present in accordance with U.S. GAAP, in all material respects, our financial condition, results of operations and cash flows for the periods presented in this Annual Report.</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Changes in Internal Control over Financial Reporting</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changes in our internal controls over financial reporting that occurred during the fiscal year ended June 30, 2023 that have materially affected, or are reasonably likely to materially affect, our internal controls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UHY LLP, our independent registered public accounting firm, is not required to and has not provided an assessment over the design or effectiveness of our internal controls over financial reporting.</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72" w:name="k_023"/>
      <w:bookmarkEnd w:id="872"/>
      <w:r>
        <w:rPr>
          <w:rFonts w:ascii="Times New Roman;Times;Serif" w:hAnsi="Times New Roman;Times;Serif"/>
          <w:b/>
          <w:i w:val="false"/>
          <w:caps w:val="false"/>
          <w:smallCaps w:val="false"/>
          <w:sz w:val="20"/>
        </w:rPr>
        <w:t>ITEM 9B. OTHER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873" w:name="k_024"/>
      <w:bookmarkEnd w:id="873"/>
      <w:r>
        <w:rPr>
          <w:rFonts w:ascii="Times New Roman;Times;Serif" w:hAnsi="Times New Roman;Times;Serif"/>
          <w:b/>
          <w:i w:val="false"/>
          <w:caps w:val="false"/>
          <w:smallCaps w:val="false"/>
          <w:sz w:val="20"/>
        </w:rPr>
        <w:t>ITEM 9C. DISCLOSURE REGARDING FOREIGN JURISDICTIONS THAT PREVENT INSPECTIONS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74" w:name="k_025"/>
      <w:bookmarkEnd w:id="874"/>
      <w:r>
        <w:rPr>
          <w:rFonts w:ascii="Times New Roman;Times;Serif" w:hAnsi="Times New Roman;Times;Serif"/>
          <w:b/>
          <w:i w:val="false"/>
          <w:caps w:val="false"/>
          <w:smallCaps w:val="false"/>
          <w:sz w:val="20"/>
        </w:rPr>
        <w:t>PART 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75" w:name="k_026"/>
      <w:bookmarkEnd w:id="875"/>
      <w:r>
        <w:rPr>
          <w:rFonts w:ascii="Times New Roman;Times;Serif" w:hAnsi="Times New Roman;Times;Serif"/>
          <w:b/>
          <w:i w:val="false"/>
          <w:caps w:val="false"/>
          <w:smallCaps w:val="false"/>
          <w:sz w:val="20"/>
        </w:rPr>
        <w:t>ITEM 10. DIRECTORS, EXECUTIVE OFFICERS AND CORPORATE GOVERNANCE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Executive Officers and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directors hold office for one-year terms until the election and qualification of their successors. Officers are appointed by our board of directors and serve at the discretion of the board of directors, subject to applicable employment agreements. The following table sets forth information relating to our executive officers and members of our board of directors.</w:t>
      </w:r>
    </w:p>
    <w:p>
      <w:pPr>
        <w:pStyle w:val="TextBody"/>
        <w:bidi w:val="0"/>
        <w:spacing w:before="0" w:after="0"/>
        <w:ind w:left="0" w:right="0" w:hanging="0"/>
        <w:jc w:val="both"/>
        <w:rPr>
          <w:caps w:val="false"/>
          <w:smallCaps w:val="false"/>
        </w:rPr>
      </w:pPr>
      <w:r>
        <w:rPr>
          <w:caps w:val="false"/>
          <w:smallCaps w:val="false"/>
        </w:rPr>
        <w:t> </w:t>
      </w:r>
    </w:p>
    <w:tbl>
      <w:tblPr>
        <w:tblW w:w="7035" w:type="dxa"/>
        <w:jc w:val="left"/>
        <w:tblInd w:w="0" w:type="dxa"/>
        <w:tblLayout w:type="fixed"/>
        <w:tblCellMar>
          <w:top w:w="0" w:type="dxa"/>
          <w:left w:w="0" w:type="dxa"/>
          <w:bottom w:w="28" w:type="dxa"/>
          <w:right w:w="0" w:type="dxa"/>
        </w:tblCellMar>
      </w:tblPr>
      <w:tblGrid>
        <w:gridCol w:w="1730"/>
        <w:gridCol w:w="60"/>
        <w:gridCol w:w="72"/>
        <w:gridCol w:w="278"/>
        <w:gridCol w:w="60"/>
        <w:gridCol w:w="60"/>
        <w:gridCol w:w="4775"/>
      </w:tblGrid>
      <w:tr>
        <w:trPr/>
        <w:tc>
          <w:tcPr>
            <w:tcW w:w="173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60" w:type="dxa"/>
            <w:tcBorders/>
            <w:tcMar>
              <w:bottom w:w="0" w:type="dxa"/>
            </w:tcMar>
            <w:vAlign w:val="center"/>
          </w:tcPr>
          <w:p>
            <w:pPr>
              <w:pStyle w:val="TableContents"/>
              <w:bidi w:val="0"/>
              <w:spacing w:before="0" w:after="283"/>
              <w:jc w:val="left"/>
              <w:rPr/>
            </w:pPr>
            <w:r>
              <w:rPr/>
              <w:t> </w:t>
            </w:r>
          </w:p>
        </w:tc>
        <w:tc>
          <w:tcPr>
            <w:tcW w:w="35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77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Position</w:t>
            </w:r>
          </w:p>
        </w:tc>
      </w:tr>
      <w:tr>
        <w:trPr/>
        <w:tc>
          <w:tcPr>
            <w:tcW w:w="1730" w:type="dxa"/>
            <w:tcBorders/>
            <w:shd w:fill="EEEEEE"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Chenlong Tan</w:t>
            </w:r>
          </w:p>
        </w:tc>
        <w:tc>
          <w:tcPr>
            <w:tcW w:w="60" w:type="dxa"/>
            <w:tcBorders/>
            <w:shd w:fill="EEEEEE" w:val="clear"/>
            <w:tcMar>
              <w:bottom w:w="0" w:type="dxa"/>
            </w:tcMar>
            <w:vAlign w:val="center"/>
          </w:tcPr>
          <w:p>
            <w:pPr>
              <w:pStyle w:val="TableContents"/>
              <w:bidi w:val="0"/>
              <w:spacing w:before="0" w:after="283"/>
              <w:jc w:val="left"/>
              <w:rPr/>
            </w:pPr>
            <w:r>
              <w:rPr/>
              <w:t> </w:t>
            </w:r>
          </w:p>
        </w:tc>
        <w:tc>
          <w:tcPr>
            <w:tcW w:w="72" w:type="dxa"/>
            <w:tcBorders/>
            <w:shd w:fill="EEEEEE" w:val="clear"/>
            <w:tcMar>
              <w:bottom w:w="0" w:type="dxa"/>
            </w:tcMar>
            <w:vAlign w:val="center"/>
          </w:tcPr>
          <w:p>
            <w:pPr>
              <w:pStyle w:val="TableContents"/>
              <w:bidi w:val="0"/>
              <w:spacing w:before="0" w:after="283"/>
              <w:jc w:val="center"/>
              <w:rPr/>
            </w:pPr>
            <w:r>
              <w:rPr/>
              <w:t> </w:t>
            </w:r>
          </w:p>
        </w:tc>
        <w:tc>
          <w:tcPr>
            <w:tcW w:w="278" w:type="dxa"/>
            <w:tcBorders/>
            <w:shd w:fill="EEEEEE"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4775" w:type="dxa"/>
            <w:tcBorders/>
            <w:shd w:fill="EEEEEE"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 Chief Executive Officer, President, and Director</w:t>
            </w:r>
          </w:p>
        </w:tc>
      </w:tr>
      <w:tr>
        <w:trPr/>
        <w:tc>
          <w:tcPr>
            <w:tcW w:w="173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Kevin Vassily</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jc w:val="center"/>
              <w:rPr/>
            </w:pPr>
            <w:r>
              <w:rPr/>
              <w:t> </w:t>
            </w:r>
          </w:p>
        </w:tc>
        <w:tc>
          <w:tcPr>
            <w:tcW w:w="278"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77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 and Director</w:t>
            </w:r>
          </w:p>
        </w:tc>
      </w:tr>
      <w:tr>
        <w:trPr/>
        <w:tc>
          <w:tcPr>
            <w:tcW w:w="1730" w:type="dxa"/>
            <w:tcBorders/>
            <w:shd w:fill="EEEEEE"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Bennet Tchaikovsky</w:t>
            </w:r>
          </w:p>
        </w:tc>
        <w:tc>
          <w:tcPr>
            <w:tcW w:w="60" w:type="dxa"/>
            <w:tcBorders/>
            <w:shd w:fill="EEEEEE" w:val="clear"/>
            <w:tcMar>
              <w:bottom w:w="0" w:type="dxa"/>
            </w:tcMar>
            <w:vAlign w:val="center"/>
          </w:tcPr>
          <w:p>
            <w:pPr>
              <w:pStyle w:val="TableContents"/>
              <w:bidi w:val="0"/>
              <w:spacing w:before="0" w:after="283"/>
              <w:jc w:val="left"/>
              <w:rPr/>
            </w:pPr>
            <w:r>
              <w:rPr/>
              <w:t> </w:t>
            </w:r>
          </w:p>
        </w:tc>
        <w:tc>
          <w:tcPr>
            <w:tcW w:w="72" w:type="dxa"/>
            <w:tcBorders/>
            <w:shd w:fill="EEEEEE" w:val="clear"/>
            <w:tcMar>
              <w:bottom w:w="0" w:type="dxa"/>
            </w:tcMar>
            <w:vAlign w:val="center"/>
          </w:tcPr>
          <w:p>
            <w:pPr>
              <w:pStyle w:val="TableContents"/>
              <w:bidi w:val="0"/>
              <w:spacing w:before="0" w:after="283"/>
              <w:jc w:val="center"/>
              <w:rPr/>
            </w:pPr>
            <w:r>
              <w:rPr/>
              <w:t> </w:t>
            </w:r>
          </w:p>
        </w:tc>
        <w:tc>
          <w:tcPr>
            <w:tcW w:w="278" w:type="dxa"/>
            <w:tcBorders/>
            <w:shd w:fill="EEEEEE"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54</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4775" w:type="dxa"/>
            <w:tcBorders/>
            <w:shd w:fill="EEEEEE"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Independent Director </w:t>
            </w:r>
          </w:p>
        </w:tc>
      </w:tr>
      <w:tr>
        <w:trPr/>
        <w:tc>
          <w:tcPr>
            <w:tcW w:w="173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Hanxi Li</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jc w:val="center"/>
              <w:rPr/>
            </w:pPr>
            <w:r>
              <w:rPr/>
              <w:t> </w:t>
            </w:r>
          </w:p>
        </w:tc>
        <w:tc>
          <w:tcPr>
            <w:tcW w:w="278"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77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Independent Director</w:t>
            </w:r>
          </w:p>
        </w:tc>
      </w:tr>
      <w:tr>
        <w:trPr/>
        <w:tc>
          <w:tcPr>
            <w:tcW w:w="1730" w:type="dxa"/>
            <w:tcBorders/>
            <w:shd w:fill="EEEEEE"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Kevin Liles</w:t>
            </w:r>
          </w:p>
        </w:tc>
        <w:tc>
          <w:tcPr>
            <w:tcW w:w="60" w:type="dxa"/>
            <w:tcBorders/>
            <w:shd w:fill="EEEEEE" w:val="clear"/>
            <w:tcMar>
              <w:bottom w:w="0" w:type="dxa"/>
            </w:tcMar>
            <w:vAlign w:val="center"/>
          </w:tcPr>
          <w:p>
            <w:pPr>
              <w:pStyle w:val="TableContents"/>
              <w:bidi w:val="0"/>
              <w:spacing w:before="0" w:after="283"/>
              <w:jc w:val="left"/>
              <w:rPr/>
            </w:pPr>
            <w:r>
              <w:rPr/>
              <w:t> </w:t>
            </w:r>
          </w:p>
        </w:tc>
        <w:tc>
          <w:tcPr>
            <w:tcW w:w="72" w:type="dxa"/>
            <w:tcBorders/>
            <w:shd w:fill="EEEEEE" w:val="clear"/>
            <w:tcMar>
              <w:bottom w:w="0" w:type="dxa"/>
            </w:tcMar>
            <w:vAlign w:val="center"/>
          </w:tcPr>
          <w:p>
            <w:pPr>
              <w:pStyle w:val="TableContents"/>
              <w:bidi w:val="0"/>
              <w:spacing w:before="0" w:after="283"/>
              <w:jc w:val="center"/>
              <w:rPr/>
            </w:pPr>
            <w:r>
              <w:rPr/>
              <w:t> </w:t>
            </w:r>
          </w:p>
        </w:tc>
        <w:tc>
          <w:tcPr>
            <w:tcW w:w="278" w:type="dxa"/>
            <w:tcBorders/>
            <w:shd w:fill="EEEEEE"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54</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4775" w:type="dxa"/>
            <w:tcBorders/>
            <w:shd w:fill="EEEEEE"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Independent Director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Chenlong Tan</w:t>
      </w:r>
      <w:r>
        <w:rPr>
          <w:rFonts w:ascii="Times New Roman;Times;Serif" w:hAnsi="Times New Roman;Times;Serif"/>
          <w:b w:val="false"/>
          <w:i w:val="false"/>
          <w:caps w:val="false"/>
          <w:smallCaps w:val="false"/>
          <w:sz w:val="20"/>
        </w:rPr>
        <w:t>. Mr. Tan cofounded our Company in 2018 and is the Chairman, Chief Executive Officer and President. He has held the position of Chief Executive Officer since April 2018 and assumed the positions of Chairman, President and Interim Chief Financial Officer in January 2020. Mr. Tan held the position of Interim Chief Financial Officer until January 2021. From 2010 until 2018, Mr. Tan was the cofounder, Chief Executive Officer and Chief Information Officer at our predecessor, BizRight LLC, where he built the business from the ground up to achieve $20 million in sales through data driven development. From 2002 until 2010, Mr. Tan served as a Solution Architect and Senior Software Engineer at various companies, where he took a lead role, managing consultants, business architects and project managers, in working with healthcare companies in completing scoping requirements, solution gathering and project management, among other things. Mr. Tan received his B. Sc. at the University of Auckland in New Zealand, where he graduated with honors.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Kevin Vassily.</w:t>
      </w:r>
      <w:r>
        <w:rPr>
          <w:rFonts w:ascii="Times New Roman;Times;Serif" w:hAnsi="Times New Roman;Times;Serif"/>
          <w:b w:val="false"/>
          <w:i w:val="false"/>
          <w:caps w:val="false"/>
          <w:smallCaps w:val="false"/>
          <w:sz w:val="20"/>
        </w:rPr>
        <w:t xml:space="preserve"> Mr. Vassily was appointed as our Chief Financial Officer in January 2021. Mr. Vassily was also appointed as a member of our board of directors in March 2021. Mr. Vassily also serves as a director at Aimfinity Investment Corp. commencing March 15, 2023. Prior to joining iPower, from 2019 to January 2021, Mr. Vassily served as Vice President of Market Development for Facteus, a financial analytics company focused on the Asset Management industry. From October 2018 through its acquisition in 2020, Mr. Vassily served as an advisor at Go Capture, where he was responsible for providing strategic, business development, and product development advisory services for the company’s emerging “Data as a Service” platform. Since February 2020, Mr. Vassily has served as a director of Zhongchao Inc., a provider of healthcare information, education and training services to healthcare professionals and the public in China. Since July 2018, Mr. Vassily has also served as an advisor at Prometheus Fund, a Shanghai- based merchant bank/PE firm focused on the “green” economy. And from 2015 through 2018, Mr. Vassily served as an associate director of research at Keybanc Capital Markets, and helped to co-manage the Technology Research vertical. From 2010 to 2014, he served as the director of research at Pacific Epoch (a wholly-owned subsidiary of Pacific Crest Securities), where he was responsible for a complete overhaul of product and a complete business model restart post-acquisition, re focusing the firm around a “data-first” research offering. From 2007 to 2010, he served as the Asia Technology business development representative and as a senior analyst at Pacific Crest Securities, responsible for establishing the firm’s presence and relevance covering Asia Technology. From 2003 to 2006, he served as senior research analyst in the semiconductor technology group at Susquehanna International Group, responsible for research in semiconductor and related technologies. From 2001 to 2003, Mr. Vassily served as the vice president and senior research analyst for semiconductor capital equipment at Thomas Weisel Partners, responsible for publishing research and maintaining financial models on each of the companies under coverage. Mr. Vassily began his career on Wall Street in 1998, as a research associate covering the semiconductor industry at Lehman Brothers. He holds a B.A. in liberal arts from Denison University and an M.B.A. from the Tuck School of Business at Dartmouth College.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Bennet Tchaikovsky. </w:t>
      </w:r>
      <w:r>
        <w:rPr>
          <w:rFonts w:ascii="Times New Roman;Times;Serif" w:hAnsi="Times New Roman;Times;Serif"/>
          <w:b w:val="false"/>
          <w:i w:val="false"/>
          <w:caps w:val="false"/>
          <w:smallCaps w:val="false"/>
          <w:sz w:val="20"/>
        </w:rPr>
        <w:t xml:space="preserve">Mr. Tchaikovsky serves as a member of our board of directors, a position he has held since May 2021, following completion of our initial public offering, and serves as chair of the audit committee. Since August 2014, Mr. Tchaikovsky has been a full-time professor at Irvine Valley College. Since January 2022, Mr. Tchaikovsky has been a part-time accounting instructor at California State University, Fullerton. From January 2020 through December 2021, Mr. Tchaikovsky served as a member of the board of directors for Oriental Culture Holding Group, Ltd. (NASDAQ: OCG). From February 2021 through July 2022, Mr. Tchaikovsky served as a member of the board of directors for Industrial Human Capital, Inc. (NYSE: AXH). From September 2020 through December 2021, Mr. Tchaikovsky served as a part-time accounting instructor at Long Beach City College. From August 2018 to May 2019, Mr. Tchaikovsky was a part-time instructor at Chapman University. From November 2013 to August 2019, Mr. Tchaikovsky served as a board member and chairman of the audit committee of Ener-Core, Inc. (OTCMKTS: ENCR). From August 2013 to May 2014, Mr. Tchaikovsky was a part-time faculty member of Irvine Valley College and a part-time faculty member of Pasadena City College. Mr. Tchaikovsky has served as a director on the board of directors of China Jo-Jo Drugstores, Inc. (NASDAQ: CJJD) from August 2011 to January 2013 and as its chief financial officer from September 2009 to July 2011. From April 2010 to August 2013, Mr. Tchaikovsky has served as chief financial officer of VLOV, Inc. From May 2008 to April 2010, Mr. Tchaikovsky has served as chief financial officer of Skystar Bio-Pharmaceutical Company. From March 2008 to November 2009, Mr. Tchaikovsky served as a director on the board of directors of Ever-Glory International Group (NASDAQ: EVK), where he served as chairman of the audit committee and was a member of the compensation committee. </w:t>
      </w:r>
      <w:r>
        <w:rPr>
          <w:rFonts w:ascii="Times New Roman;Times;Serif" w:hAnsi="Times New Roman;Times;Serif"/>
          <w:b w:val="false"/>
          <w:i w:val="false"/>
          <w:caps w:val="false"/>
          <w:smallCaps w:val="false"/>
          <w:sz w:val="20"/>
          <w:shd w:fill="FFFFFF" w:val="clear"/>
        </w:rPr>
        <w:t xml:space="preserve">From December 2008 through November 2009, Mr. Tchaikovsky served as a director of Sino Clean Energy, Inc. </w:t>
      </w:r>
      <w:r>
        <w:rPr>
          <w:rFonts w:ascii="Times New Roman;Times;Serif" w:hAnsi="Times New Roman;Times;Serif"/>
          <w:b w:val="false"/>
          <w:i w:val="false"/>
          <w:caps w:val="false"/>
          <w:smallCaps w:val="false"/>
          <w:sz w:val="20"/>
        </w:rPr>
        <w:t>Mr. Tchaikovsky received his Juris Doctorate degree from Southwestern Law School in December 1996 and his Bachelor of Arts degree in Business Economics from the University of California at Santa Barbara in August 1991. Mr. Tchaikovsky is an actively licensed Certified Public Accountant in California and is an actively licensed member of the California State Bar. We believe that Mr. Tchaikovsky’s extensive experience in accounting and business will benefit the Company’s business and operations and make him a valuable member of the board of directors and its committees.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Hanxi Li</w:t>
      </w:r>
      <w:r>
        <w:rPr>
          <w:rFonts w:ascii="Times New Roman;Times;Serif" w:hAnsi="Times New Roman;Times;Serif"/>
          <w:b w:val="false"/>
          <w:i w:val="false"/>
          <w:caps w:val="false"/>
          <w:smallCaps w:val="false"/>
          <w:sz w:val="20"/>
        </w:rPr>
        <w:t>. Ms. Li was appointed to serve as a director on our board of directors on December 23, 2021 and serves as chair of our compensation committee. Ms. Li has more than a decade of marketing experience working with Fortune 50 companies and international conferences. Since 2019, Ms. Li has served as Vice President of Marketing for Elegantz Productions LLC. In this role, she executed branding and marketing campaigns targeting the United States region for Sequoia Capital and Xiaomi. She also formed a long-term partnership with ByteDance Ltd. and Ciwen Media. From 2017 to 2018, she was the marketing director of the Company’s predecessor, Bizright LLC, where she was in charge of the company’s branding and marketing strategies, including the expansion of the company’s social media marketing. From 2013 to 2016, Ms. Li was a partner at a private video studio where she worked with top companies across industries, including Bluefocus, and executed a performance project in China National Olympic Park. From 2011 to 2014, as publicity supervisor for the China National Convention Center, Ms. Li led efforts for branding and media channels for national and international meetings. Her long track record as a successful marketing leader makes her ideally suited to serving as a member of our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Kevin Liles</w:t>
      </w:r>
      <w:r>
        <w:rPr>
          <w:rFonts w:ascii="Times New Roman;Times;Serif" w:hAnsi="Times New Roman;Times;Serif"/>
          <w:b w:val="false"/>
          <w:i w:val="false"/>
          <w:caps w:val="false"/>
          <w:smallCaps w:val="false"/>
          <w:sz w:val="20"/>
        </w:rPr>
        <w:t>. Mr. Liles was appointed to serve as a member of our board of directors commencing May 2021, upon completion of our initial public offering, and serves as chair of the nominating and corporate governance committee. Since 2012, Mr. Liles has been co-founder of 300 Entertainment, a music company whose roster includes acts across multiple genres including hip-hop, rock, pop, electronic, and alternative. From 2009 until present, Mr. Liles is a founder of KWL Enterprise, a niche brand management solutions company. From 2004 until 2009, Mr. Liles was an executive vice president of Warner Music, where he oversaw global strategy and was pivotal in building the artist services division into what is now a $200 million business. From 1998 until 2004, Mr. Liles was president of Def Jam Recordings and executive vice president of The Island Def Jam Music Group, where he amplified the brand’s influence through introducing Def College Jam, opening five international offices, launching successful video game franchises, and doubling revenue to $400 million. Mr. Liles has long been focused on philanthropic work, with a focus on global education and entrepreneurship, culminating in his receipt of the 2010 Medaille de la Ville de Paris award for his contribution to Parisian culture. Mr. Liles holds an honorary Doctor of Law degree from Morgan State University, where he studied engineering and electrical engineering as an undergraduate. We believe Mr. Liles’ extensive entrepreneurial and business experience, as well as his extensive knowledge in the area of social media, will assist us in our growth plans going forward.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Family 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family relationships among any of our officers or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Involvement in Certain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our knowledge, during the past ten years, none of our directors, executive officers, promoters, control persons, or nominees has: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had any bankruptcy petition filed by or against the business or property of the person, or of any partnership, corporation or business association of which he was a general partner or executive officer, either at the time of the bankruptcy filing or within two years prior to that time;</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been convicted in a criminal proceeding or been subject to a pending criminal proceeding (excluding traffic violations and other minor offenses);</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been subject to any order, judgment, or decree, not subsequently reversed, suspended or vacated, of any court of competent jurisdiction or federal or state authority, permanently or temporarily enjoining, barring, suspending or otherwise limiting, his involvement in any type of business, securities, futures, commodities, investment, banking, savings and loan, or insurance activities, or to be associated with persons engaged in any such activity;</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been found by a court of competent jurisdiction in a civil action or by the SEC or the Commodity Futures Trading Commission to have violated a federal or state securities or commodities law, and the judgment has not been reversed, suspended, or vacated;</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been the subject of, or a party to, any federal or state judicial or administrative order, judgment, decree, or finding, not subsequently reversed, suspended or vacated (not including any settlement of a civil proceeding among private litigants), relating to an alleged violation of any federal or state securities or commodities law or regulation, any law or regulation respecting financial institutions or insurance companies including, but not limited to, a temporary or permanent injunction, order of disgorgement or restitution, civil money penalty or temporary or permanent cease-and-desist order, or removal or prohibition order, or any law or regulation prohibiting mail or wire fraud or fraud in connection with any business entity; or</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been the subject of, or a party to, any sanction or order, not subsequently reversed, suspended or vacated, of any self-regulatory organization (as defined in Section 3(a)(26) of the Exchange Act), any registered entity (as defined in Section 1(a)(29) of the Commodity Exchange Act), or any equivalent exchange, association, entity or organization that has disciplinary authority over its members or persons associated with a member.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Board Committees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established an Audit Committee, a Compensation Committee and a Nominating and Corporate Governance Committee. Each of these committees operates under a charter that has been approved by our board of directors, as set forth below.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Audit Committee</w:t>
      </w:r>
      <w:r>
        <w:rPr>
          <w:rFonts w:ascii="Times New Roman;Times;Serif" w:hAnsi="Times New Roman;Times;Serif"/>
          <w:b w:val="false"/>
          <w:i w:val="false"/>
          <w:caps w:val="false"/>
          <w:smallCaps w:val="false"/>
          <w:sz w:val="20"/>
        </w:rPr>
        <w:t>. Our Audit Committee consists of three independent directors. The members of the Audit Committee are Mr. Tchaikovsky, Ms. Li and Mr. Liles. The Audit Committee consists exclusively of directors who are financially literate and Mr. Tchaikovsky serves as chair of the Audit Committee. As a licensed certified public accountant, Mr. Tchaikovsky is considered an “audit committee financial expert” as defined by the SEC’s rules and regulations.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responsibilities include:</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overseeing the compensation and work of and performance by our independent auditor and any other registered public accounting firm performing audit, review or attestation services for us;</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engaging, retaining and terminating our independent auditor and determining the terms thereof;</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assessing the qualifications, performance and independence of the independent auditor;</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evaluating whether the provision of permitted non-audit services is compatible with maintaining the auditor’s independence;</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discussing the audit results, including any comments and recommendations of the independent auditor and the responses of management to such recommendations;</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discussing the annual and quarterly financial statements with management and the independent auditor;</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producing a committee report for inclusion in applicable SEC filings;</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reviewing the adequacy and effectiveness of internal controls and procedures;</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establishing procedures regarding the receipt, retention and treatment of complaints received regarding the accounting, internal accounting controls, or auditing matters and conducting or authorizing investigations into any matters within the scope of the responsibility of the audit committee; and</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reviewing transactions with related persons for potential conflict of interest situations.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Compensation Committee</w:t>
      </w:r>
      <w:r>
        <w:rPr>
          <w:rFonts w:ascii="Times New Roman;Times;Serif" w:hAnsi="Times New Roman;Times;Serif"/>
          <w:b w:val="false"/>
          <w:i w:val="false"/>
          <w:caps w:val="false"/>
          <w:smallCaps w:val="false"/>
          <w:sz w:val="20"/>
        </w:rPr>
        <w:t>. Our Compensation Committee consists of three independent directors. The members of the Compensation Committee are Ms. Li, Mr. Tchaikovsky and Mr. Liles. Ms. Li serves as the chair of the Compensation Committee. The committee has primary responsibility for: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recommending all elements and amounts of compensation for each executive officer, including any performance goals applicable to those executive officers;</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recommending for approval the adoption, any amendment and termination of all cash and equity-based incentive compensation plans;</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once required by applicable law, causing to be prepared a committee report for inclusion in applicable SEC filings;</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approving any employment agreements, severance agreements or change of control agreements that are entered into with the Chief Executive Officer and certain executive officers; and</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recommending the level and form of non-employee director compensation and benefits.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Nominating and Governance Committee</w:t>
      </w:r>
      <w:r>
        <w:rPr>
          <w:rFonts w:ascii="Times New Roman;Times;Serif" w:hAnsi="Times New Roman;Times;Serif"/>
          <w:b w:val="false"/>
          <w:i w:val="false"/>
          <w:caps w:val="false"/>
          <w:smallCaps w:val="false"/>
          <w:sz w:val="20"/>
        </w:rPr>
        <w:t>. The Nominating and Governance Committee consists of three independent directors. The members of the Nominating and Governance Committee are Mr. Liles, Ms. Li and Mr. Tchaikovsky. Mr. Liles serves as chair of the Nominating and Corporate Governance Committee. The Nominating and Corporate Governance Committee’s responsibilities include:</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recommending persons for election as directors by the stockholders;</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recommending persons for appointment as directors to the extent necessary to fill any vacancies or newly created directorships;</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annually the skills and characteristics required of directors and each incumbent director’s continued service on the board of directors;</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reviewing any stockholder proposals and nominations for directors;</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advising the board of directors on the appropriate structure and operations of the board of directors and its committees;</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reviewing and recommending standing board committee assignments;</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developing and recommending to the board of directors the Corporate Governance Guidelines, a Code of Business Conduct and Ethics and other corporate governance policies and programs and reviewing such guidelines, code and any other policies and programs at least annually;</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making recommendations to the board of directors as to determinations of director independence; and</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making recommendations to the board of directors regarding corporate governance based upon developments, trends, and best practices.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Governance Committee will consider stockholder recommendations for candidates for the board of directors.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Code of Business Conduct and Ethics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a formal Code of Business Conduct and Ethics (the “Code”) that is applicable to every officer, director, employee and consultant (the “Employees”) of the Company and its affiliates. The Code reaffirms the high standards of business conduct required of all of the Company’s Employees.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Insider Trading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an insider trading policy to help the Company’s Employees comply with federal and state securities laws, prevent insider trading and govern the terms and conditions at which the Employees can trade in the Company’s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Limitation of Directors Liability and Indemnification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Nevada Revised Statutes (“NRS”) authorizes corporations to limit or eliminate, subject to certain conditions, the personal liability of directors to corporations and their stockholders for monetary damages for breach of their fiduciary duties.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iPower maintains stand-alone director and officer liability insurance to cover liabilities our directors and officers may incur in connection with their services to us, including matters arising under the Securities Act. In addition, Nevada law and our bylaws provide that we will indemnify our directors and officers who, by reason of the fact that he or she is an officer or director, is involved in a legal proceeding of any nature.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pending litigation or proceeding against any of our directors, officers, employees or agents in which indemnification will be required or permitted. We are not aware of any threatened litigation or proceeding which may result in a claim for such indemnification.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Indemnification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we have no specific indemnification agreements with our directors or executive officers. However, our officers and directors are entitled to indemnification through our bylaws and to the extent allowed pursuant to the NRS, federal securities law and our directors and officers liability insurance.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16(A) BENEFICIAL OWNERSHIP REPORTING COMPLIANCE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16(a) of the Exchange Act requires our executive officers and directors, and persons who own more than 10% of our common stock, to file reports regarding ownership of, and transactions in, our securities with the SEC and to provide us with copies of those filings. Based solely on our review of the copies of such forms furnished to us and written representations by our officers and directors regarding their compliance with applicable reporting requirements under Section 16(a) of the Exchange Act, we believe that all Section 16(a) filing requirements for our executive officers, directors and 10% stockholders were met during the year ended June 30, 2023, except for the following:</w:t>
      </w:r>
    </w:p>
    <w:p>
      <w:pPr>
        <w:pStyle w:val="TextBody"/>
        <w:bidi w:val="0"/>
        <w:spacing w:before="0" w:after="0"/>
        <w:ind w:left="0" w:right="0" w:firstLine="720"/>
        <w:jc w:val="both"/>
        <w:rPr>
          <w:caps w:val="false"/>
          <w:smallCaps w:val="false"/>
        </w:rPr>
      </w:pPr>
      <w:r>
        <w:rPr>
          <w:caps w:val="false"/>
          <w:smallCaps w:val="false"/>
        </w:rPr>
        <w:t> </w:t>
      </w:r>
    </w:p>
    <w:tbl>
      <w:tblPr>
        <w:tblW w:w="7324" w:type="dxa"/>
        <w:jc w:val="left"/>
        <w:tblInd w:w="0" w:type="dxa"/>
        <w:tblLayout w:type="fixed"/>
        <w:tblCellMar>
          <w:top w:w="0" w:type="dxa"/>
          <w:left w:w="0" w:type="dxa"/>
          <w:bottom w:w="28" w:type="dxa"/>
          <w:right w:w="0" w:type="dxa"/>
        </w:tblCellMar>
      </w:tblPr>
      <w:tblGrid>
        <w:gridCol w:w="2000"/>
        <w:gridCol w:w="60"/>
        <w:gridCol w:w="1235"/>
        <w:gridCol w:w="60"/>
        <w:gridCol w:w="2090"/>
        <w:gridCol w:w="60"/>
        <w:gridCol w:w="139"/>
        <w:gridCol w:w="1605"/>
        <w:gridCol w:w="75"/>
      </w:tblGrid>
      <w:tr>
        <w:trPr/>
        <w:tc>
          <w:tcPr>
            <w:tcW w:w="2000" w:type="dxa"/>
            <w:tcBorders>
              <w:bottom w:val="single" w:sz="8" w:space="0" w:color="000000"/>
            </w:tcBorders>
            <w:vAlign w:val="center"/>
          </w:tcPr>
          <w:p>
            <w:pPr>
              <w:pStyle w:val="TableContents"/>
              <w:bidi w:val="0"/>
              <w:spacing w:before="0" w:after="283"/>
              <w:jc w:val="both"/>
              <w:rPr/>
            </w:pPr>
            <w:r>
              <w:rPr/>
              <w:t>Name</w:t>
            </w:r>
          </w:p>
        </w:tc>
        <w:tc>
          <w:tcPr>
            <w:tcW w:w="60" w:type="dxa"/>
            <w:tcBorders/>
            <w:tcMar>
              <w:bottom w:w="0" w:type="dxa"/>
            </w:tcMar>
            <w:vAlign w:val="center"/>
          </w:tcPr>
          <w:p>
            <w:pPr>
              <w:pStyle w:val="TableContents"/>
              <w:bidi w:val="0"/>
              <w:spacing w:before="0" w:after="283"/>
              <w:jc w:val="left"/>
              <w:rPr/>
            </w:pPr>
            <w:r>
              <w:rPr/>
              <w:t> </w:t>
            </w:r>
          </w:p>
        </w:tc>
        <w:tc>
          <w:tcPr>
            <w:tcW w:w="1235" w:type="dxa"/>
            <w:tcBorders>
              <w:bottom w:val="single" w:sz="8" w:space="0" w:color="000000"/>
            </w:tcBorders>
            <w:vAlign w:val="center"/>
          </w:tcPr>
          <w:p>
            <w:pPr>
              <w:pStyle w:val="TableContents"/>
              <w:bidi w:val="0"/>
              <w:spacing w:before="0" w:after="283"/>
              <w:jc w:val="center"/>
              <w:rPr/>
            </w:pPr>
            <w:r>
              <w:rPr/>
              <w:t>Late Reports</w:t>
            </w:r>
          </w:p>
        </w:tc>
        <w:tc>
          <w:tcPr>
            <w:tcW w:w="60" w:type="dxa"/>
            <w:tcBorders/>
            <w:tcMar>
              <w:bottom w:w="0" w:type="dxa"/>
            </w:tcMar>
            <w:vAlign w:val="center"/>
          </w:tcPr>
          <w:p>
            <w:pPr>
              <w:pStyle w:val="TableContents"/>
              <w:bidi w:val="0"/>
              <w:spacing w:before="0" w:after="283"/>
              <w:jc w:val="left"/>
              <w:rPr/>
            </w:pPr>
            <w:r>
              <w:rPr/>
              <w:t> </w:t>
            </w:r>
          </w:p>
        </w:tc>
        <w:tc>
          <w:tcPr>
            <w:tcW w:w="2090" w:type="dxa"/>
            <w:tcBorders>
              <w:bottom w:val="single" w:sz="8" w:space="0" w:color="000000"/>
            </w:tcBorders>
            <w:vAlign w:val="center"/>
          </w:tcPr>
          <w:p>
            <w:pPr>
              <w:pStyle w:val="TableContents"/>
              <w:bidi w:val="0"/>
              <w:spacing w:before="0" w:after="283"/>
              <w:jc w:val="center"/>
              <w:rPr/>
            </w:pPr>
            <w:r>
              <w:rPr/>
              <w:t>Transactions Covered</w:t>
            </w:r>
          </w:p>
        </w:tc>
        <w:tc>
          <w:tcPr>
            <w:tcW w:w="60" w:type="dxa"/>
            <w:tcBorders/>
            <w:tcMar>
              <w:bottom w:w="0" w:type="dxa"/>
            </w:tcMar>
            <w:vAlign w:val="center"/>
          </w:tcPr>
          <w:p>
            <w:pPr>
              <w:pStyle w:val="TableContents"/>
              <w:bidi w:val="0"/>
              <w:spacing w:before="0" w:after="283"/>
              <w:jc w:val="left"/>
              <w:rPr/>
            </w:pPr>
            <w:r>
              <w:rPr/>
              <w:t> </w:t>
            </w:r>
          </w:p>
        </w:tc>
        <w:tc>
          <w:tcPr>
            <w:tcW w:w="1744" w:type="dxa"/>
            <w:gridSpan w:val="2"/>
            <w:tcBorders>
              <w:bottom w:val="single" w:sz="8" w:space="0" w:color="000000"/>
            </w:tcBorders>
            <w:vAlign w:val="center"/>
          </w:tcPr>
          <w:p>
            <w:pPr>
              <w:pStyle w:val="TableContents"/>
              <w:bidi w:val="0"/>
              <w:spacing w:before="0" w:after="283"/>
              <w:jc w:val="center"/>
              <w:rPr/>
            </w:pPr>
            <w:r>
              <w:rPr/>
              <w:t>Number of Shares</w:t>
            </w:r>
          </w:p>
        </w:tc>
        <w:tc>
          <w:tcPr>
            <w:tcW w:w="75" w:type="dxa"/>
            <w:tcBorders/>
            <w:tcMar>
              <w:bottom w:w="0" w:type="dxa"/>
            </w:tcMar>
            <w:vAlign w:val="center"/>
          </w:tcPr>
          <w:p>
            <w:pPr>
              <w:pStyle w:val="TableContents"/>
              <w:bidi w:val="0"/>
              <w:spacing w:before="0" w:after="283"/>
              <w:jc w:val="left"/>
              <w:rPr/>
            </w:pPr>
            <w:r>
              <w:rPr/>
              <w:t> </w:t>
            </w:r>
          </w:p>
        </w:tc>
      </w:tr>
      <w:tr>
        <w:trPr/>
        <w:tc>
          <w:tcPr>
            <w:tcW w:w="2000" w:type="dxa"/>
            <w:tcBorders/>
            <w:shd w:fill="EEEEEE" w:val="clear"/>
            <w:tcMar>
              <w:bottom w:w="0" w:type="dxa"/>
            </w:tcMar>
            <w:vAlign w:val="center"/>
          </w:tcPr>
          <w:p>
            <w:pPr>
              <w:pStyle w:val="TableContents"/>
              <w:bidi w:val="0"/>
              <w:spacing w:before="0" w:after="283"/>
              <w:jc w:val="both"/>
              <w:rPr/>
            </w:pPr>
            <w:r>
              <w:rPr/>
              <w:t>Hanxin Li</w:t>
            </w:r>
          </w:p>
        </w:tc>
        <w:tc>
          <w:tcPr>
            <w:tcW w:w="60" w:type="dxa"/>
            <w:tcBorders/>
            <w:shd w:fill="EEEEEE" w:val="clear"/>
            <w:tcMar>
              <w:bottom w:w="0" w:type="dxa"/>
            </w:tcMar>
            <w:vAlign w:val="center"/>
          </w:tcPr>
          <w:p>
            <w:pPr>
              <w:pStyle w:val="TableContents"/>
              <w:bidi w:val="0"/>
              <w:spacing w:before="0" w:after="283"/>
              <w:jc w:val="left"/>
              <w:rPr/>
            </w:pPr>
            <w:r>
              <w:rPr/>
              <w:t> </w:t>
            </w:r>
          </w:p>
        </w:tc>
        <w:tc>
          <w:tcPr>
            <w:tcW w:w="1235" w:type="dxa"/>
            <w:tcBorders/>
            <w:shd w:fill="EEEEEE" w:val="clear"/>
            <w:tcMar>
              <w:bottom w:w="0" w:type="dxa"/>
            </w:tcMar>
            <w:vAlign w:val="center"/>
          </w:tcPr>
          <w:p>
            <w:pPr>
              <w:pStyle w:val="TableContents"/>
              <w:bidi w:val="0"/>
              <w:spacing w:before="0" w:after="283"/>
              <w:jc w:val="center"/>
              <w:rPr/>
            </w:pPr>
            <w:r>
              <w:rPr/>
              <w:t>Form 4</w:t>
            </w:r>
          </w:p>
        </w:tc>
        <w:tc>
          <w:tcPr>
            <w:tcW w:w="60" w:type="dxa"/>
            <w:tcBorders/>
            <w:shd w:fill="EEEEEE" w:val="clear"/>
            <w:tcMar>
              <w:bottom w:w="0" w:type="dxa"/>
            </w:tcMar>
            <w:vAlign w:val="center"/>
          </w:tcPr>
          <w:p>
            <w:pPr>
              <w:pStyle w:val="TableContents"/>
              <w:bidi w:val="0"/>
              <w:spacing w:before="0" w:after="283"/>
              <w:jc w:val="left"/>
              <w:rPr/>
            </w:pPr>
            <w:r>
              <w:rPr/>
              <w:t> </w:t>
            </w:r>
          </w:p>
        </w:tc>
        <w:tc>
          <w:tcPr>
            <w:tcW w:w="2090" w:type="dxa"/>
            <w:tcBorders/>
            <w:shd w:fill="EEEEEE" w:val="clear"/>
            <w:tcMar>
              <w:bottom w:w="0" w:type="dxa"/>
            </w:tcMar>
            <w:vAlign w:val="center"/>
          </w:tcPr>
          <w:p>
            <w:pPr>
              <w:pStyle w:val="TableContents"/>
              <w:bidi w:val="0"/>
              <w:spacing w:before="0" w:after="283"/>
              <w:jc w:val="center"/>
              <w:rPr/>
            </w:pPr>
            <w:r>
              <w:rPr/>
              <w:t>COMMON STOCK</w:t>
            </w:r>
          </w:p>
        </w:tc>
        <w:tc>
          <w:tcPr>
            <w:tcW w:w="60" w:type="dxa"/>
            <w:tcBorders/>
            <w:shd w:fill="EEEEEE" w:val="clear"/>
            <w:tcMar>
              <w:bottom w:w="0" w:type="dxa"/>
            </w:tcMar>
            <w:vAlign w:val="center"/>
          </w:tcPr>
          <w:p>
            <w:pPr>
              <w:pStyle w:val="TableContents"/>
              <w:bidi w:val="0"/>
              <w:spacing w:before="0" w:after="283"/>
              <w:jc w:val="left"/>
              <w:rPr/>
            </w:pPr>
            <w:r>
              <w:rPr/>
              <w:t> </w:t>
            </w:r>
          </w:p>
        </w:tc>
        <w:tc>
          <w:tcPr>
            <w:tcW w:w="139" w:type="dxa"/>
            <w:tcBorders/>
            <w:shd w:fill="EEEEEE" w:val="clear"/>
            <w:tcMar>
              <w:bottom w:w="0" w:type="dxa"/>
            </w:tcMar>
            <w:vAlign w:val="center"/>
          </w:tcPr>
          <w:p>
            <w:pPr>
              <w:pStyle w:val="TableContents"/>
              <w:bidi w:val="0"/>
              <w:spacing w:before="0" w:after="283"/>
              <w:jc w:val="center"/>
              <w:rPr/>
            </w:pPr>
            <w:r>
              <w:rPr/>
              <w:t> </w:t>
            </w:r>
          </w:p>
        </w:tc>
        <w:tc>
          <w:tcPr>
            <w:tcW w:w="1605" w:type="dxa"/>
            <w:tcBorders/>
            <w:shd w:fill="EEEEEE" w:val="clear"/>
            <w:tcMar>
              <w:bottom w:w="0" w:type="dxa"/>
            </w:tcMar>
            <w:vAlign w:val="center"/>
          </w:tcPr>
          <w:p>
            <w:pPr>
              <w:pStyle w:val="TableContents"/>
              <w:bidi w:val="0"/>
              <w:spacing w:before="0" w:after="283"/>
              <w:jc w:val="center"/>
              <w:rPr/>
            </w:pPr>
            <w:r>
              <w:rPr/>
              <w:t>51,724</w:t>
            </w:r>
          </w:p>
        </w:tc>
        <w:tc>
          <w:tcPr>
            <w:tcW w:w="75" w:type="dxa"/>
            <w:tcBorders/>
            <w:shd w:fill="EEEEEE" w:val="clear"/>
            <w:tcMar>
              <w:bottom w:w="0" w:type="dxa"/>
            </w:tcMar>
            <w:vAlign w:val="center"/>
          </w:tcPr>
          <w:p>
            <w:pPr>
              <w:pStyle w:val="TableContents"/>
              <w:bidi w:val="0"/>
              <w:spacing w:before="0" w:after="283"/>
              <w:jc w:val="left"/>
              <w:rPr/>
            </w:pPr>
            <w:r>
              <w:rPr/>
              <w:t> </w:t>
            </w:r>
          </w:p>
        </w:tc>
      </w:tr>
      <w:tr>
        <w:trPr/>
        <w:tc>
          <w:tcPr>
            <w:tcW w:w="2000" w:type="dxa"/>
            <w:tcBorders/>
            <w:shd w:fill="FFFFFF" w:val="clear"/>
            <w:tcMar>
              <w:bottom w:w="0" w:type="dxa"/>
            </w:tcMar>
            <w:vAlign w:val="center"/>
          </w:tcPr>
          <w:p>
            <w:pPr>
              <w:pStyle w:val="TableContents"/>
              <w:bidi w:val="0"/>
              <w:spacing w:before="0" w:after="283"/>
              <w:jc w:val="both"/>
              <w:rPr/>
            </w:pPr>
            <w:r>
              <w:rPr/>
              <w:t>Kevin Liles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5" w:type="dxa"/>
            <w:tcBorders/>
            <w:shd w:fill="FFFFFF" w:val="clear"/>
            <w:tcMar>
              <w:bottom w:w="0" w:type="dxa"/>
            </w:tcMar>
            <w:vAlign w:val="center"/>
          </w:tcPr>
          <w:p>
            <w:pPr>
              <w:pStyle w:val="TableContents"/>
              <w:bidi w:val="0"/>
              <w:spacing w:before="0" w:after="283"/>
              <w:jc w:val="center"/>
              <w:rPr/>
            </w:pPr>
            <w:r>
              <w:rPr/>
              <w:t>Form 4</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90" w:type="dxa"/>
            <w:tcBorders/>
            <w:shd w:fill="FFFFFF" w:val="clear"/>
            <w:tcMar>
              <w:bottom w:w="0" w:type="dxa"/>
            </w:tcMar>
            <w:vAlign w:val="center"/>
          </w:tcPr>
          <w:p>
            <w:pPr>
              <w:pStyle w:val="TableContents"/>
              <w:bidi w:val="0"/>
              <w:spacing w:before="0" w:after="283"/>
              <w:jc w:val="center"/>
              <w:rPr/>
            </w:pPr>
            <w:r>
              <w:rPr/>
              <w:t>COMMON STOCK</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 w:type="dxa"/>
            <w:tcBorders/>
            <w:shd w:fill="FFFFFF" w:val="clear"/>
            <w:tcMar>
              <w:bottom w:w="0" w:type="dxa"/>
            </w:tcMar>
            <w:vAlign w:val="center"/>
          </w:tcPr>
          <w:p>
            <w:pPr>
              <w:pStyle w:val="TableContents"/>
              <w:bidi w:val="0"/>
              <w:spacing w:before="0" w:after="283"/>
              <w:jc w:val="center"/>
              <w:rPr/>
            </w:pPr>
            <w:r>
              <w:rPr/>
              <w:t> </w:t>
            </w:r>
          </w:p>
        </w:tc>
        <w:tc>
          <w:tcPr>
            <w:tcW w:w="1605" w:type="dxa"/>
            <w:tcBorders/>
            <w:shd w:fill="FFFFFF" w:val="clear"/>
            <w:tcMar>
              <w:bottom w:w="0" w:type="dxa"/>
            </w:tcMar>
            <w:vAlign w:val="center"/>
          </w:tcPr>
          <w:p>
            <w:pPr>
              <w:pStyle w:val="TableContents"/>
              <w:bidi w:val="0"/>
              <w:spacing w:before="0" w:after="283"/>
              <w:jc w:val="center"/>
              <w:rPr/>
            </w:pPr>
            <w:r>
              <w:rPr/>
              <w:t>24,800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000" w:type="dxa"/>
            <w:tcBorders/>
            <w:shd w:fill="EEEEEE" w:val="clear"/>
            <w:tcMar>
              <w:bottom w:w="0" w:type="dxa"/>
            </w:tcMar>
            <w:vAlign w:val="center"/>
          </w:tcPr>
          <w:p>
            <w:pPr>
              <w:pStyle w:val="TableContents"/>
              <w:bidi w:val="0"/>
              <w:spacing w:before="0" w:after="283"/>
              <w:jc w:val="both"/>
              <w:rPr/>
            </w:pPr>
            <w:r>
              <w:rPr/>
              <w:t>Bennet Tchaikovsky</w:t>
            </w:r>
          </w:p>
        </w:tc>
        <w:tc>
          <w:tcPr>
            <w:tcW w:w="60" w:type="dxa"/>
            <w:tcBorders/>
            <w:shd w:fill="EEEEEE" w:val="clear"/>
            <w:tcMar>
              <w:bottom w:w="0" w:type="dxa"/>
            </w:tcMar>
            <w:vAlign w:val="center"/>
          </w:tcPr>
          <w:p>
            <w:pPr>
              <w:pStyle w:val="TableContents"/>
              <w:bidi w:val="0"/>
              <w:spacing w:before="0" w:after="283"/>
              <w:jc w:val="left"/>
              <w:rPr/>
            </w:pPr>
            <w:r>
              <w:rPr/>
              <w:t> </w:t>
            </w:r>
          </w:p>
        </w:tc>
        <w:tc>
          <w:tcPr>
            <w:tcW w:w="1235" w:type="dxa"/>
            <w:tcBorders/>
            <w:shd w:fill="EEEEEE" w:val="clear"/>
            <w:tcMar>
              <w:bottom w:w="0" w:type="dxa"/>
            </w:tcMar>
            <w:vAlign w:val="center"/>
          </w:tcPr>
          <w:p>
            <w:pPr>
              <w:pStyle w:val="TableContents"/>
              <w:bidi w:val="0"/>
              <w:spacing w:before="0" w:after="283"/>
              <w:jc w:val="center"/>
              <w:rPr/>
            </w:pPr>
            <w:r>
              <w:rPr/>
              <w:t>Form 4</w:t>
            </w:r>
          </w:p>
        </w:tc>
        <w:tc>
          <w:tcPr>
            <w:tcW w:w="60" w:type="dxa"/>
            <w:tcBorders/>
            <w:shd w:fill="EEEEEE" w:val="clear"/>
            <w:tcMar>
              <w:bottom w:w="0" w:type="dxa"/>
            </w:tcMar>
            <w:vAlign w:val="center"/>
          </w:tcPr>
          <w:p>
            <w:pPr>
              <w:pStyle w:val="TableContents"/>
              <w:bidi w:val="0"/>
              <w:spacing w:before="0" w:after="283"/>
              <w:jc w:val="left"/>
              <w:rPr/>
            </w:pPr>
            <w:r>
              <w:rPr/>
              <w:t> </w:t>
            </w:r>
          </w:p>
        </w:tc>
        <w:tc>
          <w:tcPr>
            <w:tcW w:w="2090" w:type="dxa"/>
            <w:tcBorders/>
            <w:shd w:fill="EEEEEE" w:val="clear"/>
            <w:tcMar>
              <w:bottom w:w="0" w:type="dxa"/>
            </w:tcMar>
            <w:vAlign w:val="center"/>
          </w:tcPr>
          <w:p>
            <w:pPr>
              <w:pStyle w:val="TableContents"/>
              <w:bidi w:val="0"/>
              <w:spacing w:before="0" w:after="283"/>
              <w:jc w:val="center"/>
              <w:rPr/>
            </w:pPr>
            <w:r>
              <w:rPr/>
              <w:t>COMMON STOCK</w:t>
            </w:r>
          </w:p>
        </w:tc>
        <w:tc>
          <w:tcPr>
            <w:tcW w:w="60" w:type="dxa"/>
            <w:tcBorders/>
            <w:shd w:fill="EEEEEE" w:val="clear"/>
            <w:tcMar>
              <w:bottom w:w="0" w:type="dxa"/>
            </w:tcMar>
            <w:vAlign w:val="center"/>
          </w:tcPr>
          <w:p>
            <w:pPr>
              <w:pStyle w:val="TableContents"/>
              <w:bidi w:val="0"/>
              <w:spacing w:before="0" w:after="283"/>
              <w:jc w:val="left"/>
              <w:rPr/>
            </w:pPr>
            <w:r>
              <w:rPr/>
              <w:t> </w:t>
            </w:r>
          </w:p>
        </w:tc>
        <w:tc>
          <w:tcPr>
            <w:tcW w:w="139" w:type="dxa"/>
            <w:tcBorders/>
            <w:shd w:fill="EEEEEE" w:val="clear"/>
            <w:tcMar>
              <w:bottom w:w="0" w:type="dxa"/>
            </w:tcMar>
            <w:vAlign w:val="center"/>
          </w:tcPr>
          <w:p>
            <w:pPr>
              <w:pStyle w:val="TableContents"/>
              <w:bidi w:val="0"/>
              <w:spacing w:before="0" w:after="283"/>
              <w:jc w:val="center"/>
              <w:rPr/>
            </w:pPr>
            <w:r>
              <w:rPr/>
              <w:t> </w:t>
            </w:r>
          </w:p>
        </w:tc>
        <w:tc>
          <w:tcPr>
            <w:tcW w:w="1605" w:type="dxa"/>
            <w:tcBorders/>
            <w:shd w:fill="EEEEEE" w:val="clear"/>
            <w:tcMar>
              <w:bottom w:w="0" w:type="dxa"/>
            </w:tcMar>
            <w:vAlign w:val="center"/>
          </w:tcPr>
          <w:p>
            <w:pPr>
              <w:pStyle w:val="TableContents"/>
              <w:bidi w:val="0"/>
              <w:spacing w:before="0" w:after="283"/>
              <w:jc w:val="center"/>
              <w:rPr/>
            </w:pPr>
            <w:r>
              <w:rPr/>
              <w:t>24,800</w:t>
            </w:r>
          </w:p>
        </w:tc>
        <w:tc>
          <w:tcPr>
            <w:tcW w:w="75" w:type="dxa"/>
            <w:tcBorders/>
            <w:shd w:fill="EEEEEE"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76" w:name="k_027"/>
      <w:bookmarkEnd w:id="876"/>
      <w:r>
        <w:rPr>
          <w:rFonts w:ascii="Times New Roman;Times;Serif" w:hAnsi="Times New Roman;Times;Serif"/>
          <w:b/>
          <w:i w:val="false"/>
          <w:caps w:val="false"/>
          <w:smallCaps w:val="false"/>
          <w:sz w:val="20"/>
        </w:rPr>
        <w:t>ITEM 11. EXECUTIVE COMPENSATION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OFFICE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Summary Compensation 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information regarding the total compensation earned by our executive officers who were serving as executive officers as of June 30, 2023 for services rendered in all capacities to us for the fiscal years ended June 30, 2023 and 2022.</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194"/>
        <w:gridCol w:w="60"/>
        <w:gridCol w:w="530"/>
        <w:gridCol w:w="60"/>
        <w:gridCol w:w="800"/>
        <w:gridCol w:w="60"/>
        <w:gridCol w:w="800"/>
        <w:gridCol w:w="60"/>
        <w:gridCol w:w="1678"/>
        <w:gridCol w:w="60"/>
        <w:gridCol w:w="680"/>
        <w:gridCol w:w="286"/>
        <w:gridCol w:w="60"/>
        <w:gridCol w:w="800"/>
        <w:gridCol w:w="77"/>
      </w:tblGrid>
      <w:tr>
        <w:trPr/>
        <w:tc>
          <w:tcPr>
            <w:tcW w:w="4194" w:type="dxa"/>
            <w:tcBorders>
              <w:bottom w:val="single" w:sz="8" w:space="0" w:color="000000"/>
            </w:tcBorders>
            <w:vAlign w:val="center"/>
          </w:tcPr>
          <w:p>
            <w:pPr>
              <w:pStyle w:val="TableContents"/>
              <w:bidi w:val="0"/>
              <w:spacing w:before="0" w:after="283"/>
              <w:jc w:val="left"/>
              <w:rPr>
                <w:b/>
              </w:rPr>
            </w:pPr>
            <w:r>
              <w:rPr>
                <w:b/>
              </w:rPr>
              <w:t>Name and Principal Position</w:t>
            </w:r>
          </w:p>
        </w:tc>
        <w:tc>
          <w:tcPr>
            <w:tcW w:w="60" w:type="dxa"/>
            <w:tcBorders/>
            <w:tcMar>
              <w:bottom w:w="0" w:type="dxa"/>
            </w:tcMar>
            <w:vAlign w:val="center"/>
          </w:tcPr>
          <w:p>
            <w:pPr>
              <w:pStyle w:val="TableContents"/>
              <w:bidi w:val="0"/>
              <w:spacing w:before="0" w:after="283"/>
              <w:jc w:val="left"/>
              <w:rPr/>
            </w:pPr>
            <w:r>
              <w:rPr/>
              <w:t> </w:t>
            </w:r>
          </w:p>
        </w:tc>
        <w:tc>
          <w:tcPr>
            <w:tcW w:w="530" w:type="dxa"/>
            <w:tcBorders>
              <w:bottom w:val="single" w:sz="8" w:space="0" w:color="000000"/>
            </w:tcBorders>
            <w:vAlign w:val="center"/>
          </w:tcPr>
          <w:p>
            <w:pPr>
              <w:pStyle w:val="TableContents"/>
              <w:bidi w:val="0"/>
              <w:spacing w:before="0" w:after="283"/>
              <w:jc w:val="center"/>
              <w:rPr>
                <w:b/>
              </w:rPr>
            </w:pPr>
            <w:r>
              <w:rPr>
                <w:b/>
              </w:rPr>
              <w:t>Year</w:t>
            </w:r>
          </w:p>
        </w:tc>
        <w:tc>
          <w:tcPr>
            <w:tcW w:w="60" w:type="dxa"/>
            <w:tcBorders/>
            <w:tcMar>
              <w:bottom w:w="0" w:type="dxa"/>
            </w:tcMar>
            <w:vAlign w:val="center"/>
          </w:tcPr>
          <w:p>
            <w:pPr>
              <w:pStyle w:val="TableContents"/>
              <w:bidi w:val="0"/>
              <w:spacing w:before="0" w:after="283"/>
              <w:jc w:val="left"/>
              <w:rPr/>
            </w:pPr>
            <w:r>
              <w:rPr/>
              <w:t> </w:t>
            </w:r>
          </w:p>
        </w:tc>
        <w:tc>
          <w:tcPr>
            <w:tcW w:w="800"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Salary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p>
        </w:tc>
        <w:tc>
          <w:tcPr>
            <w:tcW w:w="60" w:type="dxa"/>
            <w:tcBorders/>
            <w:tcMar>
              <w:bottom w:w="0" w:type="dxa"/>
            </w:tcMar>
            <w:vAlign w:val="center"/>
          </w:tcPr>
          <w:p>
            <w:pPr>
              <w:pStyle w:val="TableContents"/>
              <w:bidi w:val="0"/>
              <w:spacing w:before="0" w:after="283"/>
              <w:jc w:val="left"/>
              <w:rPr/>
            </w:pPr>
            <w:r>
              <w:rPr/>
              <w:t> </w:t>
            </w:r>
          </w:p>
        </w:tc>
        <w:tc>
          <w:tcPr>
            <w:tcW w:w="800"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Bonus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p>
        </w:tc>
        <w:tc>
          <w:tcPr>
            <w:tcW w:w="60" w:type="dxa"/>
            <w:tcBorders/>
            <w:tcMar>
              <w:bottom w:w="0" w:type="dxa"/>
            </w:tcMar>
            <w:vAlign w:val="center"/>
          </w:tcPr>
          <w:p>
            <w:pPr>
              <w:pStyle w:val="TableContents"/>
              <w:bidi w:val="0"/>
              <w:spacing w:before="0" w:after="283"/>
              <w:jc w:val="left"/>
              <w:rPr/>
            </w:pPr>
            <w:r>
              <w:rPr/>
              <w:t> </w:t>
            </w:r>
          </w:p>
        </w:tc>
        <w:tc>
          <w:tcPr>
            <w:tcW w:w="1678"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Based Awards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p>
        </w:tc>
        <w:tc>
          <w:tcPr>
            <w:tcW w:w="60" w:type="dxa"/>
            <w:tcBorders/>
            <w:tcMar>
              <w:bottom w:w="0" w:type="dxa"/>
            </w:tcMar>
            <w:vAlign w:val="center"/>
          </w:tcPr>
          <w:p>
            <w:pPr>
              <w:pStyle w:val="TableContents"/>
              <w:bidi w:val="0"/>
              <w:spacing w:before="0" w:after="283"/>
              <w:jc w:val="left"/>
              <w:rPr/>
            </w:pPr>
            <w:r>
              <w:rPr/>
              <w:t> </w:t>
            </w:r>
          </w:p>
        </w:tc>
        <w:tc>
          <w:tcPr>
            <w:tcW w:w="680"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p>
        </w:tc>
        <w:tc>
          <w:tcPr>
            <w:tcW w:w="28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0"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p>
        </w:tc>
        <w:tc>
          <w:tcPr>
            <w:tcW w:w="77" w:type="dxa"/>
            <w:tcBorders/>
            <w:tcMar>
              <w:bottom w:w="0" w:type="dxa"/>
            </w:tcMar>
            <w:vAlign w:val="center"/>
          </w:tcPr>
          <w:p>
            <w:pPr>
              <w:pStyle w:val="TableContents"/>
              <w:bidi w:val="0"/>
              <w:spacing w:before="0" w:after="283"/>
              <w:jc w:val="left"/>
              <w:rPr/>
            </w:pPr>
            <w:r>
              <w:rPr/>
              <w:t> </w:t>
            </w:r>
          </w:p>
        </w:tc>
      </w:tr>
      <w:tr>
        <w:trPr/>
        <w:tc>
          <w:tcPr>
            <w:tcW w:w="4194" w:type="dxa"/>
            <w:tcBorders/>
            <w:shd w:fill="EEEEEE" w:val="clear"/>
            <w:tcMar>
              <w:bottom w:w="0" w:type="dxa"/>
            </w:tcMar>
            <w:vAlign w:val="center"/>
          </w:tcPr>
          <w:p>
            <w:pPr>
              <w:pStyle w:val="TableContents"/>
              <w:bidi w:val="0"/>
              <w:spacing w:before="0" w:after="283"/>
              <w:jc w:val="left"/>
              <w:rPr/>
            </w:pPr>
            <w:r>
              <w:rPr/>
              <w:t>Chenlong Tan</w:t>
            </w:r>
          </w:p>
        </w:tc>
        <w:tc>
          <w:tcPr>
            <w:tcW w:w="60" w:type="dxa"/>
            <w:tcBorders/>
            <w:shd w:fill="EEEEEE" w:val="clear"/>
            <w:tcMar>
              <w:bottom w:w="0" w:type="dxa"/>
            </w:tcMar>
            <w:vAlign w:val="center"/>
          </w:tcPr>
          <w:p>
            <w:pPr>
              <w:pStyle w:val="TableContents"/>
              <w:bidi w:val="0"/>
              <w:spacing w:before="0" w:after="283"/>
              <w:jc w:val="left"/>
              <w:rPr/>
            </w:pPr>
            <w:r>
              <w:rPr/>
              <w:t> </w:t>
            </w:r>
          </w:p>
        </w:tc>
        <w:tc>
          <w:tcPr>
            <w:tcW w:w="530" w:type="dxa"/>
            <w:tcBorders/>
            <w:shd w:fill="EEEEEE" w:val="clear"/>
            <w:tcMar>
              <w:bottom w:w="0" w:type="dxa"/>
            </w:tcMar>
            <w:vAlign w:val="center"/>
          </w:tcPr>
          <w:p>
            <w:pPr>
              <w:pStyle w:val="TableContents"/>
              <w:bidi w:val="0"/>
              <w:spacing w:before="0" w:after="283"/>
              <w:jc w:val="center"/>
              <w:rPr/>
            </w:pPr>
            <w:r>
              <w:rPr/>
              <w:t>2023</w:t>
            </w:r>
          </w:p>
        </w:tc>
        <w:tc>
          <w:tcPr>
            <w:tcW w:w="60" w:type="dxa"/>
            <w:tcBorders/>
            <w:shd w:fill="EEEEEE" w:val="clear"/>
            <w:tcMar>
              <w:bottom w:w="0" w:type="dxa"/>
            </w:tcMar>
            <w:vAlign w:val="center"/>
          </w:tcPr>
          <w:p>
            <w:pPr>
              <w:pStyle w:val="TableContents"/>
              <w:bidi w:val="0"/>
              <w:spacing w:before="0" w:after="283"/>
              <w:jc w:val="left"/>
              <w:rPr/>
            </w:pPr>
            <w:r>
              <w:rPr/>
              <w:t> </w:t>
            </w:r>
          </w:p>
        </w:tc>
        <w:tc>
          <w:tcPr>
            <w:tcW w:w="800" w:type="dxa"/>
            <w:tcBorders/>
            <w:shd w:fill="EEEEEE" w:val="clear"/>
            <w:tcMar>
              <w:bottom w:w="0" w:type="dxa"/>
            </w:tcMar>
            <w:vAlign w:val="center"/>
          </w:tcPr>
          <w:p>
            <w:pPr>
              <w:pStyle w:val="TableContents"/>
              <w:bidi w:val="0"/>
              <w:spacing w:before="0" w:after="283"/>
              <w:jc w:val="right"/>
              <w:rPr/>
            </w:pPr>
            <w:r>
              <w:rPr/>
              <w:t>264,000</w:t>
            </w:r>
          </w:p>
        </w:tc>
        <w:tc>
          <w:tcPr>
            <w:tcW w:w="60" w:type="dxa"/>
            <w:tcBorders/>
            <w:shd w:fill="EEEEEE" w:val="clear"/>
            <w:tcMar>
              <w:bottom w:w="0" w:type="dxa"/>
            </w:tcMar>
            <w:vAlign w:val="center"/>
          </w:tcPr>
          <w:p>
            <w:pPr>
              <w:pStyle w:val="TableContents"/>
              <w:bidi w:val="0"/>
              <w:spacing w:before="0" w:after="283"/>
              <w:jc w:val="left"/>
              <w:rPr/>
            </w:pPr>
            <w:r>
              <w:rPr/>
              <w:t> </w:t>
            </w:r>
          </w:p>
        </w:tc>
        <w:tc>
          <w:tcPr>
            <w:tcW w:w="800" w:type="dxa"/>
            <w:tcBorders/>
            <w:shd w:fill="EEEEEE" w:val="clear"/>
            <w:tcMar>
              <w:bottom w:w="0" w:type="dxa"/>
            </w:tcMar>
            <w:vAlign w:val="center"/>
          </w:tcPr>
          <w:p>
            <w:pPr>
              <w:pStyle w:val="TableContents"/>
              <w:bidi w:val="0"/>
              <w:spacing w:before="0" w:after="283"/>
              <w:jc w:val="right"/>
              <w:rPr/>
            </w:pPr>
            <w:r>
              <w:rPr/>
              <w:t>–</w:t>
            </w:r>
          </w:p>
        </w:tc>
        <w:tc>
          <w:tcPr>
            <w:tcW w:w="60" w:type="dxa"/>
            <w:tcBorders/>
            <w:shd w:fill="EEEEEE" w:val="clear"/>
            <w:tcMar>
              <w:bottom w:w="0" w:type="dxa"/>
            </w:tcMar>
            <w:vAlign w:val="center"/>
          </w:tcPr>
          <w:p>
            <w:pPr>
              <w:pStyle w:val="TableContents"/>
              <w:bidi w:val="0"/>
              <w:spacing w:before="0" w:after="283"/>
              <w:jc w:val="left"/>
              <w:rPr/>
            </w:pPr>
            <w:r>
              <w:rPr/>
              <w:t> </w:t>
            </w:r>
          </w:p>
        </w:tc>
        <w:tc>
          <w:tcPr>
            <w:tcW w:w="1678" w:type="dxa"/>
            <w:tcBorders/>
            <w:shd w:fill="EEEEEE" w:val="clear"/>
            <w:tcMar>
              <w:bottom w:w="0" w:type="dxa"/>
            </w:tcMar>
            <w:vAlign w:val="center"/>
          </w:tcPr>
          <w:p>
            <w:pPr>
              <w:pStyle w:val="TableContents"/>
              <w:bidi w:val="0"/>
              <w:spacing w:before="0" w:after="283"/>
              <w:jc w:val="right"/>
              <w:rPr/>
            </w:pPr>
            <w:r>
              <w:rPr/>
              <w:t>–</w:t>
            </w:r>
          </w:p>
        </w:tc>
        <w:tc>
          <w:tcPr>
            <w:tcW w:w="60" w:type="dxa"/>
            <w:tcBorders/>
            <w:shd w:fill="EEEEEE" w:val="clear"/>
            <w:tcMar>
              <w:bottom w:w="0" w:type="dxa"/>
            </w:tcMar>
            <w:vAlign w:val="center"/>
          </w:tcPr>
          <w:p>
            <w:pPr>
              <w:pStyle w:val="TableContents"/>
              <w:bidi w:val="0"/>
              <w:spacing w:before="0" w:after="283"/>
              <w:jc w:val="left"/>
              <w:rPr/>
            </w:pPr>
            <w:r>
              <w:rPr/>
              <w:t> </w:t>
            </w:r>
          </w:p>
        </w:tc>
        <w:tc>
          <w:tcPr>
            <w:tcW w:w="680" w:type="dxa"/>
            <w:tcBorders/>
            <w:shd w:fill="EEEEEE" w:val="clear"/>
            <w:tcMar>
              <w:bottom w:w="0" w:type="dxa"/>
            </w:tcMar>
            <w:vAlign w:val="center"/>
          </w:tcPr>
          <w:p>
            <w:pPr>
              <w:pStyle w:val="TableContents"/>
              <w:bidi w:val="0"/>
              <w:spacing w:before="0" w:after="283"/>
              <w:jc w:val="right"/>
              <w:rPr/>
            </w:pPr>
            <w:r>
              <w:rPr/>
              <w:t>62,647</w:t>
            </w:r>
          </w:p>
        </w:tc>
        <w:tc>
          <w:tcPr>
            <w:tcW w:w="286" w:type="dxa"/>
            <w:tcBorders/>
            <w:shd w:fill="EEEEEE" w:val="clear"/>
            <w:tcMar>
              <w:bottom w:w="0" w:type="dxa"/>
            </w:tcMar>
            <w:vAlign w:val="center"/>
          </w:tcPr>
          <w:p>
            <w:pPr>
              <w:pStyle w:val="TableContents"/>
              <w:bidi w:val="0"/>
              <w:spacing w:before="0" w:after="283"/>
              <w:jc w:val="left"/>
              <w:rPr/>
            </w:pPr>
            <w:r>
              <w:rPr/>
              <w:t>(1)</w:t>
            </w:r>
          </w:p>
        </w:tc>
        <w:tc>
          <w:tcPr>
            <w:tcW w:w="60" w:type="dxa"/>
            <w:tcBorders/>
            <w:shd w:fill="EEEEEE" w:val="clear"/>
            <w:tcMar>
              <w:bottom w:w="0" w:type="dxa"/>
            </w:tcMar>
            <w:vAlign w:val="center"/>
          </w:tcPr>
          <w:p>
            <w:pPr>
              <w:pStyle w:val="TableContents"/>
              <w:bidi w:val="0"/>
              <w:spacing w:before="0" w:after="283"/>
              <w:jc w:val="left"/>
              <w:rPr/>
            </w:pPr>
            <w:r>
              <w:rPr/>
              <w:t> </w:t>
            </w:r>
          </w:p>
        </w:tc>
        <w:tc>
          <w:tcPr>
            <w:tcW w:w="800" w:type="dxa"/>
            <w:tcBorders/>
            <w:shd w:fill="EEEEEE" w:val="clear"/>
            <w:tcMar>
              <w:bottom w:w="0" w:type="dxa"/>
            </w:tcMar>
            <w:vAlign w:val="center"/>
          </w:tcPr>
          <w:p>
            <w:pPr>
              <w:pStyle w:val="TableContents"/>
              <w:bidi w:val="0"/>
              <w:spacing w:before="0" w:after="283"/>
              <w:jc w:val="right"/>
              <w:rPr/>
            </w:pPr>
            <w:r>
              <w:rPr/>
              <w:t>326,647</w:t>
            </w:r>
          </w:p>
        </w:tc>
        <w:tc>
          <w:tcPr>
            <w:tcW w:w="77" w:type="dxa"/>
            <w:tcBorders/>
            <w:shd w:fill="EEEEEE" w:val="clear"/>
            <w:tcMar>
              <w:bottom w:w="0" w:type="dxa"/>
            </w:tcMar>
            <w:vAlign w:val="center"/>
          </w:tcPr>
          <w:p>
            <w:pPr>
              <w:pStyle w:val="TableContents"/>
              <w:bidi w:val="0"/>
              <w:spacing w:before="0" w:after="283"/>
              <w:jc w:val="left"/>
              <w:rPr/>
            </w:pPr>
            <w:r>
              <w:rPr/>
              <w:t> </w:t>
            </w:r>
          </w:p>
        </w:tc>
      </w:tr>
      <w:tr>
        <w:trPr/>
        <w:tc>
          <w:tcPr>
            <w:tcW w:w="4194" w:type="dxa"/>
            <w:tcBorders/>
            <w:shd w:fill="EEEEEE" w:val="clear"/>
            <w:tcMar>
              <w:bottom w:w="0" w:type="dxa"/>
            </w:tcMar>
            <w:vAlign w:val="center"/>
          </w:tcPr>
          <w:p>
            <w:pPr>
              <w:pStyle w:val="TableContents"/>
              <w:bidi w:val="0"/>
              <w:spacing w:before="0" w:after="283"/>
              <w:jc w:val="left"/>
              <w:rPr>
                <w:i/>
              </w:rPr>
            </w:pPr>
            <w:r>
              <w:rPr>
                <w:i/>
              </w:rPr>
              <w:t>Chairman, Chief Executive Officer, President</w:t>
            </w:r>
          </w:p>
        </w:tc>
        <w:tc>
          <w:tcPr>
            <w:tcW w:w="60" w:type="dxa"/>
            <w:tcBorders/>
            <w:shd w:fill="EEEEEE" w:val="clear"/>
            <w:tcMar>
              <w:bottom w:w="0" w:type="dxa"/>
            </w:tcMar>
            <w:vAlign w:val="center"/>
          </w:tcPr>
          <w:p>
            <w:pPr>
              <w:pStyle w:val="TableContents"/>
              <w:bidi w:val="0"/>
              <w:spacing w:before="0" w:after="283"/>
              <w:jc w:val="left"/>
              <w:rPr/>
            </w:pPr>
            <w:r>
              <w:rPr/>
              <w:t> </w:t>
            </w:r>
          </w:p>
        </w:tc>
        <w:tc>
          <w:tcPr>
            <w:tcW w:w="530" w:type="dxa"/>
            <w:tcBorders/>
            <w:shd w:fill="EEEEEE" w:val="clear"/>
            <w:tcMar>
              <w:bottom w:w="0" w:type="dxa"/>
            </w:tcMar>
            <w:vAlign w:val="center"/>
          </w:tcPr>
          <w:p>
            <w:pPr>
              <w:pStyle w:val="TableContents"/>
              <w:bidi w:val="0"/>
              <w:spacing w:before="0" w:after="283"/>
              <w:jc w:val="center"/>
              <w:rPr/>
            </w:pPr>
            <w:r>
              <w:rPr/>
              <w:t>2022</w:t>
            </w:r>
          </w:p>
        </w:tc>
        <w:tc>
          <w:tcPr>
            <w:tcW w:w="60" w:type="dxa"/>
            <w:tcBorders/>
            <w:shd w:fill="EEEEEE" w:val="clear"/>
            <w:tcMar>
              <w:bottom w:w="0" w:type="dxa"/>
            </w:tcMar>
            <w:vAlign w:val="center"/>
          </w:tcPr>
          <w:p>
            <w:pPr>
              <w:pStyle w:val="TableContents"/>
              <w:bidi w:val="0"/>
              <w:spacing w:before="0" w:after="283"/>
              <w:jc w:val="left"/>
              <w:rPr/>
            </w:pPr>
            <w:r>
              <w:rPr/>
              <w:t> </w:t>
            </w:r>
          </w:p>
        </w:tc>
        <w:tc>
          <w:tcPr>
            <w:tcW w:w="800" w:type="dxa"/>
            <w:tcBorders/>
            <w:shd w:fill="EEEEEE" w:val="clear"/>
            <w:tcMar>
              <w:bottom w:w="0" w:type="dxa"/>
            </w:tcMar>
            <w:vAlign w:val="center"/>
          </w:tcPr>
          <w:p>
            <w:pPr>
              <w:pStyle w:val="TableContents"/>
              <w:bidi w:val="0"/>
              <w:spacing w:before="0" w:after="283"/>
              <w:jc w:val="right"/>
              <w:rPr/>
            </w:pPr>
            <w:r>
              <w:rPr/>
              <w:t>264,000</w:t>
            </w:r>
          </w:p>
        </w:tc>
        <w:tc>
          <w:tcPr>
            <w:tcW w:w="60" w:type="dxa"/>
            <w:tcBorders/>
            <w:shd w:fill="EEEEEE" w:val="clear"/>
            <w:tcMar>
              <w:bottom w:w="0" w:type="dxa"/>
            </w:tcMar>
            <w:vAlign w:val="center"/>
          </w:tcPr>
          <w:p>
            <w:pPr>
              <w:pStyle w:val="TableContents"/>
              <w:bidi w:val="0"/>
              <w:spacing w:before="0" w:after="283"/>
              <w:jc w:val="left"/>
              <w:rPr/>
            </w:pPr>
            <w:r>
              <w:rPr/>
              <w:t> </w:t>
            </w:r>
          </w:p>
        </w:tc>
        <w:tc>
          <w:tcPr>
            <w:tcW w:w="800" w:type="dxa"/>
            <w:tcBorders/>
            <w:shd w:fill="EEEEEE" w:val="clear"/>
            <w:tcMar>
              <w:bottom w:w="0" w:type="dxa"/>
            </w:tcMar>
            <w:vAlign w:val="center"/>
          </w:tcPr>
          <w:p>
            <w:pPr>
              <w:pStyle w:val="TableContents"/>
              <w:bidi w:val="0"/>
              <w:spacing w:before="0" w:after="283"/>
              <w:jc w:val="right"/>
              <w:rPr/>
            </w:pPr>
            <w:r>
              <w:rPr/>
              <w:t>94,250</w:t>
            </w:r>
          </w:p>
        </w:tc>
        <w:tc>
          <w:tcPr>
            <w:tcW w:w="60" w:type="dxa"/>
            <w:tcBorders/>
            <w:shd w:fill="EEEEEE" w:val="clear"/>
            <w:tcMar>
              <w:bottom w:w="0" w:type="dxa"/>
            </w:tcMar>
            <w:vAlign w:val="center"/>
          </w:tcPr>
          <w:p>
            <w:pPr>
              <w:pStyle w:val="TableContents"/>
              <w:bidi w:val="0"/>
              <w:spacing w:before="0" w:after="283"/>
              <w:jc w:val="left"/>
              <w:rPr/>
            </w:pPr>
            <w:r>
              <w:rPr/>
              <w:t> </w:t>
            </w:r>
          </w:p>
        </w:tc>
        <w:tc>
          <w:tcPr>
            <w:tcW w:w="1678" w:type="dxa"/>
            <w:tcBorders/>
            <w:shd w:fill="EEEEEE" w:val="clear"/>
            <w:tcMar>
              <w:bottom w:w="0" w:type="dxa"/>
            </w:tcMar>
            <w:vAlign w:val="center"/>
          </w:tcPr>
          <w:p>
            <w:pPr>
              <w:pStyle w:val="TableContents"/>
              <w:bidi w:val="0"/>
              <w:spacing w:before="0" w:after="283"/>
              <w:jc w:val="right"/>
              <w:rPr/>
            </w:pPr>
            <w:r>
              <w:rPr/>
              <w:t>–</w:t>
            </w:r>
          </w:p>
        </w:tc>
        <w:tc>
          <w:tcPr>
            <w:tcW w:w="60" w:type="dxa"/>
            <w:tcBorders/>
            <w:shd w:fill="EEEEEE" w:val="clear"/>
            <w:tcMar>
              <w:bottom w:w="0" w:type="dxa"/>
            </w:tcMar>
            <w:vAlign w:val="center"/>
          </w:tcPr>
          <w:p>
            <w:pPr>
              <w:pStyle w:val="TableContents"/>
              <w:bidi w:val="0"/>
              <w:spacing w:before="0" w:after="283"/>
              <w:jc w:val="left"/>
              <w:rPr/>
            </w:pPr>
            <w:r>
              <w:rPr/>
              <w:t> </w:t>
            </w:r>
          </w:p>
        </w:tc>
        <w:tc>
          <w:tcPr>
            <w:tcW w:w="680" w:type="dxa"/>
            <w:tcBorders/>
            <w:shd w:fill="EEEEEE" w:val="clear"/>
            <w:tcMar>
              <w:bottom w:w="0" w:type="dxa"/>
            </w:tcMar>
            <w:vAlign w:val="center"/>
          </w:tcPr>
          <w:p>
            <w:pPr>
              <w:pStyle w:val="TableContents"/>
              <w:bidi w:val="0"/>
              <w:spacing w:before="0" w:after="283"/>
              <w:jc w:val="right"/>
              <w:rPr/>
            </w:pPr>
            <w:r>
              <w:rPr/>
              <w:t>62,647</w:t>
            </w:r>
          </w:p>
        </w:tc>
        <w:tc>
          <w:tcPr>
            <w:tcW w:w="286" w:type="dxa"/>
            <w:tcBorders/>
            <w:shd w:fill="EEEEEE" w:val="clear"/>
            <w:tcMar>
              <w:bottom w:w="0" w:type="dxa"/>
            </w:tcMar>
            <w:vAlign w:val="center"/>
          </w:tcPr>
          <w:p>
            <w:pPr>
              <w:pStyle w:val="TableContents"/>
              <w:bidi w:val="0"/>
              <w:spacing w:before="0" w:after="283"/>
              <w:jc w:val="left"/>
              <w:rPr/>
            </w:pPr>
            <w:r>
              <w:rPr/>
              <w:t>(1)</w:t>
            </w:r>
          </w:p>
        </w:tc>
        <w:tc>
          <w:tcPr>
            <w:tcW w:w="60" w:type="dxa"/>
            <w:tcBorders/>
            <w:shd w:fill="EEEEEE" w:val="clear"/>
            <w:tcMar>
              <w:bottom w:w="0" w:type="dxa"/>
            </w:tcMar>
            <w:vAlign w:val="center"/>
          </w:tcPr>
          <w:p>
            <w:pPr>
              <w:pStyle w:val="TableContents"/>
              <w:bidi w:val="0"/>
              <w:spacing w:before="0" w:after="283"/>
              <w:jc w:val="left"/>
              <w:rPr/>
            </w:pPr>
            <w:r>
              <w:rPr/>
              <w:t> </w:t>
            </w:r>
          </w:p>
        </w:tc>
        <w:tc>
          <w:tcPr>
            <w:tcW w:w="800" w:type="dxa"/>
            <w:tcBorders/>
            <w:shd w:fill="EEEEEE" w:val="clear"/>
            <w:tcMar>
              <w:bottom w:w="0" w:type="dxa"/>
            </w:tcMar>
            <w:vAlign w:val="center"/>
          </w:tcPr>
          <w:p>
            <w:pPr>
              <w:pStyle w:val="TableContents"/>
              <w:bidi w:val="0"/>
              <w:spacing w:before="0" w:after="283"/>
              <w:jc w:val="right"/>
              <w:rPr/>
            </w:pPr>
            <w:r>
              <w:rPr/>
              <w:t>420,897</w:t>
            </w:r>
          </w:p>
        </w:tc>
        <w:tc>
          <w:tcPr>
            <w:tcW w:w="77" w:type="dxa"/>
            <w:tcBorders/>
            <w:shd w:fill="EEEEEE" w:val="clear"/>
            <w:tcMar>
              <w:bottom w:w="0" w:type="dxa"/>
            </w:tcMar>
            <w:vAlign w:val="center"/>
          </w:tcPr>
          <w:p>
            <w:pPr>
              <w:pStyle w:val="TableContents"/>
              <w:bidi w:val="0"/>
              <w:spacing w:before="0" w:after="283"/>
              <w:jc w:val="left"/>
              <w:rPr/>
            </w:pPr>
            <w:r>
              <w:rPr/>
              <w:t> </w:t>
            </w:r>
          </w:p>
        </w:tc>
      </w:tr>
      <w:tr>
        <w:trPr/>
        <w:tc>
          <w:tcPr>
            <w:tcW w:w="419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1678"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283"/>
              <w:jc w:val="right"/>
              <w:rPr/>
            </w:pPr>
            <w:r>
              <w:rPr/>
              <w:t> </w:t>
            </w:r>
          </w:p>
        </w:tc>
        <w:tc>
          <w:tcPr>
            <w:tcW w:w="28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right"/>
              <w:rPr/>
            </w:pPr>
            <w:r>
              <w:rPr/>
              <w:t> </w:t>
            </w:r>
          </w:p>
        </w:tc>
        <w:tc>
          <w:tcPr>
            <w:tcW w:w="77" w:type="dxa"/>
            <w:tcBorders/>
            <w:tcMar>
              <w:bottom w:w="0" w:type="dxa"/>
            </w:tcMar>
            <w:vAlign w:val="center"/>
          </w:tcPr>
          <w:p>
            <w:pPr>
              <w:pStyle w:val="TableContents"/>
              <w:bidi w:val="0"/>
              <w:spacing w:before="0" w:after="283"/>
              <w:jc w:val="left"/>
              <w:rPr/>
            </w:pPr>
            <w:r>
              <w:rPr/>
              <w:t> </w:t>
            </w:r>
          </w:p>
        </w:tc>
      </w:tr>
      <w:tr>
        <w:trPr/>
        <w:tc>
          <w:tcPr>
            <w:tcW w:w="4194" w:type="dxa"/>
            <w:tcBorders/>
            <w:shd w:fill="EEEEEE" w:val="clear"/>
            <w:tcMar>
              <w:bottom w:w="0" w:type="dxa"/>
            </w:tcMar>
            <w:vAlign w:val="center"/>
          </w:tcPr>
          <w:p>
            <w:pPr>
              <w:pStyle w:val="TableContents"/>
              <w:bidi w:val="0"/>
              <w:spacing w:before="0" w:after="283"/>
              <w:jc w:val="left"/>
              <w:rPr/>
            </w:pPr>
            <w:r>
              <w:rPr/>
              <w:t>Kevin Vassily</w:t>
            </w:r>
          </w:p>
        </w:tc>
        <w:tc>
          <w:tcPr>
            <w:tcW w:w="60" w:type="dxa"/>
            <w:tcBorders/>
            <w:shd w:fill="EEEEEE" w:val="clear"/>
            <w:tcMar>
              <w:bottom w:w="0" w:type="dxa"/>
            </w:tcMar>
            <w:vAlign w:val="center"/>
          </w:tcPr>
          <w:p>
            <w:pPr>
              <w:pStyle w:val="TableContents"/>
              <w:bidi w:val="0"/>
              <w:spacing w:before="0" w:after="283"/>
              <w:jc w:val="left"/>
              <w:rPr/>
            </w:pPr>
            <w:r>
              <w:rPr/>
              <w:t> </w:t>
            </w:r>
          </w:p>
        </w:tc>
        <w:tc>
          <w:tcPr>
            <w:tcW w:w="530" w:type="dxa"/>
            <w:tcBorders/>
            <w:shd w:fill="EEEEEE" w:val="clear"/>
            <w:tcMar>
              <w:bottom w:w="0" w:type="dxa"/>
            </w:tcMar>
            <w:vAlign w:val="center"/>
          </w:tcPr>
          <w:p>
            <w:pPr>
              <w:pStyle w:val="TableContents"/>
              <w:bidi w:val="0"/>
              <w:spacing w:before="0" w:after="283"/>
              <w:jc w:val="center"/>
              <w:rPr/>
            </w:pPr>
            <w:r>
              <w:rPr/>
              <w:t>2023</w:t>
            </w:r>
          </w:p>
        </w:tc>
        <w:tc>
          <w:tcPr>
            <w:tcW w:w="60" w:type="dxa"/>
            <w:tcBorders/>
            <w:shd w:fill="EEEEEE" w:val="clear"/>
            <w:tcMar>
              <w:bottom w:w="0" w:type="dxa"/>
            </w:tcMar>
            <w:vAlign w:val="center"/>
          </w:tcPr>
          <w:p>
            <w:pPr>
              <w:pStyle w:val="TableContents"/>
              <w:bidi w:val="0"/>
              <w:spacing w:before="0" w:after="283"/>
              <w:jc w:val="left"/>
              <w:rPr/>
            </w:pPr>
            <w:r>
              <w:rPr/>
              <w:t> </w:t>
            </w:r>
          </w:p>
        </w:tc>
        <w:tc>
          <w:tcPr>
            <w:tcW w:w="800" w:type="dxa"/>
            <w:tcBorders/>
            <w:shd w:fill="EEEEEE" w:val="clear"/>
            <w:tcMar>
              <w:bottom w:w="0" w:type="dxa"/>
            </w:tcMar>
            <w:vAlign w:val="center"/>
          </w:tcPr>
          <w:p>
            <w:pPr>
              <w:pStyle w:val="TableContents"/>
              <w:bidi w:val="0"/>
              <w:spacing w:before="0" w:after="283"/>
              <w:jc w:val="right"/>
              <w:rPr/>
            </w:pPr>
            <w:r>
              <w:rPr/>
              <w:t>240,000</w:t>
            </w:r>
          </w:p>
        </w:tc>
        <w:tc>
          <w:tcPr>
            <w:tcW w:w="60" w:type="dxa"/>
            <w:tcBorders/>
            <w:shd w:fill="EEEEEE" w:val="clear"/>
            <w:tcMar>
              <w:bottom w:w="0" w:type="dxa"/>
            </w:tcMar>
            <w:vAlign w:val="center"/>
          </w:tcPr>
          <w:p>
            <w:pPr>
              <w:pStyle w:val="TableContents"/>
              <w:bidi w:val="0"/>
              <w:spacing w:before="0" w:after="283"/>
              <w:jc w:val="left"/>
              <w:rPr/>
            </w:pPr>
            <w:r>
              <w:rPr/>
              <w:t> </w:t>
            </w:r>
          </w:p>
        </w:tc>
        <w:tc>
          <w:tcPr>
            <w:tcW w:w="800" w:type="dxa"/>
            <w:tcBorders/>
            <w:shd w:fill="EEEEEE" w:val="clear"/>
            <w:tcMar>
              <w:bottom w:w="0" w:type="dxa"/>
            </w:tcMar>
            <w:vAlign w:val="center"/>
          </w:tcPr>
          <w:p>
            <w:pPr>
              <w:pStyle w:val="TableContents"/>
              <w:bidi w:val="0"/>
              <w:spacing w:before="0" w:after="283"/>
              <w:jc w:val="right"/>
              <w:rPr/>
            </w:pPr>
            <w:r>
              <w:rPr/>
              <w:t>–</w:t>
            </w:r>
          </w:p>
        </w:tc>
        <w:tc>
          <w:tcPr>
            <w:tcW w:w="60" w:type="dxa"/>
            <w:tcBorders/>
            <w:shd w:fill="EEEEEE" w:val="clear"/>
            <w:tcMar>
              <w:bottom w:w="0" w:type="dxa"/>
            </w:tcMar>
            <w:vAlign w:val="center"/>
          </w:tcPr>
          <w:p>
            <w:pPr>
              <w:pStyle w:val="TableContents"/>
              <w:bidi w:val="0"/>
              <w:spacing w:before="0" w:after="283"/>
              <w:jc w:val="left"/>
              <w:rPr/>
            </w:pPr>
            <w:r>
              <w:rPr/>
              <w:t> </w:t>
            </w:r>
          </w:p>
        </w:tc>
        <w:tc>
          <w:tcPr>
            <w:tcW w:w="1678" w:type="dxa"/>
            <w:tcBorders/>
            <w:shd w:fill="EEEEEE" w:val="clear"/>
            <w:tcMar>
              <w:bottom w:w="0" w:type="dxa"/>
            </w:tcMar>
            <w:vAlign w:val="center"/>
          </w:tcPr>
          <w:p>
            <w:pPr>
              <w:pStyle w:val="TableContents"/>
              <w:bidi w:val="0"/>
              <w:spacing w:before="0" w:after="283"/>
              <w:jc w:val="right"/>
              <w:rPr/>
            </w:pPr>
            <w:r>
              <w:rPr/>
              <w:t>–</w:t>
            </w:r>
          </w:p>
        </w:tc>
        <w:tc>
          <w:tcPr>
            <w:tcW w:w="60" w:type="dxa"/>
            <w:tcBorders/>
            <w:shd w:fill="EEEEEE" w:val="clear"/>
            <w:tcMar>
              <w:bottom w:w="0" w:type="dxa"/>
            </w:tcMar>
            <w:vAlign w:val="center"/>
          </w:tcPr>
          <w:p>
            <w:pPr>
              <w:pStyle w:val="TableContents"/>
              <w:bidi w:val="0"/>
              <w:spacing w:before="0" w:after="283"/>
              <w:jc w:val="left"/>
              <w:rPr/>
            </w:pPr>
            <w:r>
              <w:rPr/>
              <w:t> </w:t>
            </w:r>
          </w:p>
        </w:tc>
        <w:tc>
          <w:tcPr>
            <w:tcW w:w="680" w:type="dxa"/>
            <w:tcBorders/>
            <w:shd w:fill="EEEEEE" w:val="clear"/>
            <w:tcMar>
              <w:bottom w:w="0" w:type="dxa"/>
            </w:tcMar>
            <w:vAlign w:val="center"/>
          </w:tcPr>
          <w:p>
            <w:pPr>
              <w:pStyle w:val="TableContents"/>
              <w:bidi w:val="0"/>
              <w:spacing w:before="0" w:after="283"/>
              <w:jc w:val="right"/>
              <w:rPr/>
            </w:pPr>
            <w:r>
              <w:rPr/>
              <w:t>–</w:t>
            </w:r>
          </w:p>
        </w:tc>
        <w:tc>
          <w:tcPr>
            <w:tcW w:w="286"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800" w:type="dxa"/>
            <w:tcBorders/>
            <w:shd w:fill="EEEEEE" w:val="clear"/>
            <w:tcMar>
              <w:bottom w:w="0" w:type="dxa"/>
            </w:tcMar>
            <w:vAlign w:val="center"/>
          </w:tcPr>
          <w:p>
            <w:pPr>
              <w:pStyle w:val="TableContents"/>
              <w:bidi w:val="0"/>
              <w:spacing w:before="0" w:after="283"/>
              <w:jc w:val="right"/>
              <w:rPr/>
            </w:pPr>
            <w:r>
              <w:rPr/>
              <w:t>240,000</w:t>
            </w:r>
          </w:p>
        </w:tc>
        <w:tc>
          <w:tcPr>
            <w:tcW w:w="77" w:type="dxa"/>
            <w:tcBorders/>
            <w:shd w:fill="EEEEEE" w:val="clear"/>
            <w:tcMar>
              <w:bottom w:w="0" w:type="dxa"/>
            </w:tcMar>
            <w:vAlign w:val="center"/>
          </w:tcPr>
          <w:p>
            <w:pPr>
              <w:pStyle w:val="TableContents"/>
              <w:bidi w:val="0"/>
              <w:spacing w:before="0" w:after="283"/>
              <w:jc w:val="left"/>
              <w:rPr/>
            </w:pPr>
            <w:r>
              <w:rPr/>
              <w:t> </w:t>
            </w:r>
          </w:p>
        </w:tc>
      </w:tr>
      <w:tr>
        <w:trPr/>
        <w:tc>
          <w:tcPr>
            <w:tcW w:w="4194" w:type="dxa"/>
            <w:tcBorders/>
            <w:shd w:fill="EEEEEE" w:val="clear"/>
            <w:tcMar>
              <w:bottom w:w="0" w:type="dxa"/>
            </w:tcMar>
            <w:vAlign w:val="center"/>
          </w:tcPr>
          <w:p>
            <w:pPr>
              <w:pStyle w:val="TableContents"/>
              <w:bidi w:val="0"/>
              <w:spacing w:before="0" w:after="283"/>
              <w:jc w:val="left"/>
              <w:rPr>
                <w:i/>
              </w:rPr>
            </w:pPr>
            <w:r>
              <w:rPr>
                <w:i/>
              </w:rPr>
              <w:t>Chief Financial Officer</w:t>
            </w:r>
          </w:p>
        </w:tc>
        <w:tc>
          <w:tcPr>
            <w:tcW w:w="60" w:type="dxa"/>
            <w:tcBorders/>
            <w:shd w:fill="EEEEEE" w:val="clear"/>
            <w:tcMar>
              <w:bottom w:w="0" w:type="dxa"/>
            </w:tcMar>
            <w:vAlign w:val="center"/>
          </w:tcPr>
          <w:p>
            <w:pPr>
              <w:pStyle w:val="TableContents"/>
              <w:bidi w:val="0"/>
              <w:spacing w:before="0" w:after="283"/>
              <w:jc w:val="left"/>
              <w:rPr/>
            </w:pPr>
            <w:r>
              <w:rPr/>
              <w:t> </w:t>
            </w:r>
          </w:p>
        </w:tc>
        <w:tc>
          <w:tcPr>
            <w:tcW w:w="530" w:type="dxa"/>
            <w:tcBorders/>
            <w:shd w:fill="EEEEEE" w:val="clear"/>
            <w:tcMar>
              <w:bottom w:w="0" w:type="dxa"/>
            </w:tcMar>
            <w:vAlign w:val="center"/>
          </w:tcPr>
          <w:p>
            <w:pPr>
              <w:pStyle w:val="TableContents"/>
              <w:bidi w:val="0"/>
              <w:spacing w:before="0" w:after="283"/>
              <w:jc w:val="center"/>
              <w:rPr/>
            </w:pPr>
            <w:r>
              <w:rPr/>
              <w:t>2022</w:t>
            </w:r>
          </w:p>
        </w:tc>
        <w:tc>
          <w:tcPr>
            <w:tcW w:w="60" w:type="dxa"/>
            <w:tcBorders/>
            <w:shd w:fill="EEEEEE" w:val="clear"/>
            <w:tcMar>
              <w:bottom w:w="0" w:type="dxa"/>
            </w:tcMar>
            <w:vAlign w:val="center"/>
          </w:tcPr>
          <w:p>
            <w:pPr>
              <w:pStyle w:val="TableContents"/>
              <w:bidi w:val="0"/>
              <w:spacing w:before="0" w:after="283"/>
              <w:jc w:val="left"/>
              <w:rPr/>
            </w:pPr>
            <w:r>
              <w:rPr/>
              <w:t> </w:t>
            </w:r>
          </w:p>
        </w:tc>
        <w:tc>
          <w:tcPr>
            <w:tcW w:w="800" w:type="dxa"/>
            <w:tcBorders/>
            <w:shd w:fill="EEEEEE" w:val="clear"/>
            <w:tcMar>
              <w:bottom w:w="0" w:type="dxa"/>
            </w:tcMar>
            <w:vAlign w:val="center"/>
          </w:tcPr>
          <w:p>
            <w:pPr>
              <w:pStyle w:val="TableContents"/>
              <w:bidi w:val="0"/>
              <w:spacing w:before="0" w:after="283"/>
              <w:jc w:val="right"/>
              <w:rPr/>
            </w:pPr>
            <w:r>
              <w:rPr/>
              <w:t>240,000</w:t>
            </w:r>
          </w:p>
        </w:tc>
        <w:tc>
          <w:tcPr>
            <w:tcW w:w="60" w:type="dxa"/>
            <w:tcBorders/>
            <w:shd w:fill="EEEEEE" w:val="clear"/>
            <w:tcMar>
              <w:bottom w:w="0" w:type="dxa"/>
            </w:tcMar>
            <w:vAlign w:val="center"/>
          </w:tcPr>
          <w:p>
            <w:pPr>
              <w:pStyle w:val="TableContents"/>
              <w:bidi w:val="0"/>
              <w:spacing w:before="0" w:after="283"/>
              <w:jc w:val="left"/>
              <w:rPr/>
            </w:pPr>
            <w:r>
              <w:rPr/>
              <w:t> </w:t>
            </w:r>
          </w:p>
        </w:tc>
        <w:tc>
          <w:tcPr>
            <w:tcW w:w="800" w:type="dxa"/>
            <w:tcBorders/>
            <w:shd w:fill="EEEEEE" w:val="clear"/>
            <w:tcMar>
              <w:bottom w:w="0" w:type="dxa"/>
            </w:tcMar>
            <w:vAlign w:val="center"/>
          </w:tcPr>
          <w:p>
            <w:pPr>
              <w:pStyle w:val="TableContents"/>
              <w:bidi w:val="0"/>
              <w:spacing w:before="0" w:after="283"/>
              <w:jc w:val="right"/>
              <w:rPr/>
            </w:pPr>
            <w:r>
              <w:rPr/>
              <w:t>120,000</w:t>
            </w:r>
          </w:p>
        </w:tc>
        <w:tc>
          <w:tcPr>
            <w:tcW w:w="60" w:type="dxa"/>
            <w:tcBorders/>
            <w:shd w:fill="EEEEEE" w:val="clear"/>
            <w:tcMar>
              <w:bottom w:w="0" w:type="dxa"/>
            </w:tcMar>
            <w:vAlign w:val="center"/>
          </w:tcPr>
          <w:p>
            <w:pPr>
              <w:pStyle w:val="TableContents"/>
              <w:bidi w:val="0"/>
              <w:spacing w:before="0" w:after="283"/>
              <w:jc w:val="left"/>
              <w:rPr/>
            </w:pPr>
            <w:r>
              <w:rPr/>
              <w:t> </w:t>
            </w:r>
          </w:p>
        </w:tc>
        <w:tc>
          <w:tcPr>
            <w:tcW w:w="1678" w:type="dxa"/>
            <w:tcBorders/>
            <w:shd w:fill="EEEEEE" w:val="clear"/>
            <w:tcMar>
              <w:bottom w:w="0" w:type="dxa"/>
            </w:tcMar>
            <w:vAlign w:val="center"/>
          </w:tcPr>
          <w:p>
            <w:pPr>
              <w:pStyle w:val="TableContents"/>
              <w:bidi w:val="0"/>
              <w:spacing w:before="0" w:after="283"/>
              <w:jc w:val="right"/>
              <w:rPr/>
            </w:pPr>
            <w:r>
              <w:rPr/>
              <w:t>60,000</w:t>
            </w:r>
          </w:p>
        </w:tc>
        <w:tc>
          <w:tcPr>
            <w:tcW w:w="60" w:type="dxa"/>
            <w:tcBorders/>
            <w:shd w:fill="EEEEEE" w:val="clear"/>
            <w:tcMar>
              <w:bottom w:w="0" w:type="dxa"/>
            </w:tcMar>
            <w:vAlign w:val="center"/>
          </w:tcPr>
          <w:p>
            <w:pPr>
              <w:pStyle w:val="TableContents"/>
              <w:bidi w:val="0"/>
              <w:spacing w:before="0" w:after="283"/>
              <w:jc w:val="left"/>
              <w:rPr/>
            </w:pPr>
            <w:r>
              <w:rPr/>
              <w:t> </w:t>
            </w:r>
          </w:p>
        </w:tc>
        <w:tc>
          <w:tcPr>
            <w:tcW w:w="680" w:type="dxa"/>
            <w:tcBorders/>
            <w:shd w:fill="EEEEEE" w:val="clear"/>
            <w:tcMar>
              <w:bottom w:w="0" w:type="dxa"/>
            </w:tcMar>
            <w:vAlign w:val="center"/>
          </w:tcPr>
          <w:p>
            <w:pPr>
              <w:pStyle w:val="TableContents"/>
              <w:bidi w:val="0"/>
              <w:spacing w:before="0" w:after="283"/>
              <w:jc w:val="right"/>
              <w:rPr/>
            </w:pPr>
            <w:r>
              <w:rPr/>
              <w:t>–</w:t>
            </w:r>
          </w:p>
        </w:tc>
        <w:tc>
          <w:tcPr>
            <w:tcW w:w="286"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800" w:type="dxa"/>
            <w:tcBorders/>
            <w:shd w:fill="EEEEEE" w:val="clear"/>
            <w:tcMar>
              <w:bottom w:w="0" w:type="dxa"/>
            </w:tcMar>
            <w:vAlign w:val="center"/>
          </w:tcPr>
          <w:p>
            <w:pPr>
              <w:pStyle w:val="TableContents"/>
              <w:bidi w:val="0"/>
              <w:spacing w:before="0" w:after="283"/>
              <w:jc w:val="right"/>
              <w:rPr/>
            </w:pPr>
            <w:r>
              <w:rPr/>
              <w:t>420,000</w:t>
            </w:r>
          </w:p>
        </w:tc>
        <w:tc>
          <w:tcPr>
            <w:tcW w:w="77" w:type="dxa"/>
            <w:tcBorders/>
            <w:shd w:fill="EEEEEE"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Consists of the costs of leasing a car.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Employment Agreement with Chenlong Tan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 2020, we entered into an employment agreement with our Chief Executive Officer, Chenlong Tan. Under Mr. Tan’s employment agreement, Mr. Tan receives base compensation of $20,000 per month, is entitled to performance cash bonus compensation based on achievement of certain pre-determined goals, and from time to time may be granted restricted common shares and/or options to purchase shares of the Company’s common stock, subject to the board of directors or Compensation Committee approval. In addition, during the term of Mr. Tan’s employment agreement, we are also leasing a motor vehicle for Mr. Tan’s daily use. Mr. Tan is not entitled to any severance rights under his employment agreement. Mr. Tan’s employment agreement has a term of five years, is thereafter renewable on an annual basis, and may be terminated upon 30 days’ notice upon the mutual agreement of Mr. Tan and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Employment Agreement with Kevin Vassily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29, 2021, we entered into an employment agreement with our Chief Financial Officer, Kevin Vassily. Under Mr. Vassily’s employment agreement, Mr. Vassily receives base compensation of $240,000, is entitled to an annual guaranteed bonus of $60,000 upon achievement of certain milestones and up to an additional $60,000 annually in the sole discretion of the Company’s board of directors. Mr. Vassily is also entitled to 12,000 restricted stock units upon completion of our IPO. Thereafter, stock grants will be adjusted based on the awards from each prior year. Mr. Vassily is not entitled to any severance rights under his employment agreement and may be terminated upon 30 days’ written notice by either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Outstanding Equity Awards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Equity Awards at June 30,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regarding outstanding equity awards held by our named executive officers as of June 30, 2023.   </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68"/>
        <w:gridCol w:w="60"/>
        <w:gridCol w:w="709"/>
        <w:gridCol w:w="60"/>
        <w:gridCol w:w="1361"/>
        <w:gridCol w:w="60"/>
        <w:gridCol w:w="1365"/>
        <w:gridCol w:w="60"/>
        <w:gridCol w:w="182"/>
        <w:gridCol w:w="573"/>
        <w:gridCol w:w="60"/>
        <w:gridCol w:w="950"/>
        <w:gridCol w:w="60"/>
        <w:gridCol w:w="1717"/>
        <w:gridCol w:w="60"/>
        <w:gridCol w:w="1783"/>
        <w:gridCol w:w="77"/>
      </w:tblGrid>
      <w:tr>
        <w:trPr/>
        <w:tc>
          <w:tcPr>
            <w:tcW w:w="106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611" w:type="dxa"/>
            <w:gridSpan w:val="8"/>
            <w:tcBorders>
              <w:bottom w:val="single" w:sz="8" w:space="0" w:color="000000"/>
            </w:tcBorders>
            <w:tcMar>
              <w:bottom w:w="28" w:type="dxa"/>
            </w:tcMar>
            <w:vAlign w:val="center"/>
          </w:tcPr>
          <w:p>
            <w:pPr>
              <w:pStyle w:val="TableContents"/>
              <w:bidi w:val="0"/>
              <w:spacing w:before="0" w:after="283"/>
              <w:jc w:val="center"/>
              <w:rPr>
                <w:b/>
              </w:rPr>
            </w:pPr>
            <w:r>
              <w:rPr>
                <w:b/>
              </w:rPr>
              <w:t>Options</w:t>
            </w:r>
          </w:p>
        </w:tc>
        <w:tc>
          <w:tcPr>
            <w:tcW w:w="60" w:type="dxa"/>
            <w:tcBorders/>
            <w:vAlign w:val="center"/>
          </w:tcPr>
          <w:p>
            <w:pPr>
              <w:pStyle w:val="TableContents"/>
              <w:bidi w:val="0"/>
              <w:spacing w:before="0" w:after="283"/>
              <w:jc w:val="left"/>
              <w:rPr/>
            </w:pPr>
            <w:r>
              <w:rPr/>
              <w:t> </w:t>
            </w:r>
          </w:p>
        </w:tc>
        <w:tc>
          <w:tcPr>
            <w:tcW w:w="356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Restricted Stock Unit Awards</w:t>
            </w:r>
          </w:p>
        </w:tc>
        <w:tc>
          <w:tcPr>
            <w:tcW w:w="77" w:type="dxa"/>
            <w:tcBorders/>
            <w:vAlign w:val="center"/>
          </w:tcPr>
          <w:p>
            <w:pPr>
              <w:pStyle w:val="TableContents"/>
              <w:bidi w:val="0"/>
              <w:spacing w:before="0" w:after="283"/>
              <w:jc w:val="left"/>
              <w:rPr/>
            </w:pPr>
            <w:r>
              <w:rPr/>
              <w:t> </w:t>
            </w:r>
          </w:p>
        </w:tc>
      </w:tr>
      <w:tr>
        <w:trPr/>
        <w:tc>
          <w:tcPr>
            <w:tcW w:w="1068" w:type="dxa"/>
            <w:tcBorders>
              <w:bottom w:val="single" w:sz="8" w:space="0" w:color="000000"/>
            </w:tcBorders>
            <w:tcMar>
              <w:bottom w:w="28" w:type="dxa"/>
            </w:tcMar>
            <w:vAlign w:val="center"/>
          </w:tcPr>
          <w:p>
            <w:pPr>
              <w:pStyle w:val="TableContents"/>
              <w:bidi w:val="0"/>
              <w:spacing w:before="0" w:after="283"/>
              <w:jc w:val="left"/>
              <w:rPr>
                <w:b/>
              </w:rPr>
            </w:pPr>
            <w:r>
              <w:rPr>
                <w:b/>
              </w:rPr>
              <w:t>Name</w:t>
            </w:r>
          </w:p>
        </w:tc>
        <w:tc>
          <w:tcPr>
            <w:tcW w:w="60" w:type="dxa"/>
            <w:tcBorders/>
            <w:vAlign w:val="center"/>
          </w:tcPr>
          <w:p>
            <w:pPr>
              <w:pStyle w:val="TableContents"/>
              <w:bidi w:val="0"/>
              <w:spacing w:before="0" w:after="283"/>
              <w:jc w:val="left"/>
              <w:rPr/>
            </w:pPr>
            <w:r>
              <w:rPr/>
              <w:t> </w:t>
            </w:r>
          </w:p>
        </w:tc>
        <w:tc>
          <w:tcPr>
            <w:tcW w:w="709" w:type="dxa"/>
            <w:tcBorders>
              <w:bottom w:val="single" w:sz="8" w:space="0" w:color="000000"/>
            </w:tcBorders>
            <w:tcMar>
              <w:bottom w:w="28" w:type="dxa"/>
            </w:tcMar>
            <w:vAlign w:val="center"/>
          </w:tcPr>
          <w:p>
            <w:pPr>
              <w:pStyle w:val="TableContents"/>
              <w:bidi w:val="0"/>
              <w:spacing w:before="0" w:after="283"/>
              <w:jc w:val="center"/>
              <w:rPr>
                <w:b/>
              </w:rPr>
            </w:pPr>
            <w:r>
              <w:rPr>
                <w:b/>
              </w:rPr>
              <w:t>Grant Date</w:t>
            </w:r>
          </w:p>
        </w:tc>
        <w:tc>
          <w:tcPr>
            <w:tcW w:w="60" w:type="dxa"/>
            <w:tcBorders/>
            <w:vAlign w:val="center"/>
          </w:tcPr>
          <w:p>
            <w:pPr>
              <w:pStyle w:val="TableContents"/>
              <w:bidi w:val="0"/>
              <w:spacing w:before="0" w:after="283"/>
              <w:jc w:val="left"/>
              <w:rPr/>
            </w:pPr>
            <w:r>
              <w:rPr/>
              <w:t> </w:t>
            </w:r>
          </w:p>
        </w:tc>
        <w:tc>
          <w:tcPr>
            <w:tcW w:w="136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securities Underlying Options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Vested</w:t>
            </w:r>
          </w:p>
        </w:tc>
        <w:tc>
          <w:tcPr>
            <w:tcW w:w="60" w:type="dxa"/>
            <w:tcBorders/>
            <w:vAlign w:val="center"/>
          </w:tcPr>
          <w:p>
            <w:pPr>
              <w:pStyle w:val="TableContents"/>
              <w:bidi w:val="0"/>
              <w:spacing w:before="0" w:after="283"/>
              <w:jc w:val="left"/>
              <w:rPr/>
            </w:pPr>
            <w:r>
              <w:rPr/>
              <w:t> </w:t>
            </w:r>
          </w:p>
        </w:tc>
        <w:tc>
          <w:tcPr>
            <w:tcW w:w="1365"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Securities Underlying Options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Unvested</w:t>
            </w:r>
          </w:p>
        </w:tc>
        <w:tc>
          <w:tcPr>
            <w:tcW w:w="6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vAlign w:val="center"/>
          </w:tcPr>
          <w:p>
            <w:pPr>
              <w:pStyle w:val="TableContents"/>
              <w:bidi w:val="0"/>
              <w:spacing w:before="0" w:after="283"/>
              <w:jc w:val="left"/>
              <w:rPr/>
            </w:pPr>
            <w:r>
              <w:rPr/>
              <w:t> </w:t>
            </w:r>
          </w:p>
        </w:tc>
        <w:tc>
          <w:tcPr>
            <w:tcW w:w="950"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Expiration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c>
          <w:tcPr>
            <w:tcW w:w="60" w:type="dxa"/>
            <w:tcBorders/>
            <w:vAlign w:val="center"/>
          </w:tcPr>
          <w:p>
            <w:pPr>
              <w:pStyle w:val="TableContents"/>
              <w:bidi w:val="0"/>
              <w:spacing w:before="0" w:after="283"/>
              <w:jc w:val="left"/>
              <w:rPr/>
            </w:pPr>
            <w:r>
              <w:rPr/>
              <w:t> </w:t>
            </w:r>
          </w:p>
        </w:tc>
        <w:tc>
          <w:tcPr>
            <w:tcW w:w="1717" w:type="dxa"/>
            <w:tcBorders>
              <w:bottom w:val="single" w:sz="8" w:space="0" w:color="000000"/>
            </w:tcBorders>
            <w:tcMar>
              <w:bottom w:w="28" w:type="dxa"/>
            </w:tcMar>
            <w:vAlign w:val="center"/>
          </w:tcPr>
          <w:p>
            <w:pPr>
              <w:pStyle w:val="TableContents"/>
              <w:bidi w:val="0"/>
              <w:spacing w:before="0" w:after="283"/>
              <w:jc w:val="center"/>
              <w:rPr>
                <w:b/>
              </w:rPr>
            </w:pPr>
            <w:r>
              <w:rPr>
                <w:b/>
              </w:rPr>
              <w:t>Number of Securities Underlying RSUs (#) Vested</w:t>
            </w:r>
          </w:p>
        </w:tc>
        <w:tc>
          <w:tcPr>
            <w:tcW w:w="60" w:type="dxa"/>
            <w:tcBorders/>
            <w:vAlign w:val="center"/>
          </w:tcPr>
          <w:p>
            <w:pPr>
              <w:pStyle w:val="TableContents"/>
              <w:bidi w:val="0"/>
              <w:spacing w:before="0" w:after="283"/>
              <w:jc w:val="left"/>
              <w:rPr/>
            </w:pPr>
            <w:r>
              <w:rPr/>
              <w:t> </w:t>
            </w:r>
          </w:p>
        </w:tc>
        <w:tc>
          <w:tcPr>
            <w:tcW w:w="1783" w:type="dxa"/>
            <w:tcBorders>
              <w:bottom w:val="single" w:sz="8" w:space="0" w:color="000000"/>
            </w:tcBorders>
            <w:tcMar>
              <w:bottom w:w="28" w:type="dxa"/>
            </w:tcMar>
            <w:vAlign w:val="center"/>
          </w:tcPr>
          <w:p>
            <w:pPr>
              <w:pStyle w:val="TableContents"/>
              <w:bidi w:val="0"/>
              <w:spacing w:before="0" w:after="283"/>
              <w:jc w:val="center"/>
              <w:rPr>
                <w:b/>
              </w:rPr>
            </w:pPr>
            <w:r>
              <w:rPr>
                <w:b/>
              </w:rPr>
              <w:t>Number of Securities Underlying RSUs(#) Unvested</w:t>
            </w:r>
          </w:p>
        </w:tc>
        <w:tc>
          <w:tcPr>
            <w:tcW w:w="77" w:type="dxa"/>
            <w:tcBorders/>
            <w:vAlign w:val="center"/>
          </w:tcPr>
          <w:p>
            <w:pPr>
              <w:pStyle w:val="TableContents"/>
              <w:bidi w:val="0"/>
              <w:spacing w:before="0" w:after="283"/>
              <w:jc w:val="left"/>
              <w:rPr/>
            </w:pPr>
            <w:r>
              <w:rPr/>
              <w:t> </w:t>
            </w:r>
          </w:p>
        </w:tc>
      </w:tr>
      <w:tr>
        <w:trPr/>
        <w:tc>
          <w:tcPr>
            <w:tcW w:w="1068" w:type="dxa"/>
            <w:tcBorders/>
            <w:shd w:fill="EEEEEE" w:val="clear"/>
            <w:vAlign w:val="center"/>
          </w:tcPr>
          <w:p>
            <w:pPr>
              <w:pStyle w:val="TableContents"/>
              <w:bidi w:val="0"/>
              <w:spacing w:before="0" w:after="283"/>
              <w:jc w:val="left"/>
              <w:rPr/>
            </w:pPr>
            <w:r>
              <w:rPr/>
              <w:t>Chenlong Tan</w:t>
            </w:r>
          </w:p>
        </w:tc>
        <w:tc>
          <w:tcPr>
            <w:tcW w:w="60" w:type="dxa"/>
            <w:tcBorders/>
            <w:shd w:fill="EEEEEE" w:val="clear"/>
            <w:vAlign w:val="center"/>
          </w:tcPr>
          <w:p>
            <w:pPr>
              <w:pStyle w:val="TableContents"/>
              <w:bidi w:val="0"/>
              <w:spacing w:before="0" w:after="283"/>
              <w:jc w:val="left"/>
              <w:rPr/>
            </w:pPr>
            <w:r>
              <w:rPr/>
              <w:t> </w:t>
            </w:r>
          </w:p>
        </w:tc>
        <w:tc>
          <w:tcPr>
            <w:tcW w:w="709" w:type="dxa"/>
            <w:tcBorders/>
            <w:shd w:fill="EEEEEE" w:val="clear"/>
            <w:vAlign w:val="center"/>
          </w:tcPr>
          <w:p>
            <w:pPr>
              <w:pStyle w:val="TableContents"/>
              <w:bidi w:val="0"/>
              <w:spacing w:before="0" w:after="283"/>
              <w:jc w:val="center"/>
              <w:rPr/>
            </w:pPr>
            <w:r>
              <w:rPr/>
              <w:t>5/13/2022</w:t>
            </w:r>
          </w:p>
        </w:tc>
        <w:tc>
          <w:tcPr>
            <w:tcW w:w="60" w:type="dxa"/>
            <w:tcBorders/>
            <w:shd w:fill="EEEEEE" w:val="clear"/>
            <w:vAlign w:val="center"/>
          </w:tcPr>
          <w:p>
            <w:pPr>
              <w:pStyle w:val="TableContents"/>
              <w:bidi w:val="0"/>
              <w:spacing w:before="0" w:after="283"/>
              <w:jc w:val="left"/>
              <w:rPr/>
            </w:pPr>
            <w:r>
              <w:rPr/>
              <w:t> </w:t>
            </w:r>
          </w:p>
        </w:tc>
        <w:tc>
          <w:tcPr>
            <w:tcW w:w="1361" w:type="dxa"/>
            <w:tcBorders/>
            <w:shd w:fill="EEEEEE" w:val="clear"/>
            <w:vAlign w:val="center"/>
          </w:tcPr>
          <w:p>
            <w:pPr>
              <w:pStyle w:val="TableContents"/>
              <w:bidi w:val="0"/>
              <w:spacing w:before="0" w:after="283"/>
              <w:jc w:val="right"/>
              <w:rPr/>
            </w:pPr>
            <w:r>
              <w:rPr/>
              <w:t>0</w:t>
            </w:r>
          </w:p>
        </w:tc>
        <w:tc>
          <w:tcPr>
            <w:tcW w:w="60" w:type="dxa"/>
            <w:tcBorders/>
            <w:shd w:fill="EEEEEE" w:val="clear"/>
            <w:vAlign w:val="center"/>
          </w:tcPr>
          <w:p>
            <w:pPr>
              <w:pStyle w:val="TableContents"/>
              <w:bidi w:val="0"/>
              <w:spacing w:before="0" w:after="283"/>
              <w:jc w:val="left"/>
              <w:rPr/>
            </w:pPr>
            <w:r>
              <w:rPr/>
              <w:t> </w:t>
            </w:r>
          </w:p>
        </w:tc>
        <w:tc>
          <w:tcPr>
            <w:tcW w:w="1365" w:type="dxa"/>
            <w:tcBorders/>
            <w:shd w:fill="EEEEEE" w:val="clear"/>
            <w:vAlign w:val="center"/>
          </w:tcPr>
          <w:p>
            <w:pPr>
              <w:pStyle w:val="TableContents"/>
              <w:bidi w:val="0"/>
              <w:spacing w:before="0" w:after="283"/>
              <w:jc w:val="right"/>
              <w:rPr/>
            </w:pPr>
            <w:r>
              <w:rPr/>
              <w:t>3,000,000</w:t>
            </w:r>
          </w:p>
        </w:tc>
        <w:tc>
          <w:tcPr>
            <w:tcW w:w="60" w:type="dxa"/>
            <w:tcBorders/>
            <w:shd w:fill="EEEEEE" w:val="clear"/>
            <w:vAlign w:val="center"/>
          </w:tcPr>
          <w:p>
            <w:pPr>
              <w:pStyle w:val="TableContents"/>
              <w:bidi w:val="0"/>
              <w:spacing w:before="0" w:after="283"/>
              <w:jc w:val="left"/>
              <w:rPr/>
            </w:pPr>
            <w:r>
              <w:rPr/>
              <w:t> </w:t>
            </w:r>
          </w:p>
        </w:tc>
        <w:tc>
          <w:tcPr>
            <w:tcW w:w="182" w:type="dxa"/>
            <w:tcBorders/>
            <w:shd w:fill="EEEEEE" w:val="clear"/>
            <w:vAlign w:val="center"/>
          </w:tcPr>
          <w:p>
            <w:pPr>
              <w:pStyle w:val="TableContents"/>
              <w:bidi w:val="0"/>
              <w:spacing w:before="0" w:after="283"/>
              <w:jc w:val="left"/>
              <w:rPr/>
            </w:pPr>
            <w:r>
              <w:rPr/>
              <w:t>$</w:t>
            </w:r>
          </w:p>
        </w:tc>
        <w:tc>
          <w:tcPr>
            <w:tcW w:w="573" w:type="dxa"/>
            <w:tcBorders/>
            <w:shd w:fill="EEEEEE" w:val="clear"/>
            <w:vAlign w:val="center"/>
          </w:tcPr>
          <w:p>
            <w:pPr>
              <w:pStyle w:val="TableContents"/>
              <w:bidi w:val="0"/>
              <w:spacing w:before="0" w:after="283"/>
              <w:jc w:val="right"/>
              <w:rPr/>
            </w:pPr>
            <w:r>
              <w:rPr/>
              <w:t>1.12</w:t>
            </w:r>
          </w:p>
        </w:tc>
        <w:tc>
          <w:tcPr>
            <w:tcW w:w="60" w:type="dxa"/>
            <w:tcBorders/>
            <w:shd w:fill="EEEEEE" w:val="clear"/>
            <w:vAlign w:val="center"/>
          </w:tcPr>
          <w:p>
            <w:pPr>
              <w:pStyle w:val="TableContents"/>
              <w:bidi w:val="0"/>
              <w:spacing w:before="0" w:after="283"/>
              <w:jc w:val="left"/>
              <w:rPr/>
            </w:pPr>
            <w:r>
              <w:rPr/>
              <w:t> </w:t>
            </w:r>
          </w:p>
        </w:tc>
        <w:tc>
          <w:tcPr>
            <w:tcW w:w="950" w:type="dxa"/>
            <w:tcBorders/>
            <w:shd w:fill="EEEEEE"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5/12/2032</w:t>
            </w:r>
          </w:p>
        </w:tc>
        <w:tc>
          <w:tcPr>
            <w:tcW w:w="60" w:type="dxa"/>
            <w:tcBorders/>
            <w:shd w:fill="EEEEEE" w:val="clear"/>
            <w:vAlign w:val="center"/>
          </w:tcPr>
          <w:p>
            <w:pPr>
              <w:pStyle w:val="TableContents"/>
              <w:bidi w:val="0"/>
              <w:spacing w:before="0" w:after="283"/>
              <w:jc w:val="left"/>
              <w:rPr/>
            </w:pPr>
            <w:r>
              <w:rPr/>
              <w:t> </w:t>
            </w:r>
          </w:p>
        </w:tc>
        <w:tc>
          <w:tcPr>
            <w:tcW w:w="1717" w:type="dxa"/>
            <w:tcBorders/>
            <w:shd w:fill="EEEEEE" w:val="clear"/>
            <w:vAlign w:val="center"/>
          </w:tcPr>
          <w:p>
            <w:pPr>
              <w:pStyle w:val="TableContents"/>
              <w:bidi w:val="0"/>
              <w:spacing w:before="0" w:after="283"/>
              <w:jc w:val="right"/>
              <w:rPr/>
            </w:pPr>
            <w:r>
              <w:rPr/>
              <w:t>–</w:t>
            </w:r>
          </w:p>
        </w:tc>
        <w:tc>
          <w:tcPr>
            <w:tcW w:w="60" w:type="dxa"/>
            <w:tcBorders/>
            <w:shd w:fill="EEEEEE" w:val="clear"/>
            <w:vAlign w:val="center"/>
          </w:tcPr>
          <w:p>
            <w:pPr>
              <w:pStyle w:val="TableContents"/>
              <w:bidi w:val="0"/>
              <w:spacing w:before="0" w:after="283"/>
              <w:jc w:val="left"/>
              <w:rPr/>
            </w:pPr>
            <w:r>
              <w:rPr/>
              <w:t> </w:t>
            </w:r>
          </w:p>
        </w:tc>
        <w:tc>
          <w:tcPr>
            <w:tcW w:w="1783" w:type="dxa"/>
            <w:tcBorders/>
            <w:shd w:fill="EEEEEE" w:val="clear"/>
            <w:vAlign w:val="center"/>
          </w:tcPr>
          <w:p>
            <w:pPr>
              <w:pStyle w:val="TableContents"/>
              <w:bidi w:val="0"/>
              <w:spacing w:before="0" w:after="283"/>
              <w:jc w:val="right"/>
              <w:rPr/>
            </w:pPr>
            <w:r>
              <w:rPr/>
              <w:t>–</w:t>
            </w:r>
          </w:p>
        </w:tc>
        <w:tc>
          <w:tcPr>
            <w:tcW w:w="77" w:type="dxa"/>
            <w:tcBorders/>
            <w:shd w:fill="EEEEEE" w:val="clear"/>
            <w:vAlign w:val="center"/>
          </w:tcPr>
          <w:p>
            <w:pPr>
              <w:pStyle w:val="TableContents"/>
              <w:bidi w:val="0"/>
              <w:spacing w:before="0" w:after="283"/>
              <w:jc w:val="left"/>
              <w:rPr/>
            </w:pPr>
            <w:r>
              <w:rPr/>
              <w:t> </w:t>
            </w:r>
          </w:p>
        </w:tc>
      </w:tr>
      <w:tr>
        <w:trPr/>
        <w:tc>
          <w:tcPr>
            <w:tcW w:w="1068" w:type="dxa"/>
            <w:tcBorders/>
            <w:shd w:fill="FFFFFF" w:val="clear"/>
            <w:vAlign w:val="center"/>
          </w:tcPr>
          <w:p>
            <w:pPr>
              <w:pStyle w:val="TableContents"/>
              <w:bidi w:val="0"/>
              <w:spacing w:before="0" w:after="283"/>
              <w:jc w:val="left"/>
              <w:rPr/>
            </w:pPr>
            <w:r>
              <w:rPr/>
              <w:t>Kevin Vassily (1)</w:t>
            </w:r>
          </w:p>
        </w:tc>
        <w:tc>
          <w:tcPr>
            <w:tcW w:w="60"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center"/>
              <w:rPr/>
            </w:pPr>
            <w:r>
              <w:rPr/>
              <w:t>5/11/2021</w:t>
            </w:r>
          </w:p>
        </w:tc>
        <w:tc>
          <w:tcPr>
            <w:tcW w:w="60" w:type="dxa"/>
            <w:tcBorders/>
            <w:shd w:fill="FFFFFF" w:val="clear"/>
            <w:vAlign w:val="center"/>
          </w:tcPr>
          <w:p>
            <w:pPr>
              <w:pStyle w:val="TableContents"/>
              <w:bidi w:val="0"/>
              <w:spacing w:before="0" w:after="283"/>
              <w:jc w:val="left"/>
              <w:rPr/>
            </w:pPr>
            <w:r>
              <w:rPr/>
              <w:t> </w:t>
            </w:r>
          </w:p>
        </w:tc>
        <w:tc>
          <w:tcPr>
            <w:tcW w:w="136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136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57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1717" w:type="dxa"/>
            <w:tcBorders/>
            <w:shd w:fill="FFFFFF" w:val="clear"/>
            <w:vAlign w:val="center"/>
          </w:tcPr>
          <w:p>
            <w:pPr>
              <w:pStyle w:val="TableContents"/>
              <w:bidi w:val="0"/>
              <w:spacing w:before="0" w:after="283"/>
              <w:jc w:val="right"/>
              <w:rPr/>
            </w:pPr>
            <w:r>
              <w:rPr/>
              <w:t>12,000</w:t>
            </w:r>
          </w:p>
        </w:tc>
        <w:tc>
          <w:tcPr>
            <w:tcW w:w="60" w:type="dxa"/>
            <w:tcBorders/>
            <w:shd w:fill="FFFFFF" w:val="clear"/>
            <w:vAlign w:val="center"/>
          </w:tcPr>
          <w:p>
            <w:pPr>
              <w:pStyle w:val="TableContents"/>
              <w:bidi w:val="0"/>
              <w:spacing w:before="0" w:after="283"/>
              <w:jc w:val="left"/>
              <w:rPr/>
            </w:pPr>
            <w:r>
              <w:rPr/>
              <w:t> </w:t>
            </w:r>
          </w:p>
        </w:tc>
        <w:tc>
          <w:tcPr>
            <w:tcW w:w="1783" w:type="dxa"/>
            <w:tcBorders/>
            <w:shd w:fill="FFFFFF" w:val="clear"/>
            <w:vAlign w:val="center"/>
          </w:tcPr>
          <w:p>
            <w:pPr>
              <w:pStyle w:val="TableContents"/>
              <w:bidi w:val="0"/>
              <w:spacing w:before="0" w:after="283"/>
              <w:jc w:val="right"/>
              <w:rPr/>
            </w:pPr>
            <w:r>
              <w:rPr/>
              <w:t>–</w:t>
            </w:r>
          </w:p>
        </w:tc>
        <w:tc>
          <w:tcPr>
            <w:tcW w:w="77" w:type="dxa"/>
            <w:tcBorders/>
            <w:shd w:fill="FFFFFF" w:val="clear"/>
            <w:vAlign w:val="center"/>
          </w:tcPr>
          <w:p>
            <w:pPr>
              <w:pStyle w:val="TableContents"/>
              <w:bidi w:val="0"/>
              <w:spacing w:before="0" w:after="283"/>
              <w:jc w:val="left"/>
              <w:rPr/>
            </w:pPr>
            <w:r>
              <w:rPr/>
              <w:t> </w:t>
            </w:r>
          </w:p>
        </w:tc>
      </w:tr>
      <w:tr>
        <w:trPr/>
        <w:tc>
          <w:tcPr>
            <w:tcW w:w="1068"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709" w:type="dxa"/>
            <w:tcBorders/>
            <w:shd w:fill="EEEEEE" w:val="clear"/>
            <w:vAlign w:val="center"/>
          </w:tcPr>
          <w:p>
            <w:pPr>
              <w:pStyle w:val="TableContents"/>
              <w:bidi w:val="0"/>
              <w:spacing w:before="0" w:after="283"/>
              <w:jc w:val="center"/>
              <w:rPr/>
            </w:pPr>
            <w:r>
              <w:rPr/>
              <w:t>5/13/2022</w:t>
            </w:r>
          </w:p>
        </w:tc>
        <w:tc>
          <w:tcPr>
            <w:tcW w:w="60" w:type="dxa"/>
            <w:tcBorders/>
            <w:shd w:fill="EEEEEE" w:val="clear"/>
            <w:vAlign w:val="center"/>
          </w:tcPr>
          <w:p>
            <w:pPr>
              <w:pStyle w:val="TableContents"/>
              <w:bidi w:val="0"/>
              <w:spacing w:before="0" w:after="283"/>
              <w:jc w:val="left"/>
              <w:rPr/>
            </w:pPr>
            <w:r>
              <w:rPr/>
              <w:t> </w:t>
            </w:r>
          </w:p>
        </w:tc>
        <w:tc>
          <w:tcPr>
            <w:tcW w:w="1361" w:type="dxa"/>
            <w:tcBorders/>
            <w:shd w:fill="EEEEEE" w:val="clear"/>
            <w:vAlign w:val="center"/>
          </w:tcPr>
          <w:p>
            <w:pPr>
              <w:pStyle w:val="TableContents"/>
              <w:bidi w:val="0"/>
              <w:spacing w:before="0" w:after="283"/>
              <w:jc w:val="right"/>
              <w:rPr/>
            </w:pPr>
            <w:r>
              <w:rPr/>
              <w:t>0</w:t>
            </w:r>
          </w:p>
        </w:tc>
        <w:tc>
          <w:tcPr>
            <w:tcW w:w="60" w:type="dxa"/>
            <w:tcBorders/>
            <w:shd w:fill="EEEEEE" w:val="clear"/>
            <w:vAlign w:val="center"/>
          </w:tcPr>
          <w:p>
            <w:pPr>
              <w:pStyle w:val="TableContents"/>
              <w:bidi w:val="0"/>
              <w:spacing w:before="0" w:after="283"/>
              <w:jc w:val="left"/>
              <w:rPr/>
            </w:pPr>
            <w:r>
              <w:rPr/>
              <w:t> </w:t>
            </w:r>
          </w:p>
        </w:tc>
        <w:tc>
          <w:tcPr>
            <w:tcW w:w="1365" w:type="dxa"/>
            <w:tcBorders/>
            <w:shd w:fill="EEEEEE" w:val="clear"/>
            <w:vAlign w:val="center"/>
          </w:tcPr>
          <w:p>
            <w:pPr>
              <w:pStyle w:val="TableContents"/>
              <w:bidi w:val="0"/>
              <w:spacing w:before="0" w:after="283"/>
              <w:jc w:val="right"/>
              <w:rPr/>
            </w:pPr>
            <w:r>
              <w:rPr/>
              <w:t>330,000</w:t>
            </w:r>
          </w:p>
        </w:tc>
        <w:tc>
          <w:tcPr>
            <w:tcW w:w="60" w:type="dxa"/>
            <w:tcBorders/>
            <w:shd w:fill="EEEEEE" w:val="clear"/>
            <w:vAlign w:val="center"/>
          </w:tcPr>
          <w:p>
            <w:pPr>
              <w:pStyle w:val="TableContents"/>
              <w:bidi w:val="0"/>
              <w:spacing w:before="0" w:after="283"/>
              <w:jc w:val="left"/>
              <w:rPr/>
            </w:pPr>
            <w:r>
              <w:rPr/>
              <w:t> </w:t>
            </w:r>
          </w:p>
        </w:tc>
        <w:tc>
          <w:tcPr>
            <w:tcW w:w="182" w:type="dxa"/>
            <w:tcBorders/>
            <w:shd w:fill="EEEEEE" w:val="clear"/>
            <w:vAlign w:val="center"/>
          </w:tcPr>
          <w:p>
            <w:pPr>
              <w:pStyle w:val="TableContents"/>
              <w:bidi w:val="0"/>
              <w:spacing w:before="0" w:after="283"/>
              <w:jc w:val="left"/>
              <w:rPr/>
            </w:pPr>
            <w:r>
              <w:rPr/>
              <w:t>$</w:t>
            </w:r>
          </w:p>
        </w:tc>
        <w:tc>
          <w:tcPr>
            <w:tcW w:w="573" w:type="dxa"/>
            <w:tcBorders/>
            <w:shd w:fill="EEEEEE" w:val="clear"/>
            <w:vAlign w:val="center"/>
          </w:tcPr>
          <w:p>
            <w:pPr>
              <w:pStyle w:val="TableContents"/>
              <w:bidi w:val="0"/>
              <w:spacing w:before="0" w:after="283"/>
              <w:jc w:val="right"/>
              <w:rPr/>
            </w:pPr>
            <w:r>
              <w:rPr/>
              <w:t>1.12</w:t>
            </w:r>
          </w:p>
        </w:tc>
        <w:tc>
          <w:tcPr>
            <w:tcW w:w="60" w:type="dxa"/>
            <w:tcBorders/>
            <w:shd w:fill="EEEEEE" w:val="clear"/>
            <w:vAlign w:val="center"/>
          </w:tcPr>
          <w:p>
            <w:pPr>
              <w:pStyle w:val="TableContents"/>
              <w:bidi w:val="0"/>
              <w:spacing w:before="0" w:after="283"/>
              <w:jc w:val="left"/>
              <w:rPr/>
            </w:pPr>
            <w:r>
              <w:rPr/>
              <w:t> </w:t>
            </w:r>
          </w:p>
        </w:tc>
        <w:tc>
          <w:tcPr>
            <w:tcW w:w="950" w:type="dxa"/>
            <w:tcBorders/>
            <w:shd w:fill="EEEEEE"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5/12/2032</w:t>
            </w:r>
          </w:p>
        </w:tc>
        <w:tc>
          <w:tcPr>
            <w:tcW w:w="60" w:type="dxa"/>
            <w:tcBorders/>
            <w:shd w:fill="EEEEEE" w:val="clear"/>
            <w:vAlign w:val="center"/>
          </w:tcPr>
          <w:p>
            <w:pPr>
              <w:pStyle w:val="TableContents"/>
              <w:bidi w:val="0"/>
              <w:spacing w:before="0" w:after="283"/>
              <w:jc w:val="left"/>
              <w:rPr/>
            </w:pPr>
            <w:r>
              <w:rPr/>
              <w:t> </w:t>
            </w:r>
          </w:p>
        </w:tc>
        <w:tc>
          <w:tcPr>
            <w:tcW w:w="1717" w:type="dxa"/>
            <w:tcBorders/>
            <w:shd w:fill="EEEEEE" w:val="clear"/>
            <w:vAlign w:val="center"/>
          </w:tcPr>
          <w:p>
            <w:pPr>
              <w:pStyle w:val="TableContents"/>
              <w:bidi w:val="0"/>
              <w:spacing w:before="0" w:after="283"/>
              <w:jc w:val="right"/>
              <w:rPr/>
            </w:pPr>
            <w:r>
              <w:rPr/>
              <w:t>–</w:t>
            </w:r>
          </w:p>
        </w:tc>
        <w:tc>
          <w:tcPr>
            <w:tcW w:w="60" w:type="dxa"/>
            <w:tcBorders/>
            <w:shd w:fill="EEEEEE" w:val="clear"/>
            <w:vAlign w:val="center"/>
          </w:tcPr>
          <w:p>
            <w:pPr>
              <w:pStyle w:val="TableContents"/>
              <w:bidi w:val="0"/>
              <w:spacing w:before="0" w:after="283"/>
              <w:jc w:val="left"/>
              <w:rPr/>
            </w:pPr>
            <w:r>
              <w:rPr/>
              <w:t> </w:t>
            </w:r>
          </w:p>
        </w:tc>
        <w:tc>
          <w:tcPr>
            <w:tcW w:w="1783" w:type="dxa"/>
            <w:tcBorders/>
            <w:shd w:fill="EEEEEE" w:val="clear"/>
            <w:vAlign w:val="center"/>
          </w:tcPr>
          <w:p>
            <w:pPr>
              <w:pStyle w:val="TableContents"/>
              <w:bidi w:val="0"/>
              <w:spacing w:before="0" w:after="283"/>
              <w:jc w:val="right"/>
              <w:rPr/>
            </w:pPr>
            <w:r>
              <w:rPr/>
              <w:t>–</w:t>
            </w:r>
          </w:p>
        </w:tc>
        <w:tc>
          <w:tcPr>
            <w:tcW w:w="77" w:type="dxa"/>
            <w:tcBorders/>
            <w:shd w:fill="EEEEEE"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Total number of RSUs granted was 12,000, all of which had vested as of June 30,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 Compensation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reimburse all members of our board of directors for their direct out of pocket expenses incurred in attending meetings of our board of directors. This table summarizes the compensation paid to each of our independent directors who served in such capacity during the fiscal year ended June 30, 2023.</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9177" w:type="dxa"/>
        <w:jc w:val="left"/>
        <w:tblInd w:w="0" w:type="dxa"/>
        <w:tblLayout w:type="fixed"/>
        <w:tblCellMar>
          <w:top w:w="0" w:type="dxa"/>
          <w:left w:w="0" w:type="dxa"/>
          <w:bottom w:w="28" w:type="dxa"/>
          <w:right w:w="0" w:type="dxa"/>
        </w:tblCellMar>
      </w:tblPr>
      <w:tblGrid>
        <w:gridCol w:w="2000"/>
        <w:gridCol w:w="60"/>
        <w:gridCol w:w="502"/>
        <w:gridCol w:w="2442"/>
        <w:gridCol w:w="60"/>
        <w:gridCol w:w="60"/>
        <w:gridCol w:w="362"/>
        <w:gridCol w:w="1772"/>
        <w:gridCol w:w="60"/>
        <w:gridCol w:w="60"/>
        <w:gridCol w:w="392"/>
        <w:gridCol w:w="392"/>
        <w:gridCol w:w="60"/>
        <w:gridCol w:w="60"/>
        <w:gridCol w:w="140"/>
        <w:gridCol w:w="680"/>
        <w:gridCol w:w="75"/>
      </w:tblGrid>
      <w:tr>
        <w:trPr/>
        <w:tc>
          <w:tcPr>
            <w:tcW w:w="2000" w:type="dxa"/>
            <w:tcBorders>
              <w:bottom w:val="single" w:sz="8"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2944" w:type="dxa"/>
            <w:gridSpan w:val="2"/>
            <w:tcBorders>
              <w:bottom w:val="single" w:sz="8" w:space="0" w:color="000000"/>
            </w:tcBorders>
            <w:vAlign w:val="center"/>
          </w:tcPr>
          <w:p>
            <w:pPr>
              <w:pStyle w:val="TableContents"/>
              <w:bidi w:val="0"/>
              <w:spacing w:before="0" w:after="283"/>
              <w:jc w:val="center"/>
              <w:rPr>
                <w:b/>
              </w:rPr>
            </w:pPr>
            <w:r>
              <w:rPr>
                <w:b/>
              </w:rPr>
              <w:t>Fees Earned or Paid in Cash</w:t>
              <w:br/>
              <w:t>($USD)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34" w:type="dxa"/>
            <w:gridSpan w:val="2"/>
            <w:tcBorders>
              <w:bottom w:val="single" w:sz="8" w:space="0" w:color="000000"/>
            </w:tcBorders>
            <w:vAlign w:val="center"/>
          </w:tcPr>
          <w:p>
            <w:pPr>
              <w:pStyle w:val="TableContents"/>
              <w:bidi w:val="0"/>
              <w:spacing w:before="0" w:after="283"/>
              <w:jc w:val="center"/>
              <w:rPr>
                <w:b/>
              </w:rPr>
            </w:pPr>
            <w:r>
              <w:rPr>
                <w:b/>
              </w:rPr>
              <w:t>Stock Based Awards</w:t>
              <w:br/>
              <w:t>($USD)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84" w:type="dxa"/>
            <w:gridSpan w:val="2"/>
            <w:tcBorders>
              <w:bottom w:val="single" w:sz="8" w:space="0" w:color="000000"/>
            </w:tcBorders>
            <w:vAlign w:val="center"/>
          </w:tcPr>
          <w:p>
            <w:pPr>
              <w:pStyle w:val="TableContents"/>
              <w:bidi w:val="0"/>
              <w:spacing w:before="0" w:after="283"/>
              <w:jc w:val="center"/>
              <w:rPr>
                <w:b/>
              </w:rPr>
            </w:pPr>
            <w:r>
              <w:rPr>
                <w:b/>
              </w:rPr>
              <w:t>Others</w:t>
              <w:br/>
              <w:t>($USD)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20" w:type="dxa"/>
            <w:gridSpan w:val="2"/>
            <w:tcBorders>
              <w:bottom w:val="single" w:sz="8" w:space="0" w:color="000000"/>
            </w:tcBorders>
            <w:vAlign w:val="center"/>
          </w:tcPr>
          <w:p>
            <w:pPr>
              <w:pStyle w:val="TableContents"/>
              <w:bidi w:val="0"/>
              <w:spacing w:before="0" w:after="283"/>
              <w:jc w:val="center"/>
              <w:rPr>
                <w:b/>
              </w:rPr>
            </w:pPr>
            <w:r>
              <w:rPr>
                <w:b/>
              </w:rPr>
              <w:t>Total</w:t>
              <w:br/>
              <w:t>($USD)</w:t>
            </w:r>
          </w:p>
        </w:tc>
        <w:tc>
          <w:tcPr>
            <w:tcW w:w="75" w:type="dxa"/>
            <w:tcBorders/>
            <w:tcMar>
              <w:bottom w:w="0" w:type="dxa"/>
            </w:tcMar>
            <w:vAlign w:val="center"/>
          </w:tcPr>
          <w:p>
            <w:pPr>
              <w:pStyle w:val="TableContents"/>
              <w:bidi w:val="0"/>
              <w:spacing w:before="0" w:after="283"/>
              <w:jc w:val="left"/>
              <w:rPr/>
            </w:pPr>
            <w:r>
              <w:rPr/>
              <w:t> </w:t>
            </w:r>
          </w:p>
        </w:tc>
      </w:tr>
      <w:tr>
        <w:trPr/>
        <w:tc>
          <w:tcPr>
            <w:tcW w:w="2000" w:type="dxa"/>
            <w:tcBorders/>
            <w:shd w:fill="EEEEEE" w:val="clear"/>
            <w:tcMar>
              <w:bottom w:w="0" w:type="dxa"/>
            </w:tcMar>
            <w:vAlign w:val="center"/>
          </w:tcPr>
          <w:p>
            <w:pPr>
              <w:pStyle w:val="TableContents"/>
              <w:bidi w:val="0"/>
              <w:spacing w:before="0" w:after="283"/>
              <w:jc w:val="left"/>
              <w:rPr/>
            </w:pPr>
            <w:r>
              <w:rPr/>
              <w:t>Bennet Tchaikovsky</w:t>
            </w:r>
          </w:p>
        </w:tc>
        <w:tc>
          <w:tcPr>
            <w:tcW w:w="60" w:type="dxa"/>
            <w:tcBorders/>
            <w:shd w:fill="EEEEEE" w:val="clear"/>
            <w:tcMar>
              <w:bottom w:w="0" w:type="dxa"/>
            </w:tcMar>
            <w:vAlign w:val="center"/>
          </w:tcPr>
          <w:p>
            <w:pPr>
              <w:pStyle w:val="TableContents"/>
              <w:bidi w:val="0"/>
              <w:spacing w:before="0" w:after="283"/>
              <w:jc w:val="left"/>
              <w:rPr/>
            </w:pPr>
            <w:r>
              <w:rPr/>
              <w:t> </w:t>
            </w:r>
          </w:p>
        </w:tc>
        <w:tc>
          <w:tcPr>
            <w:tcW w:w="502" w:type="dxa"/>
            <w:tcBorders/>
            <w:shd w:fill="EEEEEE" w:val="clear"/>
            <w:tcMar>
              <w:bottom w:w="0" w:type="dxa"/>
            </w:tcMar>
            <w:vAlign w:val="center"/>
          </w:tcPr>
          <w:p>
            <w:pPr>
              <w:pStyle w:val="TableContents"/>
              <w:bidi w:val="0"/>
              <w:spacing w:before="0" w:after="283"/>
              <w:jc w:val="left"/>
              <w:rPr/>
            </w:pPr>
            <w:r>
              <w:rPr/>
              <w:t>$</w:t>
            </w:r>
          </w:p>
        </w:tc>
        <w:tc>
          <w:tcPr>
            <w:tcW w:w="2442" w:type="dxa"/>
            <w:tcBorders/>
            <w:shd w:fill="EEEEEE" w:val="clear"/>
            <w:tcMar>
              <w:bottom w:w="0" w:type="dxa"/>
            </w:tcMar>
            <w:vAlign w:val="center"/>
          </w:tcPr>
          <w:p>
            <w:pPr>
              <w:pStyle w:val="TableContents"/>
              <w:bidi w:val="0"/>
              <w:spacing w:before="0" w:after="283"/>
              <w:jc w:val="right"/>
              <w:rPr/>
            </w:pPr>
            <w:r>
              <w:rPr/>
              <w:t>30,000</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362" w:type="dxa"/>
            <w:tcBorders/>
            <w:shd w:fill="EEEEEE" w:val="clear"/>
            <w:tcMar>
              <w:bottom w:w="0" w:type="dxa"/>
            </w:tcMar>
            <w:vAlign w:val="center"/>
          </w:tcPr>
          <w:p>
            <w:pPr>
              <w:pStyle w:val="TableContents"/>
              <w:bidi w:val="0"/>
              <w:spacing w:before="0" w:after="283"/>
              <w:jc w:val="left"/>
              <w:rPr/>
            </w:pPr>
            <w:r>
              <w:rPr/>
              <w:t>$</w:t>
            </w:r>
          </w:p>
        </w:tc>
        <w:tc>
          <w:tcPr>
            <w:tcW w:w="1772" w:type="dxa"/>
            <w:tcBorders/>
            <w:shd w:fill="EEEEEE" w:val="clear"/>
            <w:tcMar>
              <w:bottom w:w="0" w:type="dxa"/>
            </w:tcMar>
            <w:vAlign w:val="center"/>
          </w:tcPr>
          <w:p>
            <w:pPr>
              <w:pStyle w:val="TableContents"/>
              <w:bidi w:val="0"/>
              <w:spacing w:before="0" w:after="283"/>
              <w:jc w:val="right"/>
              <w:rPr/>
            </w:pPr>
            <w:r>
              <w:rPr/>
              <w:t>30,000</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392" w:type="dxa"/>
            <w:tcBorders/>
            <w:shd w:fill="EEEEEE" w:val="clear"/>
            <w:tcMar>
              <w:bottom w:w="0" w:type="dxa"/>
            </w:tcMar>
            <w:vAlign w:val="center"/>
          </w:tcPr>
          <w:p>
            <w:pPr>
              <w:pStyle w:val="TableContents"/>
              <w:bidi w:val="0"/>
              <w:spacing w:before="0" w:after="283"/>
              <w:jc w:val="left"/>
              <w:rPr/>
            </w:pPr>
            <w:r>
              <w:rPr/>
              <w:t>$</w:t>
            </w:r>
          </w:p>
        </w:tc>
        <w:tc>
          <w:tcPr>
            <w:tcW w:w="392" w:type="dxa"/>
            <w:tcBorders/>
            <w:shd w:fill="EEEEEE" w:val="clear"/>
            <w:tcMar>
              <w:bottom w:w="0" w:type="dxa"/>
            </w:tcMar>
            <w:vAlign w:val="center"/>
          </w:tcPr>
          <w:p>
            <w:pPr>
              <w:pStyle w:val="TableContents"/>
              <w:bidi w:val="0"/>
              <w:spacing w:before="0" w:after="283"/>
              <w:jc w:val="right"/>
              <w:rPr/>
            </w:pPr>
            <w:r>
              <w:rPr/>
              <w:t>–</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40" w:type="dxa"/>
            <w:tcBorders/>
            <w:shd w:fill="EEEEEE" w:val="clear"/>
            <w:tcMar>
              <w:bottom w:w="0" w:type="dxa"/>
            </w:tcMar>
            <w:vAlign w:val="center"/>
          </w:tcPr>
          <w:p>
            <w:pPr>
              <w:pStyle w:val="TableContents"/>
              <w:bidi w:val="0"/>
              <w:spacing w:before="0" w:after="283"/>
              <w:jc w:val="left"/>
              <w:rPr/>
            </w:pPr>
            <w:r>
              <w:rPr/>
              <w:t>$</w:t>
            </w:r>
          </w:p>
        </w:tc>
        <w:tc>
          <w:tcPr>
            <w:tcW w:w="680" w:type="dxa"/>
            <w:tcBorders/>
            <w:shd w:fill="EEEEEE" w:val="clear"/>
            <w:tcMar>
              <w:bottom w:w="0" w:type="dxa"/>
            </w:tcMar>
            <w:vAlign w:val="center"/>
          </w:tcPr>
          <w:p>
            <w:pPr>
              <w:pStyle w:val="TableContents"/>
              <w:bidi w:val="0"/>
              <w:spacing w:before="0" w:after="283"/>
              <w:jc w:val="right"/>
              <w:rPr/>
            </w:pPr>
            <w:r>
              <w:rPr/>
              <w:t>60,000</w:t>
            </w:r>
          </w:p>
        </w:tc>
        <w:tc>
          <w:tcPr>
            <w:tcW w:w="75" w:type="dxa"/>
            <w:tcBorders/>
            <w:shd w:fill="EEEEEE" w:val="clear"/>
            <w:tcMar>
              <w:bottom w:w="0" w:type="dxa"/>
            </w:tcMar>
            <w:vAlign w:val="center"/>
          </w:tcPr>
          <w:p>
            <w:pPr>
              <w:pStyle w:val="TableContents"/>
              <w:bidi w:val="0"/>
              <w:spacing w:before="0" w:after="283"/>
              <w:jc w:val="left"/>
              <w:rPr/>
            </w:pPr>
            <w:r>
              <w:rPr/>
              <w:t> </w:t>
            </w:r>
          </w:p>
        </w:tc>
      </w:tr>
      <w:tr>
        <w:trPr/>
        <w:tc>
          <w:tcPr>
            <w:tcW w:w="2000" w:type="dxa"/>
            <w:tcBorders/>
            <w:shd w:fill="FFFFFF" w:val="clear"/>
            <w:tcMar>
              <w:bottom w:w="0" w:type="dxa"/>
            </w:tcMar>
            <w:vAlign w:val="center"/>
          </w:tcPr>
          <w:p>
            <w:pPr>
              <w:pStyle w:val="TableContents"/>
              <w:bidi w:val="0"/>
              <w:spacing w:before="0" w:after="283"/>
              <w:jc w:val="left"/>
              <w:rPr/>
            </w:pPr>
            <w:r>
              <w:rPr/>
              <w:t>Kevin Liles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2" w:type="dxa"/>
            <w:tcBorders/>
            <w:shd w:fill="FFFFFF" w:val="clear"/>
            <w:tcMar>
              <w:bottom w:w="0" w:type="dxa"/>
            </w:tcMar>
            <w:vAlign w:val="center"/>
          </w:tcPr>
          <w:p>
            <w:pPr>
              <w:pStyle w:val="TableContents"/>
              <w:bidi w:val="0"/>
              <w:spacing w:before="0" w:after="283"/>
              <w:jc w:val="left"/>
              <w:rPr/>
            </w:pPr>
            <w:r>
              <w:rPr/>
              <w:t>$</w:t>
            </w:r>
          </w:p>
        </w:tc>
        <w:tc>
          <w:tcPr>
            <w:tcW w:w="2442" w:type="dxa"/>
            <w:tcBorders/>
            <w:shd w:fill="FFFFFF" w:val="clear"/>
            <w:tcMar>
              <w:bottom w:w="0" w:type="dxa"/>
            </w:tcMar>
            <w:vAlign w:val="center"/>
          </w:tcPr>
          <w:p>
            <w:pPr>
              <w:pStyle w:val="TableContents"/>
              <w:bidi w:val="0"/>
              <w:spacing w:before="0" w:after="283"/>
              <w:jc w:val="right"/>
              <w:rPr/>
            </w:pPr>
            <w:r>
              <w:rPr/>
              <w:t>25,000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2" w:type="dxa"/>
            <w:tcBorders/>
            <w:shd w:fill="FFFFFF" w:val="clear"/>
            <w:tcMar>
              <w:bottom w:w="0" w:type="dxa"/>
            </w:tcMar>
            <w:vAlign w:val="center"/>
          </w:tcPr>
          <w:p>
            <w:pPr>
              <w:pStyle w:val="TableContents"/>
              <w:bidi w:val="0"/>
              <w:spacing w:before="0" w:after="283"/>
              <w:jc w:val="left"/>
              <w:rPr/>
            </w:pPr>
            <w:r>
              <w:rPr/>
              <w:t>$</w:t>
            </w:r>
          </w:p>
        </w:tc>
        <w:tc>
          <w:tcPr>
            <w:tcW w:w="1772" w:type="dxa"/>
            <w:tcBorders/>
            <w:shd w:fill="FFFFFF" w:val="clear"/>
            <w:tcMar>
              <w:bottom w:w="0" w:type="dxa"/>
            </w:tcMar>
            <w:vAlign w:val="center"/>
          </w:tcPr>
          <w:p>
            <w:pPr>
              <w:pStyle w:val="TableContents"/>
              <w:bidi w:val="0"/>
              <w:spacing w:before="0" w:after="283"/>
              <w:jc w:val="right"/>
              <w:rPr/>
            </w:pPr>
            <w:r>
              <w:rPr/>
              <w:t>30,000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2" w:type="dxa"/>
            <w:tcBorders/>
            <w:shd w:fill="FFFFFF" w:val="clear"/>
            <w:tcMar>
              <w:bottom w:w="0" w:type="dxa"/>
            </w:tcMar>
            <w:vAlign w:val="center"/>
          </w:tcPr>
          <w:p>
            <w:pPr>
              <w:pStyle w:val="TableContents"/>
              <w:bidi w:val="0"/>
              <w:spacing w:before="0" w:after="283"/>
              <w:jc w:val="left"/>
              <w:rPr/>
            </w:pPr>
            <w:r>
              <w:rPr/>
              <w:t>$</w:t>
            </w:r>
          </w:p>
        </w:tc>
        <w:tc>
          <w:tcPr>
            <w:tcW w:w="39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680" w:type="dxa"/>
            <w:tcBorders/>
            <w:shd w:fill="FFFFFF" w:val="clear"/>
            <w:tcMar>
              <w:bottom w:w="0" w:type="dxa"/>
            </w:tcMar>
            <w:vAlign w:val="center"/>
          </w:tcPr>
          <w:p>
            <w:pPr>
              <w:pStyle w:val="TableContents"/>
              <w:bidi w:val="0"/>
              <w:spacing w:before="0" w:after="283"/>
              <w:jc w:val="right"/>
              <w:rPr/>
            </w:pPr>
            <w:r>
              <w:rPr/>
              <w:t>55,000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000" w:type="dxa"/>
            <w:tcBorders/>
            <w:shd w:fill="EEEEEE" w:val="clear"/>
            <w:tcMar>
              <w:bottom w:w="0" w:type="dxa"/>
            </w:tcMar>
            <w:vAlign w:val="center"/>
          </w:tcPr>
          <w:p>
            <w:pPr>
              <w:pStyle w:val="TableContents"/>
              <w:bidi w:val="0"/>
              <w:spacing w:before="0" w:after="283"/>
              <w:jc w:val="left"/>
              <w:rPr/>
            </w:pPr>
            <w:r>
              <w:rPr/>
              <w:t>Hanxi Li*</w:t>
            </w:r>
          </w:p>
        </w:tc>
        <w:tc>
          <w:tcPr>
            <w:tcW w:w="60" w:type="dxa"/>
            <w:tcBorders/>
            <w:shd w:fill="EEEEEE" w:val="clear"/>
            <w:tcMar>
              <w:bottom w:w="0" w:type="dxa"/>
            </w:tcMar>
            <w:vAlign w:val="center"/>
          </w:tcPr>
          <w:p>
            <w:pPr>
              <w:pStyle w:val="TableContents"/>
              <w:bidi w:val="0"/>
              <w:spacing w:before="0" w:after="283"/>
              <w:jc w:val="left"/>
              <w:rPr/>
            </w:pPr>
            <w:r>
              <w:rPr/>
              <w:t> </w:t>
            </w:r>
          </w:p>
        </w:tc>
        <w:tc>
          <w:tcPr>
            <w:tcW w:w="502" w:type="dxa"/>
            <w:tcBorders/>
            <w:shd w:fill="EEEEEE" w:val="clear"/>
            <w:tcMar>
              <w:bottom w:w="0" w:type="dxa"/>
            </w:tcMar>
            <w:vAlign w:val="center"/>
          </w:tcPr>
          <w:p>
            <w:pPr>
              <w:pStyle w:val="TableContents"/>
              <w:bidi w:val="0"/>
              <w:spacing w:before="0" w:after="283"/>
              <w:jc w:val="left"/>
              <w:rPr/>
            </w:pPr>
            <w:r>
              <w:rPr/>
              <w:t>$</w:t>
            </w:r>
          </w:p>
        </w:tc>
        <w:tc>
          <w:tcPr>
            <w:tcW w:w="2442" w:type="dxa"/>
            <w:tcBorders/>
            <w:shd w:fill="EEEEEE" w:val="clear"/>
            <w:tcMar>
              <w:bottom w:w="0" w:type="dxa"/>
            </w:tcMar>
            <w:vAlign w:val="center"/>
          </w:tcPr>
          <w:p>
            <w:pPr>
              <w:pStyle w:val="TableContents"/>
              <w:bidi w:val="0"/>
              <w:spacing w:before="0" w:after="283"/>
              <w:jc w:val="right"/>
              <w:rPr/>
            </w:pPr>
            <w:r>
              <w:rPr/>
              <w:t>25,000</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362" w:type="dxa"/>
            <w:tcBorders/>
            <w:shd w:fill="EEEEEE" w:val="clear"/>
            <w:tcMar>
              <w:bottom w:w="0" w:type="dxa"/>
            </w:tcMar>
            <w:vAlign w:val="center"/>
          </w:tcPr>
          <w:p>
            <w:pPr>
              <w:pStyle w:val="TableContents"/>
              <w:bidi w:val="0"/>
              <w:spacing w:before="0" w:after="283"/>
              <w:jc w:val="left"/>
              <w:rPr/>
            </w:pPr>
            <w:r>
              <w:rPr/>
              <w:t>$</w:t>
            </w:r>
          </w:p>
        </w:tc>
        <w:tc>
          <w:tcPr>
            <w:tcW w:w="1772" w:type="dxa"/>
            <w:tcBorders/>
            <w:shd w:fill="EEEEEE" w:val="clear"/>
            <w:tcMar>
              <w:bottom w:w="0" w:type="dxa"/>
            </w:tcMar>
            <w:vAlign w:val="center"/>
          </w:tcPr>
          <w:p>
            <w:pPr>
              <w:pStyle w:val="TableContents"/>
              <w:bidi w:val="0"/>
              <w:spacing w:before="0" w:after="283"/>
              <w:jc w:val="right"/>
              <w:rPr/>
            </w:pPr>
            <w:r>
              <w:rPr/>
              <w:t>30,000</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392" w:type="dxa"/>
            <w:tcBorders/>
            <w:shd w:fill="EEEEEE" w:val="clear"/>
            <w:tcMar>
              <w:bottom w:w="0" w:type="dxa"/>
            </w:tcMar>
            <w:vAlign w:val="center"/>
          </w:tcPr>
          <w:p>
            <w:pPr>
              <w:pStyle w:val="TableContents"/>
              <w:bidi w:val="0"/>
              <w:spacing w:before="0" w:after="283"/>
              <w:jc w:val="left"/>
              <w:rPr/>
            </w:pPr>
            <w:r>
              <w:rPr/>
              <w:t>$</w:t>
            </w:r>
          </w:p>
        </w:tc>
        <w:tc>
          <w:tcPr>
            <w:tcW w:w="392" w:type="dxa"/>
            <w:tcBorders/>
            <w:shd w:fill="EEEEEE" w:val="clear"/>
            <w:tcMar>
              <w:bottom w:w="0" w:type="dxa"/>
            </w:tcMar>
            <w:vAlign w:val="center"/>
          </w:tcPr>
          <w:p>
            <w:pPr>
              <w:pStyle w:val="TableContents"/>
              <w:bidi w:val="0"/>
              <w:spacing w:before="0" w:after="283"/>
              <w:jc w:val="right"/>
              <w:rPr/>
            </w:pPr>
            <w:r>
              <w:rPr/>
              <w:t>–</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40" w:type="dxa"/>
            <w:tcBorders/>
            <w:shd w:fill="EEEEEE" w:val="clear"/>
            <w:tcMar>
              <w:bottom w:w="0" w:type="dxa"/>
            </w:tcMar>
            <w:vAlign w:val="center"/>
          </w:tcPr>
          <w:p>
            <w:pPr>
              <w:pStyle w:val="TableContents"/>
              <w:bidi w:val="0"/>
              <w:spacing w:before="0" w:after="283"/>
              <w:jc w:val="left"/>
              <w:rPr/>
            </w:pPr>
            <w:r>
              <w:rPr/>
              <w:t>$</w:t>
            </w:r>
          </w:p>
        </w:tc>
        <w:tc>
          <w:tcPr>
            <w:tcW w:w="680" w:type="dxa"/>
            <w:tcBorders/>
            <w:shd w:fill="EEEEEE" w:val="clear"/>
            <w:tcMar>
              <w:bottom w:w="0" w:type="dxa"/>
            </w:tcMar>
            <w:vAlign w:val="center"/>
          </w:tcPr>
          <w:p>
            <w:pPr>
              <w:pStyle w:val="TableContents"/>
              <w:bidi w:val="0"/>
              <w:spacing w:before="0" w:after="283"/>
              <w:jc w:val="right"/>
              <w:rPr/>
            </w:pPr>
            <w:r>
              <w:rPr/>
              <w:t>55,000</w:t>
            </w:r>
          </w:p>
        </w:tc>
        <w:tc>
          <w:tcPr>
            <w:tcW w:w="75" w:type="dxa"/>
            <w:tcBorders/>
            <w:shd w:fill="EEEEEE" w:val="clear"/>
            <w:tcMar>
              <w:bottom w:w="0" w:type="dxa"/>
            </w:tcMar>
            <w:vAlign w:val="center"/>
          </w:tcPr>
          <w:p>
            <w:pPr>
              <w:pStyle w:val="TableContents"/>
              <w:bidi w:val="0"/>
              <w:spacing w:before="0" w:after="283"/>
              <w:jc w:val="left"/>
              <w:rPr/>
            </w:pPr>
            <w:r>
              <w:rPr/>
              <w:t> </w:t>
            </w:r>
          </w:p>
        </w:tc>
      </w:tr>
    </w:tbl>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independent directors each receive (i) $25,000 annual cash compensation, payable in equal quarterly installments, and (ii) $30,000 in restricted stock units (“RSUs”), which were issued pursuant to our 2020 Amended Equity Incentive Plan. Aside from 51,724 shares of RSUs which were issued to one of our directors, Ms. Hanxi Li on April 19, 2023, all other directors’ stock compensation has fully vested. In addition, the chairman of our audit committee is entitled to receive an additional $5,000 annual retainer for his additional responsibilities, which retainer will be payable in equal quarterly installments. Directors will also be reimbursed for reasonable expenses incurred in connection with the performance of their duties. No compensation has been awarded to any directors who were not executive officers for the fiscal years ended June 30, 2023 and 2022.</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Equity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15, 2020, the Company’s board of directors adopted, and its stockholders approved and ratified, the iPower Inc. 2020 Equity Incentive Plan. Further on May 5, 2021, the Company’s board of directors adopted, and its stockholders approved and ratified, the 2020 Amended Equity Incentive Plan. The 2020 Amended Equity Incentive Plan allows for the issuance of up to 5,000,000 shares of common stock, whether in the form of options, restricted stock, restricted stock units, stock appreciation rights, performance units, performance shares and other stock or cash awards. The general purpose of the 2020 Amended Equity Incentive Plan is to provide an incentive to the Company’s directors, officers, employees, consultants and advisors by enabling them to share in the future growth of the Company’s business. The board of directors believes that granting equity-based compensation serves to promote continuity of management and provide for a shared interest in the welfare, growth and development of the Company. The Company believes that the 2020 Amended Equity Incentive Plan will serve to advance the Company’s interests by enhancing its ability to (i) attract and retain employees, consultants, directors and advisors who are able to contribute to the Company’s ongoing success and development, (ii) reward those employees, consultants, directors and advisors for their contributions to the Company, and (iii) encourage employees, consultants, directors and advisors to participate in the Company’s long-term growth and success.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RSU grants referenced above, on May 13, 2022, the Company granted stock options (the “Option Grants”) in the amount of (i) 3,000,000 shares to Chenlong Tan, our Chief Executive Officer and (ii) 330,000 shares to Kevin Vassily, our Chief Financial Officer. The Option Grants have an exercise price of $1.12 per share (the closing price on the grant date) and have a term of 10 years, will vest in stages upon the Company’s achievement of certain pre-determined market capitalization and revenue or operating income targets set forth in the grant agreements. During the fiscal year ended June 30, 2023, the Company granted an additional 131,130 RSUs to out directors and employees.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77" w:name="k_028"/>
      <w:bookmarkEnd w:id="877"/>
      <w:r>
        <w:rPr>
          <w:rFonts w:ascii="Times New Roman;Times;Serif" w:hAnsi="Times New Roman;Times;Serif"/>
          <w:b/>
          <w:i w:val="false"/>
          <w:caps w:val="false"/>
          <w:smallCaps w:val="false"/>
          <w:sz w:val="20"/>
        </w:rPr>
        <w:t xml:space="preserve">ITEM 12. SECURITY OWNERSHIP OF CERTAIN BENEFICIAL OWNERS AND MANAGEMENT AND RELATED STOCKHOLDER MATTERS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number of shares of common stock beneficially owned as of September 14, 2023 by:</w:t>
      </w:r>
    </w:p>
    <w:p>
      <w:pPr>
        <w:pStyle w:val="TextBody"/>
        <w:bidi w:val="0"/>
        <w:spacing w:before="0" w:after="0"/>
        <w:ind w:left="0" w:right="0" w:hanging="0"/>
        <w:jc w:val="left"/>
        <w:rPr>
          <w:caps w:val="false"/>
          <w:smallCaps w:val="false"/>
        </w:rPr>
      </w:pPr>
      <w:r>
        <w:rPr>
          <w:caps w:val="false"/>
          <w:smallCaps w:val="false"/>
        </w:rPr>
        <w:t> </w:t>
      </w:r>
    </w:p>
    <w:tbl>
      <w:tblPr>
        <w:tblW w:w="8245" w:type="dxa"/>
        <w:jc w:val="left"/>
        <w:tblInd w:w="0" w:type="dxa"/>
        <w:tblLayout w:type="fixed"/>
        <w:tblCellMar>
          <w:top w:w="0" w:type="dxa"/>
          <w:left w:w="0" w:type="dxa"/>
          <w:bottom w:w="0" w:type="dxa"/>
          <w:right w:w="0" w:type="dxa"/>
        </w:tblCellMar>
      </w:tblPr>
      <w:tblGrid>
        <w:gridCol w:w="75"/>
        <w:gridCol w:w="95"/>
        <w:gridCol w:w="807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0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of our stockholders who is known by us to beneficially own 5% or more of our common stock;</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0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of our executive officers;</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0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of our directors; and</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0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of our directors and current executives as a group.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Beneficial ownership is determined based on the rules and regulations of the SEC. A person has beneficial ownership of shares if such individual has the power to vote and/or dispose of shares. This power may be sole or shared and direct or indirect. Applicable percentage ownership in the following table is based on the total of 29,764,374 shares of common stock outstanding as of September 14, 2023. </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shd w:fill="FFFFFF" w:val="clear"/>
        </w:rPr>
        <w:t>In computing the number of shares beneficially owned by a person and the percentage ownership of that person, shares of common stock that are subject to options or warrants held by that person and exercisable as of, or within sixty (60) days of, the date of this Annual Report. These shares, however, are not counted as outstanding for the purposes of computing the percentage ownership of any other person(s). Except as may be indicated in the footnotes to this table and pursuant to applicable community property laws, each person named in the table has sole voting and dispositive power with respect to the shares of common stock set forth opposite that person’s name. Unless indicated below, the address of each individual listed below is c/o iPower Inc., 2397 Bateman Avenue, Duarte, CA 91010.</w:t>
      </w:r>
    </w:p>
    <w:p>
      <w:pPr>
        <w:pStyle w:val="TextBody"/>
        <w:bidi w:val="0"/>
        <w:spacing w:before="0" w:after="0"/>
        <w:ind w:left="0" w:right="0" w:firstLine="720"/>
        <w:jc w:val="both"/>
        <w:rPr>
          <w:caps w:val="false"/>
          <w:smallCaps w:val="false"/>
          <w:shd w:fill="FFFFFF" w:val="clear"/>
        </w:rPr>
      </w:pPr>
      <w:r>
        <w:rPr>
          <w:caps w:val="false"/>
          <w:smallCaps w:val="false"/>
          <w:shd w:fill="FFFFFF" w:val="clear"/>
        </w:rPr>
        <w:t> </w:t>
      </w:r>
    </w:p>
    <w:p>
      <w:pPr>
        <w:pStyle w:val="TextBody"/>
        <w:bidi w:val="0"/>
        <w:spacing w:before="0" w:after="0"/>
        <w:ind w:left="0" w:right="0" w:firstLine="720"/>
        <w:jc w:val="both"/>
        <w:rPr>
          <w:caps w:val="false"/>
          <w:smallCaps w:val="false"/>
          <w:shd w:fill="FFFFFF" w:val="clear"/>
        </w:rPr>
      </w:pPr>
      <w:r>
        <w:rPr>
          <w:caps w:val="false"/>
          <w:smallCaps w:val="false"/>
          <w:shd w:fill="FFFFFF" w:val="clear"/>
        </w:rPr>
        <w:t> </w:t>
      </w:r>
    </w:p>
    <w:p>
      <w:pPr>
        <w:pStyle w:val="TextBody"/>
        <w:bidi w:val="0"/>
        <w:spacing w:before="0" w:after="0"/>
        <w:ind w:left="0" w:right="0" w:firstLine="720"/>
        <w:jc w:val="both"/>
        <w:rPr>
          <w:caps w:val="false"/>
          <w:smallCaps w:val="false"/>
          <w:shd w:fill="FFFFFF" w:val="clear"/>
        </w:rPr>
      </w:pPr>
      <w:r>
        <w:rPr>
          <w:caps w:val="false"/>
          <w:smallCaps w:val="false"/>
          <w:shd w:fill="FFFFFF" w:val="clea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shd w:fill="FFFFFF" w:val="clear"/>
        </w:rPr>
      </w:pPr>
      <w:r>
        <w:rPr>
          <w:caps w:val="false"/>
          <w:smallCaps w:val="false"/>
          <w:shd w:fill="FFFFFF" w:val="clear"/>
        </w:rPr>
        <w:t> </w:t>
      </w:r>
    </w:p>
    <w:tbl>
      <w:tblPr>
        <w:tblW w:w="10205" w:type="dxa"/>
        <w:jc w:val="left"/>
        <w:tblInd w:w="0" w:type="dxa"/>
        <w:tblLayout w:type="fixed"/>
        <w:tblCellMar>
          <w:top w:w="0" w:type="dxa"/>
          <w:left w:w="0" w:type="dxa"/>
          <w:bottom w:w="28" w:type="dxa"/>
          <w:right w:w="0" w:type="dxa"/>
        </w:tblCellMar>
      </w:tblPr>
      <w:tblGrid>
        <w:gridCol w:w="2821"/>
        <w:gridCol w:w="60"/>
        <w:gridCol w:w="248"/>
        <w:gridCol w:w="3546"/>
        <w:gridCol w:w="60"/>
        <w:gridCol w:w="60"/>
        <w:gridCol w:w="365"/>
        <w:gridCol w:w="2968"/>
        <w:gridCol w:w="77"/>
      </w:tblGrid>
      <w:tr>
        <w:trPr/>
        <w:tc>
          <w:tcPr>
            <w:tcW w:w="2821" w:type="dxa"/>
            <w:tcBorders>
              <w:bottom w:val="single" w:sz="8" w:space="0" w:color="000000"/>
            </w:tcBorders>
            <w:vAlign w:val="center"/>
          </w:tcPr>
          <w:p>
            <w:pPr>
              <w:pStyle w:val="TableContents"/>
              <w:bidi w:val="0"/>
              <w:spacing w:before="0" w:after="283"/>
              <w:jc w:val="center"/>
              <w:rPr>
                <w:b/>
                <w:sz w:val="20"/>
              </w:rPr>
            </w:pPr>
            <w:r>
              <w:rPr>
                <w:b/>
                <w:sz w:val="20"/>
              </w:rPr>
              <w:t>Name of Beneficial Owner</w:t>
            </w:r>
          </w:p>
        </w:tc>
        <w:tc>
          <w:tcPr>
            <w:tcW w:w="60" w:type="dxa"/>
            <w:tcBorders/>
            <w:tcMar>
              <w:bottom w:w="0" w:type="dxa"/>
            </w:tcMar>
            <w:vAlign w:val="center"/>
          </w:tcPr>
          <w:p>
            <w:pPr>
              <w:pStyle w:val="TableContents"/>
              <w:bidi w:val="0"/>
              <w:spacing w:before="0" w:after="283"/>
              <w:jc w:val="left"/>
              <w:rPr/>
            </w:pPr>
            <w:r>
              <w:rPr/>
              <w:t> </w:t>
            </w:r>
          </w:p>
        </w:tc>
        <w:tc>
          <w:tcPr>
            <w:tcW w:w="3794" w:type="dxa"/>
            <w:gridSpan w:val="2"/>
            <w:tcBorders>
              <w:bottom w:val="single" w:sz="8" w:space="0" w:color="000000"/>
            </w:tcBorders>
            <w:vAlign w:val="center"/>
          </w:tcPr>
          <w:p>
            <w:pPr>
              <w:pStyle w:val="TableContents"/>
              <w:bidi w:val="0"/>
              <w:spacing w:before="0" w:after="283"/>
              <w:jc w:val="center"/>
              <w:rPr>
                <w:b/>
                <w:sz w:val="20"/>
              </w:rPr>
            </w:pPr>
            <w:r>
              <w:rPr>
                <w:b/>
                <w:sz w:val="20"/>
              </w:rPr>
              <w:t>No. of Shares Common Stock Beneficially Owned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333" w:type="dxa"/>
            <w:gridSpan w:val="2"/>
            <w:tcBorders>
              <w:bottom w:val="single" w:sz="8" w:space="0" w:color="000000"/>
            </w:tcBorders>
            <w:vAlign w:val="center"/>
          </w:tcPr>
          <w:p>
            <w:pPr>
              <w:pStyle w:val="TableContents"/>
              <w:bidi w:val="0"/>
              <w:spacing w:before="0" w:after="283"/>
              <w:jc w:val="center"/>
              <w:rPr>
                <w:b/>
                <w:sz w:val="20"/>
              </w:rPr>
            </w:pPr>
            <w:r>
              <w:rPr>
                <w:b/>
                <w:sz w:val="20"/>
              </w:rPr>
              <w:t>Total Percentage of Common Stock Owned</w:t>
            </w:r>
          </w:p>
        </w:tc>
        <w:tc>
          <w:tcPr>
            <w:tcW w:w="77" w:type="dxa"/>
            <w:tcBorders/>
            <w:tcMar>
              <w:bottom w:w="0" w:type="dxa"/>
            </w:tcMar>
            <w:vAlign w:val="center"/>
          </w:tcPr>
          <w:p>
            <w:pPr>
              <w:pStyle w:val="TableContents"/>
              <w:bidi w:val="0"/>
              <w:spacing w:before="0" w:after="283"/>
              <w:jc w:val="left"/>
              <w:rPr/>
            </w:pPr>
            <w:r>
              <w:rPr/>
              <w:t> </w:t>
            </w:r>
          </w:p>
        </w:tc>
      </w:tr>
      <w:tr>
        <w:trPr/>
        <w:tc>
          <w:tcPr>
            <w:tcW w:w="2821" w:type="dxa"/>
            <w:tcBorders/>
            <w:shd w:fill="EEEEEE" w:val="clear"/>
            <w:tcMar>
              <w:bottom w:w="0" w:type="dxa"/>
            </w:tcMar>
            <w:vAlign w:val="center"/>
          </w:tcPr>
          <w:p>
            <w:pPr>
              <w:pStyle w:val="TableContents"/>
              <w:bidi w:val="0"/>
              <w:spacing w:before="0" w:after="283"/>
              <w:jc w:val="left"/>
              <w:rPr>
                <w:sz w:val="20"/>
              </w:rPr>
            </w:pPr>
            <w:r>
              <w:rPr>
                <w:sz w:val="20"/>
              </w:rPr>
              <w:t>Chenlong Tan (1)</w:t>
            </w:r>
          </w:p>
        </w:tc>
        <w:tc>
          <w:tcPr>
            <w:tcW w:w="60" w:type="dxa"/>
            <w:tcBorders/>
            <w:shd w:fill="EEEEEE" w:val="clear"/>
            <w:tcMar>
              <w:bottom w:w="0" w:type="dxa"/>
            </w:tcMar>
            <w:vAlign w:val="center"/>
          </w:tcPr>
          <w:p>
            <w:pPr>
              <w:pStyle w:val="TableContents"/>
              <w:bidi w:val="0"/>
              <w:spacing w:before="0" w:after="283"/>
              <w:jc w:val="left"/>
              <w:rPr/>
            </w:pPr>
            <w:r>
              <w:rPr/>
              <w:t> </w:t>
            </w:r>
          </w:p>
        </w:tc>
        <w:tc>
          <w:tcPr>
            <w:tcW w:w="248" w:type="dxa"/>
            <w:tcBorders/>
            <w:shd w:fill="EEEEEE" w:val="clear"/>
            <w:tcMar>
              <w:bottom w:w="0" w:type="dxa"/>
            </w:tcMar>
            <w:vAlign w:val="center"/>
          </w:tcPr>
          <w:p>
            <w:pPr>
              <w:pStyle w:val="TableContents"/>
              <w:bidi w:val="0"/>
              <w:spacing w:before="0" w:after="283"/>
              <w:jc w:val="left"/>
              <w:rPr/>
            </w:pPr>
            <w:r>
              <w:rPr/>
              <w:t> </w:t>
            </w:r>
          </w:p>
        </w:tc>
        <w:tc>
          <w:tcPr>
            <w:tcW w:w="3546" w:type="dxa"/>
            <w:tcBorders/>
            <w:shd w:fill="EEEEEE" w:val="clear"/>
            <w:tcMar>
              <w:bottom w:w="0" w:type="dxa"/>
            </w:tcMar>
            <w:vAlign w:val="center"/>
          </w:tcPr>
          <w:p>
            <w:pPr>
              <w:pStyle w:val="TableContents"/>
              <w:bidi w:val="0"/>
              <w:spacing w:before="0" w:after="283"/>
              <w:jc w:val="right"/>
              <w:rPr>
                <w:sz w:val="20"/>
              </w:rPr>
            </w:pPr>
            <w:r>
              <w:rPr>
                <w:sz w:val="20"/>
              </w:rPr>
              <w:t>8,043,334</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365" w:type="dxa"/>
            <w:tcBorders/>
            <w:shd w:fill="EEEEEE" w:val="clear"/>
            <w:tcMar>
              <w:bottom w:w="0" w:type="dxa"/>
            </w:tcMar>
            <w:vAlign w:val="center"/>
          </w:tcPr>
          <w:p>
            <w:pPr>
              <w:pStyle w:val="TableContents"/>
              <w:bidi w:val="0"/>
              <w:spacing w:before="0" w:after="283"/>
              <w:jc w:val="left"/>
              <w:rPr/>
            </w:pPr>
            <w:r>
              <w:rPr/>
              <w:t> </w:t>
            </w:r>
          </w:p>
        </w:tc>
        <w:tc>
          <w:tcPr>
            <w:tcW w:w="2968" w:type="dxa"/>
            <w:tcBorders/>
            <w:shd w:fill="EEEEEE" w:val="clear"/>
            <w:tcMar>
              <w:bottom w:w="0" w:type="dxa"/>
            </w:tcMar>
            <w:vAlign w:val="center"/>
          </w:tcPr>
          <w:p>
            <w:pPr>
              <w:pStyle w:val="TableContents"/>
              <w:bidi w:val="0"/>
              <w:spacing w:before="0" w:after="283"/>
              <w:jc w:val="right"/>
              <w:rPr>
                <w:sz w:val="20"/>
              </w:rPr>
            </w:pPr>
            <w:r>
              <w:rPr>
                <w:sz w:val="20"/>
              </w:rPr>
              <w:t>27.02%</w:t>
            </w:r>
          </w:p>
        </w:tc>
        <w:tc>
          <w:tcPr>
            <w:tcW w:w="77" w:type="dxa"/>
            <w:tcBorders/>
            <w:shd w:fill="EEEEEE" w:val="clear"/>
            <w:tcMar>
              <w:bottom w:w="0" w:type="dxa"/>
            </w:tcMar>
            <w:vAlign w:val="center"/>
          </w:tcPr>
          <w:p>
            <w:pPr>
              <w:pStyle w:val="TableContents"/>
              <w:bidi w:val="0"/>
              <w:spacing w:before="0" w:after="283"/>
              <w:jc w:val="left"/>
              <w:rPr/>
            </w:pPr>
            <w:r>
              <w:rPr/>
              <w:t> </w:t>
            </w:r>
          </w:p>
        </w:tc>
      </w:tr>
      <w:tr>
        <w:trPr/>
        <w:tc>
          <w:tcPr>
            <w:tcW w:w="2821" w:type="dxa"/>
            <w:tcBorders/>
            <w:shd w:fill="FFFFFF" w:val="clear"/>
            <w:tcMar>
              <w:bottom w:w="0" w:type="dxa"/>
            </w:tcMar>
            <w:vAlign w:val="center"/>
          </w:tcPr>
          <w:p>
            <w:pPr>
              <w:pStyle w:val="TableContents"/>
              <w:bidi w:val="0"/>
              <w:spacing w:before="0" w:after="283"/>
              <w:jc w:val="left"/>
              <w:rPr>
                <w:sz w:val="20"/>
              </w:rPr>
            </w:pPr>
            <w:r>
              <w:rPr>
                <w:sz w:val="20"/>
              </w:rPr>
              <w:t>Kevin Vassily (2)</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8" w:type="dxa"/>
            <w:tcBorders/>
            <w:shd w:fill="FFFFFF" w:val="clear"/>
            <w:tcMar>
              <w:bottom w:w="0" w:type="dxa"/>
            </w:tcMar>
            <w:vAlign w:val="center"/>
          </w:tcPr>
          <w:p>
            <w:pPr>
              <w:pStyle w:val="TableContents"/>
              <w:bidi w:val="0"/>
              <w:spacing w:before="0" w:after="283"/>
              <w:jc w:val="left"/>
              <w:rPr/>
            </w:pPr>
            <w:r>
              <w:rPr/>
              <w:t> </w:t>
            </w:r>
          </w:p>
        </w:tc>
        <w:tc>
          <w:tcPr>
            <w:tcW w:w="3546" w:type="dxa"/>
            <w:tcBorders/>
            <w:shd w:fill="FFFFFF" w:val="clear"/>
            <w:tcMar>
              <w:bottom w:w="0" w:type="dxa"/>
            </w:tcMar>
            <w:vAlign w:val="center"/>
          </w:tcPr>
          <w:p>
            <w:pPr>
              <w:pStyle w:val="TableContents"/>
              <w:bidi w:val="0"/>
              <w:spacing w:before="0" w:after="283"/>
              <w:jc w:val="right"/>
              <w:rPr>
                <w:sz w:val="20"/>
              </w:rPr>
            </w:pPr>
            <w:r>
              <w:rPr>
                <w:sz w:val="20"/>
              </w:rPr>
              <w:t>22,000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5" w:type="dxa"/>
            <w:tcBorders/>
            <w:shd w:fill="FFFFFF" w:val="clear"/>
            <w:tcMar>
              <w:bottom w:w="0" w:type="dxa"/>
            </w:tcMar>
            <w:vAlign w:val="center"/>
          </w:tcPr>
          <w:p>
            <w:pPr>
              <w:pStyle w:val="TableContents"/>
              <w:bidi w:val="0"/>
              <w:spacing w:before="0" w:after="283"/>
              <w:jc w:val="left"/>
              <w:rPr/>
            </w:pPr>
            <w:r>
              <w:rPr/>
              <w:t> </w:t>
            </w:r>
          </w:p>
        </w:tc>
        <w:tc>
          <w:tcPr>
            <w:tcW w:w="2968" w:type="dxa"/>
            <w:tcBorders/>
            <w:shd w:fill="FFFFFF" w:val="clear"/>
            <w:tcMar>
              <w:bottom w:w="0" w:type="dxa"/>
            </w:tcMar>
            <w:vAlign w:val="center"/>
          </w:tcPr>
          <w:p>
            <w:pPr>
              <w:pStyle w:val="TableContents"/>
              <w:bidi w:val="0"/>
              <w:spacing w:before="0" w:after="283"/>
              <w:jc w:val="right"/>
              <w:rPr>
                <w:sz w:val="20"/>
              </w:rPr>
            </w:pPr>
            <w:r>
              <w:rPr>
                <w:sz w:val="20"/>
              </w:rPr>
              <w:t xml:space="preserve">*% </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2821" w:type="dxa"/>
            <w:tcBorders/>
            <w:shd w:fill="EEEEEE" w:val="clear"/>
            <w:tcMar>
              <w:bottom w:w="0" w:type="dxa"/>
            </w:tcMar>
            <w:vAlign w:val="center"/>
          </w:tcPr>
          <w:p>
            <w:pPr>
              <w:pStyle w:val="TableContents"/>
              <w:bidi w:val="0"/>
              <w:spacing w:before="0" w:after="283"/>
              <w:jc w:val="left"/>
              <w:rPr>
                <w:sz w:val="20"/>
              </w:rPr>
            </w:pPr>
            <w:r>
              <w:rPr>
                <w:sz w:val="20"/>
              </w:rPr>
              <w:t>Bennet Tchaikovsky (3)</w:t>
            </w:r>
          </w:p>
        </w:tc>
        <w:tc>
          <w:tcPr>
            <w:tcW w:w="60" w:type="dxa"/>
            <w:tcBorders/>
            <w:shd w:fill="EEEEEE" w:val="clear"/>
            <w:tcMar>
              <w:bottom w:w="0" w:type="dxa"/>
            </w:tcMar>
            <w:vAlign w:val="center"/>
          </w:tcPr>
          <w:p>
            <w:pPr>
              <w:pStyle w:val="TableContents"/>
              <w:bidi w:val="0"/>
              <w:spacing w:before="0" w:after="283"/>
              <w:jc w:val="left"/>
              <w:rPr/>
            </w:pPr>
            <w:r>
              <w:rPr/>
              <w:t> </w:t>
            </w:r>
          </w:p>
        </w:tc>
        <w:tc>
          <w:tcPr>
            <w:tcW w:w="248" w:type="dxa"/>
            <w:tcBorders/>
            <w:shd w:fill="EEEEEE" w:val="clear"/>
            <w:tcMar>
              <w:bottom w:w="0" w:type="dxa"/>
            </w:tcMar>
            <w:vAlign w:val="center"/>
          </w:tcPr>
          <w:p>
            <w:pPr>
              <w:pStyle w:val="TableContents"/>
              <w:bidi w:val="0"/>
              <w:spacing w:before="0" w:after="283"/>
              <w:jc w:val="left"/>
              <w:rPr/>
            </w:pPr>
            <w:r>
              <w:rPr/>
              <w:t> </w:t>
            </w:r>
          </w:p>
        </w:tc>
        <w:tc>
          <w:tcPr>
            <w:tcW w:w="3546" w:type="dxa"/>
            <w:tcBorders/>
            <w:shd w:fill="EEEEEE" w:val="clear"/>
            <w:tcMar>
              <w:bottom w:w="0" w:type="dxa"/>
            </w:tcMar>
            <w:vAlign w:val="center"/>
          </w:tcPr>
          <w:p>
            <w:pPr>
              <w:pStyle w:val="TableContents"/>
              <w:bidi w:val="0"/>
              <w:spacing w:before="0" w:after="283"/>
              <w:jc w:val="right"/>
              <w:rPr>
                <w:sz w:val="20"/>
              </w:rPr>
            </w:pPr>
            <w:r>
              <w:rPr>
                <w:sz w:val="20"/>
              </w:rPr>
              <w:t>55,600</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365" w:type="dxa"/>
            <w:tcBorders/>
            <w:shd w:fill="EEEEEE" w:val="clear"/>
            <w:tcMar>
              <w:bottom w:w="0" w:type="dxa"/>
            </w:tcMar>
            <w:vAlign w:val="center"/>
          </w:tcPr>
          <w:p>
            <w:pPr>
              <w:pStyle w:val="TableContents"/>
              <w:bidi w:val="0"/>
              <w:spacing w:before="0" w:after="283"/>
              <w:jc w:val="left"/>
              <w:rPr/>
            </w:pPr>
            <w:r>
              <w:rPr/>
              <w:t> </w:t>
            </w:r>
          </w:p>
        </w:tc>
        <w:tc>
          <w:tcPr>
            <w:tcW w:w="2968" w:type="dxa"/>
            <w:tcBorders/>
            <w:shd w:fill="EEEEEE" w:val="clear"/>
            <w:tcMar>
              <w:bottom w:w="0" w:type="dxa"/>
            </w:tcMar>
            <w:vAlign w:val="center"/>
          </w:tcPr>
          <w:p>
            <w:pPr>
              <w:pStyle w:val="TableContents"/>
              <w:bidi w:val="0"/>
              <w:spacing w:before="0" w:after="283"/>
              <w:jc w:val="right"/>
              <w:rPr>
                <w:sz w:val="20"/>
              </w:rPr>
            </w:pPr>
            <w:r>
              <w:rPr>
                <w:sz w:val="20"/>
              </w:rPr>
              <w:t xml:space="preserve">*% </w:t>
            </w:r>
          </w:p>
        </w:tc>
        <w:tc>
          <w:tcPr>
            <w:tcW w:w="77" w:type="dxa"/>
            <w:tcBorders/>
            <w:shd w:fill="EEEEEE" w:val="clear"/>
            <w:tcMar>
              <w:bottom w:w="0" w:type="dxa"/>
            </w:tcMar>
            <w:vAlign w:val="center"/>
          </w:tcPr>
          <w:p>
            <w:pPr>
              <w:pStyle w:val="TableContents"/>
              <w:bidi w:val="0"/>
              <w:spacing w:before="0" w:after="283"/>
              <w:jc w:val="left"/>
              <w:rPr/>
            </w:pPr>
            <w:r>
              <w:rPr/>
              <w:t> </w:t>
            </w:r>
          </w:p>
        </w:tc>
      </w:tr>
      <w:tr>
        <w:trPr/>
        <w:tc>
          <w:tcPr>
            <w:tcW w:w="2821" w:type="dxa"/>
            <w:tcBorders/>
            <w:shd w:fill="FFFFFF" w:val="clear"/>
            <w:tcMar>
              <w:bottom w:w="0" w:type="dxa"/>
            </w:tcMar>
            <w:vAlign w:val="center"/>
          </w:tcPr>
          <w:p>
            <w:pPr>
              <w:pStyle w:val="TableContents"/>
              <w:bidi w:val="0"/>
              <w:spacing w:before="0" w:after="283"/>
              <w:jc w:val="left"/>
              <w:rPr>
                <w:sz w:val="20"/>
              </w:rPr>
            </w:pPr>
            <w:r>
              <w:rPr>
                <w:sz w:val="20"/>
              </w:rPr>
              <w:t>Kevin Liles (4)</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8" w:type="dxa"/>
            <w:tcBorders/>
            <w:shd w:fill="FFFFFF" w:val="clear"/>
            <w:tcMar>
              <w:bottom w:w="0" w:type="dxa"/>
            </w:tcMar>
            <w:vAlign w:val="center"/>
          </w:tcPr>
          <w:p>
            <w:pPr>
              <w:pStyle w:val="TableContents"/>
              <w:bidi w:val="0"/>
              <w:spacing w:before="0" w:after="283"/>
              <w:jc w:val="left"/>
              <w:rPr/>
            </w:pPr>
            <w:r>
              <w:rPr/>
              <w:t> </w:t>
            </w:r>
          </w:p>
        </w:tc>
        <w:tc>
          <w:tcPr>
            <w:tcW w:w="3546" w:type="dxa"/>
            <w:tcBorders/>
            <w:shd w:fill="FFFFFF" w:val="clear"/>
            <w:tcMar>
              <w:bottom w:w="0" w:type="dxa"/>
            </w:tcMar>
            <w:vAlign w:val="center"/>
          </w:tcPr>
          <w:p>
            <w:pPr>
              <w:pStyle w:val="TableContents"/>
              <w:bidi w:val="0"/>
              <w:spacing w:before="0" w:after="283"/>
              <w:jc w:val="right"/>
              <w:rPr>
                <w:sz w:val="20"/>
              </w:rPr>
            </w:pPr>
            <w:r>
              <w:rPr>
                <w:sz w:val="20"/>
              </w:rPr>
              <w:t>55,600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5" w:type="dxa"/>
            <w:tcBorders/>
            <w:shd w:fill="FFFFFF" w:val="clear"/>
            <w:tcMar>
              <w:bottom w:w="0" w:type="dxa"/>
            </w:tcMar>
            <w:vAlign w:val="center"/>
          </w:tcPr>
          <w:p>
            <w:pPr>
              <w:pStyle w:val="TableContents"/>
              <w:bidi w:val="0"/>
              <w:spacing w:before="0" w:after="283"/>
              <w:jc w:val="left"/>
              <w:rPr/>
            </w:pPr>
            <w:r>
              <w:rPr/>
              <w:t> </w:t>
            </w:r>
          </w:p>
        </w:tc>
        <w:tc>
          <w:tcPr>
            <w:tcW w:w="2968" w:type="dxa"/>
            <w:tcBorders/>
            <w:shd w:fill="FFFFFF" w:val="clear"/>
            <w:tcMar>
              <w:bottom w:w="0" w:type="dxa"/>
            </w:tcMar>
            <w:vAlign w:val="center"/>
          </w:tcPr>
          <w:p>
            <w:pPr>
              <w:pStyle w:val="TableContents"/>
              <w:bidi w:val="0"/>
              <w:spacing w:before="0" w:after="283"/>
              <w:jc w:val="right"/>
              <w:rPr>
                <w:sz w:val="20"/>
              </w:rPr>
            </w:pPr>
            <w:r>
              <w:rPr>
                <w:sz w:val="20"/>
              </w:rPr>
              <w:t>*%</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2821" w:type="dxa"/>
            <w:tcBorders/>
            <w:shd w:fill="EEEEEE" w:val="clear"/>
            <w:tcMar>
              <w:bottom w:w="0" w:type="dxa"/>
            </w:tcMar>
            <w:vAlign w:val="center"/>
          </w:tcPr>
          <w:p>
            <w:pPr>
              <w:pStyle w:val="TableContents"/>
              <w:bidi w:val="0"/>
              <w:spacing w:before="0" w:after="283"/>
              <w:jc w:val="left"/>
              <w:rPr>
                <w:sz w:val="20"/>
              </w:rPr>
            </w:pPr>
            <w:r>
              <w:rPr>
                <w:sz w:val="20"/>
              </w:rPr>
              <w:t>Hanxi Li (5)</w:t>
            </w:r>
          </w:p>
        </w:tc>
        <w:tc>
          <w:tcPr>
            <w:tcW w:w="60" w:type="dxa"/>
            <w:tcBorders/>
            <w:shd w:fill="EEEEEE" w:val="clear"/>
            <w:tcMar>
              <w:bottom w:w="0" w:type="dxa"/>
            </w:tcMar>
            <w:vAlign w:val="center"/>
          </w:tcPr>
          <w:p>
            <w:pPr>
              <w:pStyle w:val="TableContents"/>
              <w:bidi w:val="0"/>
              <w:spacing w:before="0" w:after="283"/>
              <w:jc w:val="left"/>
              <w:rPr/>
            </w:pPr>
            <w:r>
              <w:rPr/>
              <w:t> </w:t>
            </w:r>
          </w:p>
        </w:tc>
        <w:tc>
          <w:tcPr>
            <w:tcW w:w="248" w:type="dxa"/>
            <w:tcBorders/>
            <w:shd w:fill="EEEEEE" w:val="clear"/>
            <w:tcMar>
              <w:bottom w:w="0" w:type="dxa"/>
            </w:tcMar>
            <w:vAlign w:val="center"/>
          </w:tcPr>
          <w:p>
            <w:pPr>
              <w:pStyle w:val="TableContents"/>
              <w:bidi w:val="0"/>
              <w:spacing w:before="0" w:after="283"/>
              <w:jc w:val="left"/>
              <w:rPr/>
            </w:pPr>
            <w:r>
              <w:rPr/>
              <w:t> </w:t>
            </w:r>
          </w:p>
        </w:tc>
        <w:tc>
          <w:tcPr>
            <w:tcW w:w="3546" w:type="dxa"/>
            <w:tcBorders/>
            <w:shd w:fill="EEEEEE" w:val="clear"/>
            <w:tcMar>
              <w:bottom w:w="0" w:type="dxa"/>
            </w:tcMar>
            <w:vAlign w:val="center"/>
          </w:tcPr>
          <w:p>
            <w:pPr>
              <w:pStyle w:val="TableContents"/>
              <w:bidi w:val="0"/>
              <w:spacing w:before="0" w:after="283"/>
              <w:jc w:val="right"/>
              <w:rPr>
                <w:sz w:val="20"/>
              </w:rPr>
            </w:pPr>
            <w:r>
              <w:rPr>
                <w:sz w:val="20"/>
              </w:rPr>
              <w:t>64,941</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365" w:type="dxa"/>
            <w:tcBorders/>
            <w:shd w:fill="EEEEEE" w:val="clear"/>
            <w:tcMar>
              <w:bottom w:w="0" w:type="dxa"/>
            </w:tcMar>
            <w:vAlign w:val="center"/>
          </w:tcPr>
          <w:p>
            <w:pPr>
              <w:pStyle w:val="TableContents"/>
              <w:bidi w:val="0"/>
              <w:spacing w:before="0" w:after="283"/>
              <w:jc w:val="left"/>
              <w:rPr/>
            </w:pPr>
            <w:r>
              <w:rPr/>
              <w:t> </w:t>
            </w:r>
          </w:p>
        </w:tc>
        <w:tc>
          <w:tcPr>
            <w:tcW w:w="2968" w:type="dxa"/>
            <w:tcBorders/>
            <w:shd w:fill="EEEEEE" w:val="clear"/>
            <w:tcMar>
              <w:bottom w:w="0" w:type="dxa"/>
            </w:tcMar>
            <w:vAlign w:val="center"/>
          </w:tcPr>
          <w:p>
            <w:pPr>
              <w:pStyle w:val="TableContents"/>
              <w:bidi w:val="0"/>
              <w:spacing w:before="0" w:after="283"/>
              <w:jc w:val="right"/>
              <w:rPr>
                <w:sz w:val="20"/>
              </w:rPr>
            </w:pPr>
            <w:r>
              <w:rPr>
                <w:sz w:val="20"/>
              </w:rPr>
              <w:t xml:space="preserve">*% </w:t>
            </w:r>
          </w:p>
        </w:tc>
        <w:tc>
          <w:tcPr>
            <w:tcW w:w="77" w:type="dxa"/>
            <w:tcBorders/>
            <w:shd w:fill="EEEEEE" w:val="clear"/>
            <w:tcMar>
              <w:bottom w:w="0" w:type="dxa"/>
            </w:tcMar>
            <w:vAlign w:val="center"/>
          </w:tcPr>
          <w:p>
            <w:pPr>
              <w:pStyle w:val="TableContents"/>
              <w:bidi w:val="0"/>
              <w:spacing w:before="0" w:after="283"/>
              <w:jc w:val="left"/>
              <w:rPr/>
            </w:pPr>
            <w:r>
              <w:rPr/>
              <w:t> </w:t>
            </w:r>
          </w:p>
        </w:tc>
      </w:tr>
      <w:tr>
        <w:trPr/>
        <w:tc>
          <w:tcPr>
            <w:tcW w:w="2821" w:type="dxa"/>
            <w:tcBorders/>
            <w:shd w:fill="FFFFFF" w:val="clear"/>
            <w:tcMar>
              <w:bottom w:w="0" w:type="dxa"/>
            </w:tcMar>
            <w:vAlign w:val="center"/>
          </w:tcPr>
          <w:p>
            <w:pPr>
              <w:pStyle w:val="TableContents"/>
              <w:bidi w:val="0"/>
              <w:spacing w:before="0" w:after="283"/>
              <w:jc w:val="left"/>
              <w:rPr>
                <w:sz w:val="20"/>
              </w:rPr>
            </w:pPr>
            <w:r>
              <w:rPr>
                <w:sz w:val="20"/>
              </w:rPr>
              <w:t>All Officers and Directors (5 Persons)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8" w:type="dxa"/>
            <w:tcBorders/>
            <w:shd w:fill="FFFFFF" w:val="clear"/>
            <w:tcMar>
              <w:bottom w:w="0" w:type="dxa"/>
            </w:tcMar>
            <w:vAlign w:val="center"/>
          </w:tcPr>
          <w:p>
            <w:pPr>
              <w:pStyle w:val="TableContents"/>
              <w:bidi w:val="0"/>
              <w:spacing w:before="0" w:after="283"/>
              <w:jc w:val="left"/>
              <w:rPr/>
            </w:pPr>
            <w:r>
              <w:rPr/>
              <w:t> </w:t>
            </w:r>
          </w:p>
        </w:tc>
        <w:tc>
          <w:tcPr>
            <w:tcW w:w="3546" w:type="dxa"/>
            <w:tcBorders/>
            <w:shd w:fill="FFFFFF" w:val="clear"/>
            <w:tcMar>
              <w:bottom w:w="0" w:type="dxa"/>
            </w:tcMar>
            <w:vAlign w:val="center"/>
          </w:tcPr>
          <w:p>
            <w:pPr>
              <w:pStyle w:val="TableContents"/>
              <w:bidi w:val="0"/>
              <w:spacing w:before="0" w:after="283"/>
              <w:jc w:val="right"/>
              <w:rPr>
                <w:sz w:val="20"/>
              </w:rPr>
            </w:pPr>
            <w:r>
              <w:rPr>
                <w:sz w:val="20"/>
              </w:rPr>
              <w:t>8,241,475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5" w:type="dxa"/>
            <w:tcBorders/>
            <w:shd w:fill="FFFFFF" w:val="clear"/>
            <w:tcMar>
              <w:bottom w:w="0" w:type="dxa"/>
            </w:tcMar>
            <w:vAlign w:val="center"/>
          </w:tcPr>
          <w:p>
            <w:pPr>
              <w:pStyle w:val="TableContents"/>
              <w:bidi w:val="0"/>
              <w:spacing w:before="0" w:after="283"/>
              <w:jc w:val="left"/>
              <w:rPr/>
            </w:pPr>
            <w:r>
              <w:rPr/>
              <w:t> </w:t>
            </w:r>
          </w:p>
        </w:tc>
        <w:tc>
          <w:tcPr>
            <w:tcW w:w="2968" w:type="dxa"/>
            <w:tcBorders/>
            <w:shd w:fill="FFFFFF" w:val="clear"/>
            <w:tcMar>
              <w:bottom w:w="0" w:type="dxa"/>
            </w:tcMar>
            <w:vAlign w:val="center"/>
          </w:tcPr>
          <w:p>
            <w:pPr>
              <w:pStyle w:val="TableContents"/>
              <w:bidi w:val="0"/>
              <w:spacing w:before="0" w:after="283"/>
              <w:jc w:val="right"/>
              <w:rPr>
                <w:sz w:val="20"/>
              </w:rPr>
            </w:pPr>
            <w:r>
              <w:rPr>
                <w:sz w:val="20"/>
              </w:rPr>
              <w:t>27.67%</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2821"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248" w:type="dxa"/>
            <w:tcBorders/>
            <w:shd w:fill="EEEEEE" w:val="clear"/>
            <w:tcMar>
              <w:bottom w:w="0" w:type="dxa"/>
            </w:tcMar>
            <w:vAlign w:val="center"/>
          </w:tcPr>
          <w:p>
            <w:pPr>
              <w:pStyle w:val="TableContents"/>
              <w:bidi w:val="0"/>
              <w:spacing w:before="0" w:after="283"/>
              <w:jc w:val="left"/>
              <w:rPr/>
            </w:pPr>
            <w:r>
              <w:rPr/>
              <w:t> </w:t>
            </w:r>
          </w:p>
        </w:tc>
        <w:tc>
          <w:tcPr>
            <w:tcW w:w="3546" w:type="dxa"/>
            <w:tcBorders/>
            <w:shd w:fill="EEEEEE" w:val="clear"/>
            <w:tcMar>
              <w:bottom w:w="0" w:type="dxa"/>
            </w:tcMar>
            <w:vAlign w:val="center"/>
          </w:tcPr>
          <w:p>
            <w:pPr>
              <w:pStyle w:val="TableContents"/>
              <w:bidi w:val="0"/>
              <w:spacing w:before="0" w:after="283"/>
              <w:jc w:val="righ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365" w:type="dxa"/>
            <w:tcBorders/>
            <w:shd w:fill="EEEEEE" w:val="clear"/>
            <w:tcMar>
              <w:bottom w:w="0" w:type="dxa"/>
            </w:tcMar>
            <w:vAlign w:val="center"/>
          </w:tcPr>
          <w:p>
            <w:pPr>
              <w:pStyle w:val="TableContents"/>
              <w:bidi w:val="0"/>
              <w:spacing w:before="0" w:after="283"/>
              <w:jc w:val="left"/>
              <w:rPr/>
            </w:pPr>
            <w:r>
              <w:rPr/>
              <w:t> </w:t>
            </w:r>
          </w:p>
        </w:tc>
        <w:tc>
          <w:tcPr>
            <w:tcW w:w="2968" w:type="dxa"/>
            <w:tcBorders/>
            <w:shd w:fill="EEEEEE" w:val="clear"/>
            <w:tcMar>
              <w:bottom w:w="0" w:type="dxa"/>
            </w:tcMar>
            <w:vAlign w:val="center"/>
          </w:tcPr>
          <w:p>
            <w:pPr>
              <w:pStyle w:val="TableContents"/>
              <w:bidi w:val="0"/>
              <w:spacing w:before="0" w:after="283"/>
              <w:jc w:val="right"/>
              <w:rPr/>
            </w:pPr>
            <w:r>
              <w:rPr/>
              <w:t> </w:t>
            </w:r>
          </w:p>
        </w:tc>
        <w:tc>
          <w:tcPr>
            <w:tcW w:w="77" w:type="dxa"/>
            <w:tcBorders/>
            <w:shd w:fill="EEEEEE" w:val="clear"/>
            <w:tcMar>
              <w:bottom w:w="0" w:type="dxa"/>
            </w:tcMar>
            <w:vAlign w:val="center"/>
          </w:tcPr>
          <w:p>
            <w:pPr>
              <w:pStyle w:val="TableContents"/>
              <w:bidi w:val="0"/>
              <w:spacing w:before="0" w:after="283"/>
              <w:jc w:val="left"/>
              <w:rPr/>
            </w:pPr>
            <w:r>
              <w:rPr/>
              <w:t> </w:t>
            </w:r>
          </w:p>
        </w:tc>
      </w:tr>
      <w:tr>
        <w:trPr/>
        <w:tc>
          <w:tcPr>
            <w:tcW w:w="2821" w:type="dxa"/>
            <w:tcBorders/>
            <w:shd w:fill="FFFFFF" w:val="clear"/>
            <w:tcMar>
              <w:bottom w:w="0" w:type="dxa"/>
            </w:tcMar>
            <w:vAlign w:val="center"/>
          </w:tcPr>
          <w:p>
            <w:pPr>
              <w:pStyle w:val="TableContents"/>
              <w:bidi w:val="0"/>
              <w:spacing w:before="0" w:after="283"/>
              <w:jc w:val="left"/>
              <w:rPr>
                <w:b/>
                <w:sz w:val="20"/>
              </w:rPr>
            </w:pPr>
            <w:r>
              <w:rPr>
                <w:b/>
                <w:sz w:val="20"/>
              </w:rPr>
              <w:t>Beneficial Owners of more than 5%</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8" w:type="dxa"/>
            <w:tcBorders/>
            <w:shd w:fill="FFFFFF" w:val="clear"/>
            <w:tcMar>
              <w:bottom w:w="0" w:type="dxa"/>
            </w:tcMar>
            <w:vAlign w:val="center"/>
          </w:tcPr>
          <w:p>
            <w:pPr>
              <w:pStyle w:val="TableContents"/>
              <w:bidi w:val="0"/>
              <w:spacing w:before="0" w:after="283"/>
              <w:jc w:val="left"/>
              <w:rPr/>
            </w:pPr>
            <w:r>
              <w:rPr/>
              <w:t> </w:t>
            </w:r>
          </w:p>
        </w:tc>
        <w:tc>
          <w:tcPr>
            <w:tcW w:w="3546"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5" w:type="dxa"/>
            <w:tcBorders/>
            <w:shd w:fill="FFFFFF" w:val="clear"/>
            <w:tcMar>
              <w:bottom w:w="0" w:type="dxa"/>
            </w:tcMar>
            <w:vAlign w:val="center"/>
          </w:tcPr>
          <w:p>
            <w:pPr>
              <w:pStyle w:val="TableContents"/>
              <w:bidi w:val="0"/>
              <w:spacing w:before="0" w:after="283"/>
              <w:jc w:val="left"/>
              <w:rPr/>
            </w:pPr>
            <w:r>
              <w:rPr/>
              <w:t> </w:t>
            </w:r>
          </w:p>
        </w:tc>
        <w:tc>
          <w:tcPr>
            <w:tcW w:w="2968" w:type="dxa"/>
            <w:tcBorders/>
            <w:shd w:fill="FFFFFF" w:val="clear"/>
            <w:tcMar>
              <w:bottom w:w="0" w:type="dxa"/>
            </w:tcMar>
            <w:vAlign w:val="center"/>
          </w:tcPr>
          <w:p>
            <w:pPr>
              <w:pStyle w:val="TableContents"/>
              <w:bidi w:val="0"/>
              <w:spacing w:before="0" w:after="283"/>
              <w:jc w:val="righ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2821" w:type="dxa"/>
            <w:tcBorders/>
            <w:shd w:fill="EEEEEE" w:val="clear"/>
            <w:tcMar>
              <w:bottom w:w="0" w:type="dxa"/>
            </w:tcMar>
            <w:vAlign w:val="center"/>
          </w:tcPr>
          <w:p>
            <w:pPr>
              <w:pStyle w:val="TableContents"/>
              <w:bidi w:val="0"/>
              <w:spacing w:before="0" w:after="283"/>
              <w:jc w:val="left"/>
              <w:rPr>
                <w:sz w:val="20"/>
              </w:rPr>
            </w:pPr>
            <w:r>
              <w:rPr>
                <w:sz w:val="20"/>
              </w:rPr>
              <w:t>Allan Huang (6)</w:t>
            </w:r>
          </w:p>
        </w:tc>
        <w:tc>
          <w:tcPr>
            <w:tcW w:w="60" w:type="dxa"/>
            <w:tcBorders/>
            <w:shd w:fill="EEEEEE" w:val="clear"/>
            <w:tcMar>
              <w:bottom w:w="0" w:type="dxa"/>
            </w:tcMar>
            <w:vAlign w:val="center"/>
          </w:tcPr>
          <w:p>
            <w:pPr>
              <w:pStyle w:val="TableContents"/>
              <w:bidi w:val="0"/>
              <w:spacing w:before="0" w:after="283"/>
              <w:jc w:val="left"/>
              <w:rPr/>
            </w:pPr>
            <w:r>
              <w:rPr/>
              <w:t> </w:t>
            </w:r>
          </w:p>
        </w:tc>
        <w:tc>
          <w:tcPr>
            <w:tcW w:w="248" w:type="dxa"/>
            <w:tcBorders/>
            <w:shd w:fill="EEEEEE" w:val="clear"/>
            <w:tcMar>
              <w:bottom w:w="0" w:type="dxa"/>
            </w:tcMar>
            <w:vAlign w:val="center"/>
          </w:tcPr>
          <w:p>
            <w:pPr>
              <w:pStyle w:val="TableContents"/>
              <w:bidi w:val="0"/>
              <w:spacing w:before="0" w:after="283"/>
              <w:jc w:val="left"/>
              <w:rPr/>
            </w:pPr>
            <w:r>
              <w:rPr/>
              <w:t> </w:t>
            </w:r>
          </w:p>
        </w:tc>
        <w:tc>
          <w:tcPr>
            <w:tcW w:w="3546" w:type="dxa"/>
            <w:tcBorders/>
            <w:shd w:fill="EEEEEE" w:val="clear"/>
            <w:tcMar>
              <w:bottom w:w="0" w:type="dxa"/>
            </w:tcMar>
            <w:vAlign w:val="center"/>
          </w:tcPr>
          <w:p>
            <w:pPr>
              <w:pStyle w:val="TableContents"/>
              <w:bidi w:val="0"/>
              <w:spacing w:before="0" w:after="283"/>
              <w:jc w:val="right"/>
              <w:rPr>
                <w:sz w:val="20"/>
              </w:rPr>
            </w:pPr>
            <w:r>
              <w:rPr>
                <w:sz w:val="20"/>
              </w:rPr>
              <w:t>8,023,334</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365" w:type="dxa"/>
            <w:tcBorders/>
            <w:shd w:fill="EEEEEE" w:val="clear"/>
            <w:tcMar>
              <w:bottom w:w="0" w:type="dxa"/>
            </w:tcMar>
            <w:vAlign w:val="center"/>
          </w:tcPr>
          <w:p>
            <w:pPr>
              <w:pStyle w:val="TableContents"/>
              <w:bidi w:val="0"/>
              <w:spacing w:before="0" w:after="283"/>
              <w:jc w:val="left"/>
              <w:rPr/>
            </w:pPr>
            <w:r>
              <w:rPr/>
              <w:t> </w:t>
            </w:r>
          </w:p>
        </w:tc>
        <w:tc>
          <w:tcPr>
            <w:tcW w:w="2968" w:type="dxa"/>
            <w:tcBorders/>
            <w:shd w:fill="EEEEEE" w:val="clear"/>
            <w:tcMar>
              <w:bottom w:w="0" w:type="dxa"/>
            </w:tcMar>
            <w:vAlign w:val="center"/>
          </w:tcPr>
          <w:p>
            <w:pPr>
              <w:pStyle w:val="TableContents"/>
              <w:bidi w:val="0"/>
              <w:spacing w:before="0" w:after="283"/>
              <w:jc w:val="right"/>
              <w:rPr>
                <w:sz w:val="20"/>
              </w:rPr>
            </w:pPr>
            <w:r>
              <w:rPr>
                <w:sz w:val="20"/>
              </w:rPr>
              <w:t>26.96%</w:t>
            </w:r>
          </w:p>
        </w:tc>
        <w:tc>
          <w:tcPr>
            <w:tcW w:w="77" w:type="dxa"/>
            <w:tcBorders/>
            <w:shd w:fill="EEEEEE" w:val="clear"/>
            <w:tcMar>
              <w:bottom w:w="0" w:type="dxa"/>
            </w:tcMar>
            <w:vAlign w:val="center"/>
          </w:tcPr>
          <w:p>
            <w:pPr>
              <w:pStyle w:val="TableContents"/>
              <w:bidi w:val="0"/>
              <w:spacing w:before="0" w:after="283"/>
              <w:jc w:val="left"/>
              <w:rPr/>
            </w:pPr>
            <w:r>
              <w:rPr/>
              <w:t> </w:t>
            </w:r>
          </w:p>
        </w:tc>
      </w:tr>
      <w:tr>
        <w:trPr/>
        <w:tc>
          <w:tcPr>
            <w:tcW w:w="2821" w:type="dxa"/>
            <w:tcBorders/>
            <w:shd w:fill="FFFFFF" w:val="clear"/>
            <w:tcMar>
              <w:bottom w:w="0" w:type="dxa"/>
            </w:tcMar>
            <w:vAlign w:val="center"/>
          </w:tcPr>
          <w:p>
            <w:pPr>
              <w:pStyle w:val="TableContents"/>
              <w:bidi w:val="0"/>
              <w:spacing w:before="0" w:after="283"/>
              <w:jc w:val="left"/>
              <w:rPr>
                <w:sz w:val="20"/>
              </w:rPr>
            </w:pPr>
            <w:r>
              <w:rPr>
                <w:sz w:val="20"/>
              </w:rPr>
              <w:t>White Cherry Limited (7)</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8" w:type="dxa"/>
            <w:tcBorders/>
            <w:shd w:fill="FFFFFF" w:val="clear"/>
            <w:tcMar>
              <w:bottom w:w="0" w:type="dxa"/>
            </w:tcMar>
            <w:vAlign w:val="center"/>
          </w:tcPr>
          <w:p>
            <w:pPr>
              <w:pStyle w:val="TableContents"/>
              <w:bidi w:val="0"/>
              <w:spacing w:before="0" w:after="283"/>
              <w:jc w:val="left"/>
              <w:rPr/>
            </w:pPr>
            <w:r>
              <w:rPr/>
              <w:t> </w:t>
            </w:r>
          </w:p>
        </w:tc>
        <w:tc>
          <w:tcPr>
            <w:tcW w:w="3546" w:type="dxa"/>
            <w:tcBorders/>
            <w:shd w:fill="FFFFFF" w:val="clear"/>
            <w:tcMar>
              <w:bottom w:w="0" w:type="dxa"/>
            </w:tcMar>
            <w:vAlign w:val="center"/>
          </w:tcPr>
          <w:p>
            <w:pPr>
              <w:pStyle w:val="TableContents"/>
              <w:bidi w:val="0"/>
              <w:spacing w:before="0" w:after="283"/>
              <w:jc w:val="right"/>
              <w:rPr>
                <w:sz w:val="20"/>
              </w:rPr>
            </w:pPr>
            <w:r>
              <w:rPr>
                <w:sz w:val="20"/>
              </w:rPr>
              <w:t>2,629,515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5" w:type="dxa"/>
            <w:tcBorders/>
            <w:shd w:fill="FFFFFF" w:val="clear"/>
            <w:tcMar>
              <w:bottom w:w="0" w:type="dxa"/>
            </w:tcMar>
            <w:vAlign w:val="center"/>
          </w:tcPr>
          <w:p>
            <w:pPr>
              <w:pStyle w:val="TableContents"/>
              <w:bidi w:val="0"/>
              <w:spacing w:before="0" w:after="283"/>
              <w:jc w:val="left"/>
              <w:rPr/>
            </w:pPr>
            <w:r>
              <w:rPr/>
              <w:t> </w:t>
            </w:r>
          </w:p>
        </w:tc>
        <w:tc>
          <w:tcPr>
            <w:tcW w:w="2968" w:type="dxa"/>
            <w:tcBorders/>
            <w:shd w:fill="FFFFFF" w:val="clear"/>
            <w:tcMar>
              <w:bottom w:w="0" w:type="dxa"/>
            </w:tcMar>
            <w:vAlign w:val="center"/>
          </w:tcPr>
          <w:p>
            <w:pPr>
              <w:pStyle w:val="TableContents"/>
              <w:bidi w:val="0"/>
              <w:spacing w:before="0" w:after="283"/>
              <w:jc w:val="right"/>
              <w:rPr>
                <w:sz w:val="20"/>
              </w:rPr>
            </w:pPr>
            <w:r>
              <w:rPr>
                <w:sz w:val="20"/>
              </w:rPr>
              <w:t>8.83%</w:t>
            </w:r>
          </w:p>
        </w:tc>
        <w:tc>
          <w:tcPr>
            <w:tcW w:w="77"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__________________________</w:t>
      </w:r>
    </w:p>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Less than 0.1%</w:t>
            </w:r>
          </w:p>
        </w:tc>
      </w:tr>
      <w:tr>
        <w:trPr/>
        <w:tc>
          <w:tcPr>
            <w:tcW w:w="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 </w:t>
            </w:r>
          </w:p>
        </w:tc>
        <w:tc>
          <w:tcPr>
            <w:tcW w:w="9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Chenlong Tan is our co-Founder, Chairman, Chief Executive Officer and President. Mr. Tan’s holding consists of (i) 4,043,334 shares directly held by Mr. Tan and (ii) 4,000,000 shares held by a trust for the benefit of Mr. Tan and certain of his family members. The aforementioned holdings do not include options to purchase 3,000,000 shares of common stock which remain subject to certain vesting conditions.</w:t>
            </w:r>
          </w:p>
        </w:tc>
      </w:tr>
      <w:tr>
        <w:trPr/>
        <w:tc>
          <w:tcPr>
            <w:tcW w:w="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(2) </w:t>
            </w:r>
          </w:p>
        </w:tc>
        <w:tc>
          <w:tcPr>
            <w:tcW w:w="9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Kevin Vassily is our Chief Financial Officer. The aforementioned holdings do not include options to purchase 330,000 shares of common stock which remain subject to certain vesting conditions. </w:t>
            </w:r>
          </w:p>
        </w:tc>
      </w:tr>
      <w:tr>
        <w:trPr/>
        <w:tc>
          <w:tcPr>
            <w:tcW w:w="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(3) </w:t>
            </w:r>
          </w:p>
        </w:tc>
        <w:tc>
          <w:tcPr>
            <w:tcW w:w="9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Mr. Tchaikovsky is a member of our board of directors. His holdings consist of (i) 30,800 shares of common stock and (ii) 24,800 restricted stock units (“RSUs”) which remain subject to vesting.</w:t>
            </w:r>
          </w:p>
        </w:tc>
      </w:tr>
      <w:tr>
        <w:trPr/>
        <w:tc>
          <w:tcPr>
            <w:tcW w:w="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(4) </w:t>
            </w:r>
          </w:p>
        </w:tc>
        <w:tc>
          <w:tcPr>
            <w:tcW w:w="9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Mr. Liles is a member of our board of directors. His holdings consist of (i) 30,800 shares of common stock and (ii) 24,800 RSUs which remain subject to vesting.</w:t>
            </w:r>
          </w:p>
        </w:tc>
      </w:tr>
      <w:tr>
        <w:trPr/>
        <w:tc>
          <w:tcPr>
            <w:tcW w:w="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Ms. Li is a member of our board of directors. Her reported holdings consist of (i) 26,147 shares of common stock and (ii) 38,794 RSUs which remain subject to vesting.</w:t>
            </w:r>
          </w:p>
        </w:tc>
      </w:tr>
      <w:tr>
        <w:trPr/>
        <w:tc>
          <w:tcPr>
            <w:tcW w:w="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(6) </w:t>
            </w:r>
          </w:p>
        </w:tc>
        <w:tc>
          <w:tcPr>
            <w:tcW w:w="9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Allan Huang is our co-Founder and a consultant and was previously our Chief Executive Officer, President and a director. </w:t>
            </w:r>
          </w:p>
        </w:tc>
      </w:tr>
      <w:tr>
        <w:trPr/>
        <w:tc>
          <w:tcPr>
            <w:tcW w:w="250" w:type="dxa"/>
            <w:tcBorders/>
            <w:vAlign w:val="center"/>
          </w:tcPr>
          <w:p>
            <w:pPr>
              <w:pStyle w:val="TableContents"/>
              <w:bidi w:val="0"/>
              <w:spacing w:before="0" w:after="283"/>
              <w:jc w:val="left"/>
              <w:rPr/>
            </w:pPr>
            <w:r>
              <w:rPr/>
              <w:t>(7)</w:t>
            </w:r>
          </w:p>
        </w:tc>
        <w:tc>
          <w:tcPr>
            <w:tcW w:w="9955" w:type="dxa"/>
            <w:tcBorders/>
            <w:vAlign w:val="center"/>
          </w:tcPr>
          <w:p>
            <w:pPr>
              <w:pStyle w:val="TableContents"/>
              <w:bidi w:val="0"/>
              <w:spacing w:before="0" w:after="283"/>
              <w:jc w:val="both"/>
              <w:rPr/>
            </w:pPr>
            <w:r>
              <w:rPr/>
              <w:t>White Cherry Limited was the former owner of our subsidiary in Hongkong.</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78" w:name="k_029"/>
      <w:bookmarkEnd w:id="878"/>
      <w:r>
        <w:rPr>
          <w:rFonts w:ascii="Times New Roman;Times;Serif" w:hAnsi="Times New Roman;Times;Serif"/>
          <w:b/>
          <w:i w:val="false"/>
          <w:caps w:val="false"/>
          <w:smallCaps w:val="false"/>
          <w:sz w:val="20"/>
        </w:rPr>
        <w:t>ITEM 13. CERTAIN RELATIONSHIPS AND RELATED TRANSACTIONS AND DIRECTOR INDEPENDENCE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described below, during the last two fiscal years, there are no transactions or series of similar transactions to which we were a party or will be a party, in which:</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amounts involved exceed or will exceed $120,000; and</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of our directors, executive officers or holders of more than 5% of our capital stock, or any member of the immediate family of any of the foregoing had, or will have, a direct or indirect material interest.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27, 2021, Mr. Chenlong Tan, our Chairman, President and Chief Executive Officer and a beneficial owner more than 5% of our common stock, has agreed to reimburse us for any judgments, fines and amounts paid or actually incurred by us or an indemnitee in connection with such legal action or in connection with any settlement agreement entered into by us or an indemnitee up to a maximum of $3.5 million in the aggregate, with the sole source of funding of such reimbursement to come from sales of shares then owned by Mr. Tan, against any damages that the Company may owe Boustead or the underwriters, should Boustead be successful in any action against the Company related to this initial public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Starting March 1, 2022, the Company subleases 50,000 square feet of its warehouse space to Box Harmony, LLC (“Box Harmony”), which is a 40% owned joint venture of the Company as disclosed in Note 1 and Note 2 to our audited consolidated financial statements. For the year ended June 30, 2023 and 2022, the Company received and recorded sublease fee of $359,373 and $330,000 as other non-operating income, respectively. As of June 30, 2023 and 2022, other receivables due from Box Harmony was $0 and 51,762, respectively. The Company discontinued the sublease to Box Harmony on January 1,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15, 2022, the Company assumed $92,246 of advance payments from shareholders of DHS as a result of the Company’s acquisition of Anivia. These advance payments were for capital injections pending capital inspection by the local government in accordance with the PRC rules.  As of June 30, 2022, the balance of advance from shareholders was $92,246. As of June 30, 2023, the balance of advance from shareholders was $85,200.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79" w:name="k_030"/>
      <w:bookmarkEnd w:id="879"/>
      <w:r>
        <w:rPr>
          <w:rFonts w:ascii="Times New Roman;Times;Serif" w:hAnsi="Times New Roman;Times;Serif"/>
          <w:b/>
          <w:i w:val="false"/>
          <w:caps w:val="false"/>
          <w:smallCaps w:val="false"/>
          <w:sz w:val="20"/>
        </w:rPr>
        <w:t>ITEM 14. PRINCIPAL ACCOUNTING FEES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represents fees for professional audit services for the audit of the Company’s annual financial statements for the fiscal years ended June 30, 2023 and 2022, rendered by UHY LLP.</w:t>
      </w:r>
    </w:p>
    <w:p>
      <w:pPr>
        <w:pStyle w:val="TextBody"/>
        <w:bidi w:val="0"/>
        <w:spacing w:before="0" w:after="0"/>
        <w:ind w:left="0" w:right="0" w:hanging="0"/>
        <w:jc w:val="both"/>
        <w:rPr>
          <w:caps w:val="false"/>
          <w:smallCaps w:val="false"/>
        </w:rPr>
      </w:pPr>
      <w:r>
        <w:rPr>
          <w:caps w:val="false"/>
          <w:smallCaps w:val="false"/>
        </w:rPr>
        <w:t> </w:t>
      </w:r>
    </w:p>
    <w:tbl>
      <w:tblPr>
        <w:tblW w:w="4449" w:type="dxa"/>
        <w:jc w:val="left"/>
        <w:tblInd w:w="0" w:type="dxa"/>
        <w:tblLayout w:type="fixed"/>
        <w:tblCellMar>
          <w:top w:w="0" w:type="dxa"/>
          <w:left w:w="0" w:type="dxa"/>
          <w:bottom w:w="0" w:type="dxa"/>
          <w:right w:w="0" w:type="dxa"/>
        </w:tblCellMar>
      </w:tblPr>
      <w:tblGrid>
        <w:gridCol w:w="1610"/>
        <w:gridCol w:w="60"/>
        <w:gridCol w:w="189"/>
        <w:gridCol w:w="1082"/>
        <w:gridCol w:w="81"/>
        <w:gridCol w:w="81"/>
        <w:gridCol w:w="189"/>
        <w:gridCol w:w="1082"/>
        <w:gridCol w:w="75"/>
      </w:tblGrid>
      <w:tr>
        <w:trPr/>
        <w:tc>
          <w:tcPr>
            <w:tcW w:w="1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0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Fiscal year ended June 30,</w:t>
            </w:r>
          </w:p>
        </w:tc>
        <w:tc>
          <w:tcPr>
            <w:tcW w:w="75" w:type="dxa"/>
            <w:tcBorders/>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27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1610" w:type="dxa"/>
            <w:tcBorders/>
            <w:shd w:fill="EEEEEE"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Audit fees </w:t>
            </w:r>
            <w:r>
              <w:rPr>
                <w:rFonts w:ascii="Times New Roman;Times;Serif" w:hAnsi="Times New Roman;Times;Serif"/>
                <w:position w:val="7"/>
                <w:sz w:val="16"/>
                <w:sz w:val="20"/>
              </w:rPr>
              <w:t>1</w:t>
            </w:r>
          </w:p>
        </w:tc>
        <w:tc>
          <w:tcPr>
            <w:tcW w:w="60" w:type="dxa"/>
            <w:tcBorders/>
            <w:shd w:fill="EEEEEE" w:val="clear"/>
            <w:vAlign w:val="center"/>
          </w:tcPr>
          <w:p>
            <w:pPr>
              <w:pStyle w:val="TableContents"/>
              <w:bidi w:val="0"/>
              <w:spacing w:before="0" w:after="283"/>
              <w:jc w:val="left"/>
              <w:rPr/>
            </w:pPr>
            <w:r>
              <w:rPr/>
              <w:t> </w:t>
            </w:r>
          </w:p>
        </w:tc>
        <w:tc>
          <w:tcPr>
            <w:tcW w:w="189" w:type="dxa"/>
            <w:tcBorders/>
            <w:shd w:fill="EEEEEE" w:val="clear"/>
            <w:vAlign w:val="center"/>
          </w:tcPr>
          <w:p>
            <w:pPr>
              <w:pStyle w:val="TableContents"/>
              <w:bidi w:val="0"/>
              <w:spacing w:before="0" w:after="283"/>
              <w:jc w:val="left"/>
              <w:rPr/>
            </w:pPr>
            <w:r>
              <w:rPr/>
              <w:t>$</w:t>
            </w:r>
          </w:p>
        </w:tc>
        <w:tc>
          <w:tcPr>
            <w:tcW w:w="1082" w:type="dxa"/>
            <w:tcBorders/>
            <w:shd w:fill="EEEEEE" w:val="clear"/>
            <w:vAlign w:val="center"/>
          </w:tcPr>
          <w:p>
            <w:pPr>
              <w:pStyle w:val="TableContents"/>
              <w:bidi w:val="0"/>
              <w:spacing w:before="0" w:after="283"/>
              <w:jc w:val="right"/>
              <w:rPr/>
            </w:pPr>
            <w:r>
              <w:rPr/>
              <w:t>405,276</w:t>
            </w:r>
          </w:p>
        </w:tc>
        <w:tc>
          <w:tcPr>
            <w:tcW w:w="81" w:type="dxa"/>
            <w:tcBorders/>
            <w:shd w:fill="EEEEEE" w:val="clear"/>
            <w:vAlign w:val="center"/>
          </w:tcPr>
          <w:p>
            <w:pPr>
              <w:pStyle w:val="TableContents"/>
              <w:bidi w:val="0"/>
              <w:spacing w:before="0" w:after="283"/>
              <w:jc w:val="left"/>
              <w:rPr/>
            </w:pPr>
            <w:r>
              <w:rPr/>
              <w:t> </w:t>
            </w:r>
          </w:p>
        </w:tc>
        <w:tc>
          <w:tcPr>
            <w:tcW w:w="81" w:type="dxa"/>
            <w:tcBorders/>
            <w:shd w:fill="EEEEEE" w:val="clear"/>
            <w:vAlign w:val="center"/>
          </w:tcPr>
          <w:p>
            <w:pPr>
              <w:pStyle w:val="TableContents"/>
              <w:bidi w:val="0"/>
              <w:spacing w:before="0" w:after="283"/>
              <w:jc w:val="left"/>
              <w:rPr/>
            </w:pPr>
            <w:r>
              <w:rPr/>
              <w:t> </w:t>
            </w:r>
          </w:p>
        </w:tc>
        <w:tc>
          <w:tcPr>
            <w:tcW w:w="189" w:type="dxa"/>
            <w:tcBorders/>
            <w:shd w:fill="EEEEEE" w:val="clear"/>
            <w:vAlign w:val="center"/>
          </w:tcPr>
          <w:p>
            <w:pPr>
              <w:pStyle w:val="TableContents"/>
              <w:bidi w:val="0"/>
              <w:spacing w:before="0" w:after="283"/>
              <w:jc w:val="left"/>
              <w:rPr/>
            </w:pPr>
            <w:r>
              <w:rPr/>
              <w:t>$</w:t>
            </w:r>
          </w:p>
        </w:tc>
        <w:tc>
          <w:tcPr>
            <w:tcW w:w="1082" w:type="dxa"/>
            <w:tcBorders/>
            <w:shd w:fill="EEEEEE" w:val="clear"/>
            <w:vAlign w:val="center"/>
          </w:tcPr>
          <w:p>
            <w:pPr>
              <w:pStyle w:val="TableContents"/>
              <w:bidi w:val="0"/>
              <w:spacing w:before="0" w:after="283"/>
              <w:jc w:val="right"/>
              <w:rPr/>
            </w:pPr>
            <w:r>
              <w:rPr/>
              <w:t>338,150</w:t>
            </w:r>
          </w:p>
        </w:tc>
        <w:tc>
          <w:tcPr>
            <w:tcW w:w="75" w:type="dxa"/>
            <w:tcBorders/>
            <w:shd w:fill="EEEEEE" w:val="clear"/>
            <w:vAlign w:val="center"/>
          </w:tcPr>
          <w:p>
            <w:pPr>
              <w:pStyle w:val="TableContents"/>
              <w:bidi w:val="0"/>
              <w:spacing w:before="0" w:after="283"/>
              <w:jc w:val="left"/>
              <w:rPr/>
            </w:pPr>
            <w:r>
              <w:rPr/>
              <w:t> </w:t>
            </w:r>
          </w:p>
        </w:tc>
      </w:tr>
      <w:tr>
        <w:trPr/>
        <w:tc>
          <w:tcPr>
            <w:tcW w:w="16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Audit-related fees </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2"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610" w:type="dxa"/>
            <w:tcBorders/>
            <w:shd w:fill="EEEEEE" w:val="clear"/>
            <w:vAlign w:val="center"/>
          </w:tcPr>
          <w:p>
            <w:pPr>
              <w:pStyle w:val="TableContents"/>
              <w:bidi w:val="0"/>
              <w:spacing w:before="0" w:after="283"/>
              <w:jc w:val="left"/>
              <w:rPr/>
            </w:pPr>
            <w:r>
              <w:rPr/>
              <w:t>Total fees</w:t>
            </w:r>
          </w:p>
        </w:tc>
        <w:tc>
          <w:tcPr>
            <w:tcW w:w="60" w:type="dxa"/>
            <w:tcBorders/>
            <w:shd w:fill="EEEEEE" w:val="clear"/>
            <w:vAlign w:val="center"/>
          </w:tcPr>
          <w:p>
            <w:pPr>
              <w:pStyle w:val="TableContents"/>
              <w:bidi w:val="0"/>
              <w:spacing w:before="0" w:after="283"/>
              <w:jc w:val="left"/>
              <w:rPr/>
            </w:pPr>
            <w:r>
              <w:rPr/>
              <w:t> </w:t>
            </w:r>
          </w:p>
        </w:tc>
        <w:tc>
          <w:tcPr>
            <w:tcW w:w="189"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082" w:type="dxa"/>
            <w:tcBorders>
              <w:bottom w:val="double" w:sz="6" w:space="0" w:color="000000"/>
            </w:tcBorders>
            <w:shd w:fill="EEEEEE" w:val="clear"/>
            <w:tcMar>
              <w:bottom w:w="28" w:type="dxa"/>
            </w:tcMar>
            <w:vAlign w:val="center"/>
          </w:tcPr>
          <w:p>
            <w:pPr>
              <w:pStyle w:val="TableContents"/>
              <w:bidi w:val="0"/>
              <w:spacing w:before="0" w:after="283"/>
              <w:jc w:val="right"/>
              <w:rPr/>
            </w:pPr>
            <w:r>
              <w:rPr/>
              <w:t>405,276</w:t>
            </w:r>
          </w:p>
        </w:tc>
        <w:tc>
          <w:tcPr>
            <w:tcW w:w="81" w:type="dxa"/>
            <w:tcBorders/>
            <w:shd w:fill="EEEEEE" w:val="clear"/>
            <w:vAlign w:val="center"/>
          </w:tcPr>
          <w:p>
            <w:pPr>
              <w:pStyle w:val="TableContents"/>
              <w:bidi w:val="0"/>
              <w:spacing w:before="0" w:after="283"/>
              <w:jc w:val="left"/>
              <w:rPr/>
            </w:pPr>
            <w:r>
              <w:rPr/>
              <w:t> </w:t>
            </w:r>
          </w:p>
        </w:tc>
        <w:tc>
          <w:tcPr>
            <w:tcW w:w="81" w:type="dxa"/>
            <w:tcBorders/>
            <w:shd w:fill="EEEEEE" w:val="clear"/>
            <w:vAlign w:val="center"/>
          </w:tcPr>
          <w:p>
            <w:pPr>
              <w:pStyle w:val="TableContents"/>
              <w:bidi w:val="0"/>
              <w:spacing w:before="0" w:after="283"/>
              <w:jc w:val="left"/>
              <w:rPr/>
            </w:pPr>
            <w:r>
              <w:rPr/>
              <w:t> </w:t>
            </w:r>
          </w:p>
        </w:tc>
        <w:tc>
          <w:tcPr>
            <w:tcW w:w="189"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082" w:type="dxa"/>
            <w:tcBorders>
              <w:bottom w:val="double" w:sz="6" w:space="0" w:color="000000"/>
            </w:tcBorders>
            <w:shd w:fill="EEEEEE" w:val="clear"/>
            <w:tcMar>
              <w:bottom w:w="28" w:type="dxa"/>
            </w:tcMar>
            <w:vAlign w:val="center"/>
          </w:tcPr>
          <w:p>
            <w:pPr>
              <w:pStyle w:val="TableContents"/>
              <w:bidi w:val="0"/>
              <w:spacing w:before="0" w:after="283"/>
              <w:jc w:val="right"/>
              <w:rPr/>
            </w:pPr>
            <w:r>
              <w:rPr/>
              <w:t>338,150</w:t>
            </w:r>
          </w:p>
        </w:tc>
        <w:tc>
          <w:tcPr>
            <w:tcW w:w="75" w:type="dxa"/>
            <w:tcBorders/>
            <w:shd w:fill="EEEEEE"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8"/>
        <w:gridCol w:w="10067"/>
      </w:tblGrid>
      <w:tr>
        <w:trPr/>
        <w:tc>
          <w:tcPr>
            <w:tcW w:w="138" w:type="dxa"/>
            <w:tcBorders/>
            <w:vAlign w:val="center"/>
          </w:tcPr>
          <w:p>
            <w:pPr>
              <w:pStyle w:val="TableContents"/>
              <w:bidi w:val="0"/>
              <w:spacing w:before="0" w:after="283"/>
              <w:jc w:val="both"/>
              <w:rPr>
                <w:rFonts w:ascii="Times New Roman;Times;Serif" w:hAnsi="Times New Roman;Times;Serif"/>
                <w:i/>
                <w:position w:val="7"/>
                <w:sz w:val="16"/>
                <w:sz w:val="20"/>
              </w:rPr>
            </w:pPr>
            <w:r>
              <w:rPr>
                <w:rFonts w:ascii="Times New Roman;Times;Serif" w:hAnsi="Times New Roman;Times;Serif"/>
                <w:i/>
                <w:position w:val="7"/>
                <w:sz w:val="16"/>
                <w:sz w:val="20"/>
              </w:rPr>
              <w:t>1.</w:t>
            </w:r>
          </w:p>
        </w:tc>
        <w:tc>
          <w:tcPr>
            <w:tcW w:w="10067"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Audit fees consist of fees for professional services rendered by the principal accountant for the audit of the Company’s annual financial statements and review of the financial statements included in the Company’s Form 10-K and Form 10-Q and for services that are normally provided by the accountant in connection with statutory and regulatory filings or engagements.</w:t>
            </w:r>
          </w:p>
        </w:tc>
      </w:tr>
      <w:tr>
        <w:trPr/>
        <w:tc>
          <w:tcPr>
            <w:tcW w:w="138" w:type="dxa"/>
            <w:tcBorders/>
            <w:vAlign w:val="center"/>
          </w:tcPr>
          <w:p>
            <w:pPr>
              <w:pStyle w:val="TableContents"/>
              <w:bidi w:val="0"/>
              <w:spacing w:before="0" w:after="283"/>
              <w:jc w:val="both"/>
              <w:rPr/>
            </w:pPr>
            <w:r>
              <w:rPr/>
              <w:t> </w:t>
            </w:r>
          </w:p>
        </w:tc>
        <w:tc>
          <w:tcPr>
            <w:tcW w:w="10067" w:type="dxa"/>
            <w:tcBorders/>
            <w:vAlign w:val="center"/>
          </w:tcPr>
          <w:p>
            <w:pPr>
              <w:pStyle w:val="TableContents"/>
              <w:bidi w:val="0"/>
              <w:spacing w:before="0" w:after="283"/>
              <w:jc w:val="both"/>
              <w:rPr/>
            </w:pPr>
            <w:r>
              <w:rPr/>
              <w:t> </w:t>
            </w:r>
          </w:p>
        </w:tc>
      </w:tr>
      <w:tr>
        <w:trPr/>
        <w:tc>
          <w:tcPr>
            <w:tcW w:w="138" w:type="dxa"/>
            <w:tcBorders/>
            <w:vAlign w:val="center"/>
          </w:tcPr>
          <w:p>
            <w:pPr>
              <w:pStyle w:val="TableContents"/>
              <w:bidi w:val="0"/>
              <w:spacing w:before="0" w:after="283"/>
              <w:jc w:val="both"/>
              <w:rPr>
                <w:rFonts w:ascii="Times New Roman;Times;Serif" w:hAnsi="Times New Roman;Times;Serif"/>
                <w:i/>
                <w:position w:val="7"/>
                <w:sz w:val="16"/>
                <w:sz w:val="20"/>
              </w:rPr>
            </w:pPr>
            <w:r>
              <w:rPr>
                <w:rFonts w:ascii="Times New Roman;Times;Serif" w:hAnsi="Times New Roman;Times;Serif"/>
                <w:i/>
                <w:position w:val="7"/>
                <w:sz w:val="16"/>
                <w:sz w:val="20"/>
              </w:rPr>
              <w:t>2.</w:t>
            </w:r>
          </w:p>
        </w:tc>
        <w:tc>
          <w:tcPr>
            <w:tcW w:w="10067"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Audit-related fees consist primarily of fees for assurance and related services by the accountant that are reasonably related to the performance of the audit or review of the Company’s financial statements.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 Committee Pre-Approval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is tasked with pre-approving any non-audit services proposed to be provided to the Company by the independent auditors.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80" w:name="k_031"/>
      <w:bookmarkEnd w:id="880"/>
      <w:r>
        <w:rPr>
          <w:rFonts w:ascii="Times New Roman;Times;Serif" w:hAnsi="Times New Roman;Times;Serif"/>
          <w:b/>
          <w:i w:val="false"/>
          <w:caps w:val="false"/>
          <w:smallCaps w:val="false"/>
          <w:sz w:val="20"/>
        </w:rPr>
        <w:t>PART IV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81" w:name="k_032"/>
      <w:bookmarkEnd w:id="881"/>
      <w:r>
        <w:rPr>
          <w:rFonts w:ascii="Times New Roman;Times;Serif" w:hAnsi="Times New Roman;Times;Serif"/>
          <w:b/>
          <w:i w:val="false"/>
          <w:caps w:val="false"/>
          <w:smallCaps w:val="false"/>
          <w:sz w:val="20"/>
        </w:rPr>
        <w:t>ITEM 15. EXHIBITS, FINANCIAL STATEMENT SCHEDULES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87"/>
        <w:gridCol w:w="60"/>
        <w:gridCol w:w="9358"/>
      </w:tblGrid>
      <w:tr>
        <w:trPr/>
        <w:tc>
          <w:tcPr>
            <w:tcW w:w="787"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358" w:type="dxa"/>
            <w:tcBorders>
              <w:bottom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Description</w:t>
            </w:r>
          </w:p>
        </w:tc>
      </w:tr>
      <w:tr>
        <w:trPr/>
        <w:tc>
          <w:tcPr>
            <w:tcW w:w="78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58" w:type="dxa"/>
            <w:tcBorders/>
            <w:tcMar>
              <w:bottom w:w="0" w:type="dxa"/>
            </w:tcMar>
            <w:vAlign w:val="center"/>
          </w:tcPr>
          <w:p>
            <w:pPr>
              <w:pStyle w:val="TableContents"/>
              <w:bidi w:val="0"/>
              <w:spacing w:before="0" w:after="283"/>
              <w:jc w:val="left"/>
              <w:rPr/>
            </w:pPr>
            <w:r>
              <w:rPr/>
              <w:t> </w:t>
            </w:r>
          </w:p>
        </w:tc>
      </w:tr>
      <w:tr>
        <w:trPr/>
        <w:tc>
          <w:tcPr>
            <w:tcW w:w="78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3.1 </w:t>
            </w:r>
          </w:p>
        </w:tc>
        <w:tc>
          <w:tcPr>
            <w:tcW w:w="60" w:type="dxa"/>
            <w:tcBorders/>
            <w:tcMar>
              <w:bottom w:w="0" w:type="dxa"/>
            </w:tcMar>
            <w:vAlign w:val="center"/>
          </w:tcPr>
          <w:p>
            <w:pPr>
              <w:pStyle w:val="TableContents"/>
              <w:bidi w:val="0"/>
              <w:spacing w:before="0" w:after="283"/>
              <w:jc w:val="left"/>
              <w:rPr/>
            </w:pPr>
            <w:r>
              <w:rPr/>
              <w:t> </w:t>
            </w:r>
          </w:p>
        </w:tc>
        <w:tc>
          <w:tcPr>
            <w:tcW w:w="9358" w:type="dxa"/>
            <w:tcBorders/>
            <w:tcMar>
              <w:bottom w:w="0" w:type="dxa"/>
            </w:tcMar>
            <w:vAlign w:val="center"/>
          </w:tcPr>
          <w:p>
            <w:pPr>
              <w:pStyle w:val="TableContents"/>
              <w:bidi w:val="0"/>
              <w:spacing w:before="0" w:after="283"/>
              <w:jc w:val="both"/>
              <w:rPr/>
            </w:pPr>
            <w:hyperlink r:id="rId3">
              <w:r>
                <w:rPr>
                  <w:rStyle w:val="InternetLink"/>
                  <w:rFonts w:ascii="Times New Roman;Times;Serif" w:hAnsi="Times New Roman;Times;Serif"/>
                  <w:color w:val="0000FF"/>
                  <w:sz w:val="20"/>
                </w:rPr>
                <w:t>Sixth Amended and Restated Articles of Incorporation of iPower Inc.</w:t>
              </w:r>
            </w:hyperlink>
            <w:r>
              <w:rPr/>
              <w:t xml:space="preserve"> </w:t>
            </w:r>
            <w:r>
              <w:rPr>
                <w:rFonts w:ascii="Times New Roman;Times;Serif" w:hAnsi="Times New Roman;Times;Serif"/>
                <w:sz w:val="20"/>
              </w:rPr>
              <w:t>(incorporated by reference to Exhibit 3.3 to Amendment No. 3 to the Registration Statement on Form S-1 filed May 5, 2021).</w:t>
            </w:r>
          </w:p>
        </w:tc>
      </w:tr>
      <w:tr>
        <w:trPr/>
        <w:tc>
          <w:tcPr>
            <w:tcW w:w="78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w:t>
            </w:r>
          </w:p>
        </w:tc>
        <w:tc>
          <w:tcPr>
            <w:tcW w:w="60" w:type="dxa"/>
            <w:tcBorders/>
            <w:tcMar>
              <w:bottom w:w="0" w:type="dxa"/>
            </w:tcMar>
            <w:vAlign w:val="center"/>
          </w:tcPr>
          <w:p>
            <w:pPr>
              <w:pStyle w:val="TableContents"/>
              <w:bidi w:val="0"/>
              <w:spacing w:before="0" w:after="283"/>
              <w:jc w:val="left"/>
              <w:rPr/>
            </w:pPr>
            <w:r>
              <w:rPr/>
              <w:t> </w:t>
            </w:r>
          </w:p>
        </w:tc>
        <w:tc>
          <w:tcPr>
            <w:tcW w:w="9358" w:type="dxa"/>
            <w:tcBorders/>
            <w:tcMar>
              <w:bottom w:w="0" w:type="dxa"/>
            </w:tcMar>
            <w:vAlign w:val="center"/>
          </w:tcPr>
          <w:p>
            <w:pPr>
              <w:pStyle w:val="TableContents"/>
              <w:bidi w:val="0"/>
              <w:spacing w:before="0" w:after="283"/>
              <w:jc w:val="both"/>
              <w:rPr/>
            </w:pPr>
            <w:hyperlink r:id="rId4">
              <w:r>
                <w:rPr>
                  <w:rStyle w:val="InternetLink"/>
                  <w:rFonts w:ascii="Times New Roman;Times;Serif" w:hAnsi="Times New Roman;Times;Serif"/>
                  <w:color w:val="0000FF"/>
                  <w:sz w:val="20"/>
                </w:rPr>
                <w:t>Second Amended and Restated Bylaws of iPower Inc.</w:t>
              </w:r>
            </w:hyperlink>
            <w:r>
              <w:rPr/>
              <w:t xml:space="preserve"> </w:t>
            </w:r>
            <w:r>
              <w:rPr>
                <w:rFonts w:ascii="Times New Roman;Times;Serif" w:hAnsi="Times New Roman;Times;Serif"/>
                <w:sz w:val="20"/>
              </w:rPr>
              <w:t>(incorporated by reference to Exhibit 3.3 to Amendment No. 2 the Registration Statement on Form S-1 filed April 27, 2021).</w:t>
            </w:r>
          </w:p>
        </w:tc>
      </w:tr>
      <w:tr>
        <w:trPr/>
        <w:tc>
          <w:tcPr>
            <w:tcW w:w="78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w:t>
            </w:r>
          </w:p>
        </w:tc>
        <w:tc>
          <w:tcPr>
            <w:tcW w:w="60" w:type="dxa"/>
            <w:tcBorders/>
            <w:tcMar>
              <w:bottom w:w="0" w:type="dxa"/>
            </w:tcMar>
            <w:vAlign w:val="center"/>
          </w:tcPr>
          <w:p>
            <w:pPr>
              <w:pStyle w:val="TableContents"/>
              <w:bidi w:val="0"/>
              <w:spacing w:before="0" w:after="283"/>
              <w:jc w:val="left"/>
              <w:rPr/>
            </w:pPr>
            <w:r>
              <w:rPr/>
              <w:t> </w:t>
            </w:r>
          </w:p>
        </w:tc>
        <w:tc>
          <w:tcPr>
            <w:tcW w:w="9358" w:type="dxa"/>
            <w:tcBorders/>
            <w:tcMar>
              <w:bottom w:w="0" w:type="dxa"/>
            </w:tcMar>
            <w:vAlign w:val="center"/>
          </w:tcPr>
          <w:p>
            <w:pPr>
              <w:pStyle w:val="TableContents"/>
              <w:bidi w:val="0"/>
              <w:spacing w:before="0" w:after="283"/>
              <w:jc w:val="both"/>
              <w:rPr/>
            </w:pPr>
            <w:hyperlink r:id="rId5">
              <w:r>
                <w:rPr>
                  <w:rStyle w:val="InternetLink"/>
                  <w:rFonts w:ascii="Times New Roman;Times;Serif" w:hAnsi="Times New Roman;Times;Serif"/>
                  <w:color w:val="0000FF"/>
                  <w:sz w:val="20"/>
                </w:rPr>
                <w:t>Certificate of Designation of Series A Convertible Preferred Stock</w:t>
              </w:r>
            </w:hyperlink>
            <w:r>
              <w:rPr/>
              <w:t xml:space="preserve"> </w:t>
            </w:r>
            <w:r>
              <w:rPr>
                <w:rFonts w:ascii="Times New Roman;Times;Serif" w:hAnsi="Times New Roman;Times;Serif"/>
                <w:sz w:val="20"/>
              </w:rPr>
              <w:t>(incorporated by reference to Exhibit 4.1 to the Registration Statement on Form S-1 filed February 2, 2021).</w:t>
            </w:r>
          </w:p>
        </w:tc>
      </w:tr>
      <w:tr>
        <w:trPr/>
        <w:tc>
          <w:tcPr>
            <w:tcW w:w="78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w:t>
            </w:r>
          </w:p>
        </w:tc>
        <w:tc>
          <w:tcPr>
            <w:tcW w:w="60" w:type="dxa"/>
            <w:tcBorders/>
            <w:tcMar>
              <w:bottom w:w="0" w:type="dxa"/>
            </w:tcMar>
            <w:vAlign w:val="center"/>
          </w:tcPr>
          <w:p>
            <w:pPr>
              <w:pStyle w:val="TableContents"/>
              <w:bidi w:val="0"/>
              <w:spacing w:before="0" w:after="283"/>
              <w:jc w:val="left"/>
              <w:rPr/>
            </w:pPr>
            <w:r>
              <w:rPr/>
              <w:t> </w:t>
            </w:r>
          </w:p>
        </w:tc>
        <w:tc>
          <w:tcPr>
            <w:tcW w:w="9358" w:type="dxa"/>
            <w:tcBorders/>
            <w:tcMar>
              <w:bottom w:w="0" w:type="dxa"/>
            </w:tcMar>
            <w:vAlign w:val="center"/>
          </w:tcPr>
          <w:p>
            <w:pPr>
              <w:pStyle w:val="TableContents"/>
              <w:bidi w:val="0"/>
              <w:spacing w:before="0" w:after="283"/>
              <w:jc w:val="both"/>
              <w:rPr/>
            </w:pPr>
            <w:hyperlink r:id="rId6">
              <w:r>
                <w:rPr>
                  <w:rStyle w:val="InternetLink"/>
                  <w:rFonts w:ascii="Times New Roman;Times;Serif" w:hAnsi="Times New Roman;Times;Serif"/>
                  <w:color w:val="0000FF"/>
                  <w:sz w:val="20"/>
                </w:rPr>
                <w:t>2020 Amended and Restated Equity Incentive Plan</w:t>
              </w:r>
            </w:hyperlink>
            <w:r>
              <w:rPr/>
              <w:t xml:space="preserve"> </w:t>
            </w:r>
            <w:r>
              <w:rPr>
                <w:rFonts w:ascii="Times New Roman;Times;Serif" w:hAnsi="Times New Roman;Times;Serif"/>
                <w:sz w:val="20"/>
              </w:rPr>
              <w:t>(incorporated by reference to Exhibit 10.1 to Amendment No. 3 to the Registration Statement on Form S-1 filed May 5, 2021).</w:t>
            </w:r>
          </w:p>
        </w:tc>
      </w:tr>
      <w:tr>
        <w:trPr/>
        <w:tc>
          <w:tcPr>
            <w:tcW w:w="78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10.2 </w:t>
            </w:r>
          </w:p>
        </w:tc>
        <w:tc>
          <w:tcPr>
            <w:tcW w:w="60" w:type="dxa"/>
            <w:tcBorders/>
            <w:tcMar>
              <w:bottom w:w="0" w:type="dxa"/>
            </w:tcMar>
            <w:vAlign w:val="center"/>
          </w:tcPr>
          <w:p>
            <w:pPr>
              <w:pStyle w:val="TableContents"/>
              <w:bidi w:val="0"/>
              <w:spacing w:before="0" w:after="283"/>
              <w:jc w:val="left"/>
              <w:rPr/>
            </w:pPr>
            <w:r>
              <w:rPr/>
              <w:t> </w:t>
            </w:r>
          </w:p>
        </w:tc>
        <w:tc>
          <w:tcPr>
            <w:tcW w:w="9358" w:type="dxa"/>
            <w:tcBorders/>
            <w:tcMar>
              <w:bottom w:w="0" w:type="dxa"/>
            </w:tcMar>
            <w:vAlign w:val="center"/>
          </w:tcPr>
          <w:p>
            <w:pPr>
              <w:pStyle w:val="TableContents"/>
              <w:bidi w:val="0"/>
              <w:spacing w:before="0" w:after="283"/>
              <w:jc w:val="both"/>
              <w:rPr/>
            </w:pPr>
            <w:hyperlink r:id="rId7">
              <w:r>
                <w:rPr>
                  <w:rStyle w:val="InternetLink"/>
                  <w:rFonts w:ascii="Times New Roman;Times;Serif" w:hAnsi="Times New Roman;Times;Serif"/>
                  <w:color w:val="0000FF"/>
                  <w:sz w:val="20"/>
                </w:rPr>
                <w:t>Form of Sublease Agreement, dated as of December 1, 2018, between BZRTH, Inc. and BizRight, LLC</w:t>
              </w:r>
            </w:hyperlink>
            <w:r>
              <w:rPr/>
              <w:t xml:space="preserve"> </w:t>
            </w:r>
            <w:r>
              <w:rPr>
                <w:rFonts w:ascii="Times New Roman;Times;Serif" w:hAnsi="Times New Roman;Times;Serif"/>
                <w:sz w:val="20"/>
              </w:rPr>
              <w:t>(incorporated by reference to Exhibit 10.2 to the Registration Statement on Form S-1 filed February 2, 2021).</w:t>
            </w:r>
          </w:p>
        </w:tc>
      </w:tr>
      <w:tr>
        <w:trPr/>
        <w:tc>
          <w:tcPr>
            <w:tcW w:w="78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10.3</w:t>
            </w:r>
          </w:p>
        </w:tc>
        <w:tc>
          <w:tcPr>
            <w:tcW w:w="60" w:type="dxa"/>
            <w:tcBorders/>
            <w:tcMar>
              <w:bottom w:w="0" w:type="dxa"/>
            </w:tcMar>
            <w:vAlign w:val="center"/>
          </w:tcPr>
          <w:p>
            <w:pPr>
              <w:pStyle w:val="TableContents"/>
              <w:bidi w:val="0"/>
              <w:spacing w:before="0" w:after="283"/>
              <w:jc w:val="left"/>
              <w:rPr/>
            </w:pPr>
            <w:r>
              <w:rPr/>
              <w:t> </w:t>
            </w:r>
          </w:p>
        </w:tc>
        <w:tc>
          <w:tcPr>
            <w:tcW w:w="9358" w:type="dxa"/>
            <w:tcBorders/>
            <w:tcMar>
              <w:bottom w:w="0" w:type="dxa"/>
            </w:tcMar>
            <w:vAlign w:val="center"/>
          </w:tcPr>
          <w:p>
            <w:pPr>
              <w:pStyle w:val="TableContents"/>
              <w:bidi w:val="0"/>
              <w:spacing w:before="0" w:after="283"/>
              <w:jc w:val="both"/>
              <w:rPr/>
            </w:pPr>
            <w:hyperlink r:id="rId8">
              <w:r>
                <w:rPr>
                  <w:rStyle w:val="InternetLink"/>
                  <w:rFonts w:ascii="Times New Roman;Times;Serif" w:hAnsi="Times New Roman;Times;Serif"/>
                  <w:color w:val="0000FF"/>
                  <w:sz w:val="20"/>
                </w:rPr>
                <w:t>Asset Purchase Agreement, dated December 1, 2018, between BZRTH, Inc. and BizRight, LLC</w:t>
              </w:r>
            </w:hyperlink>
            <w:r>
              <w:rPr/>
              <w:t xml:space="preserve"> </w:t>
            </w:r>
            <w:r>
              <w:rPr>
                <w:rFonts w:ascii="Times New Roman;Times;Serif" w:hAnsi="Times New Roman;Times;Serif"/>
                <w:sz w:val="20"/>
              </w:rPr>
              <w:t>(incorporated by Reference to Exhibit 10.3 to the Registration Statement on Form S-1 filed February 2, 2021).</w:t>
            </w:r>
          </w:p>
        </w:tc>
      </w:tr>
      <w:tr>
        <w:trPr/>
        <w:tc>
          <w:tcPr>
            <w:tcW w:w="78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9358" w:type="dxa"/>
            <w:tcBorders/>
            <w:tcMar>
              <w:bottom w:w="0" w:type="dxa"/>
            </w:tcMar>
            <w:vAlign w:val="center"/>
          </w:tcPr>
          <w:p>
            <w:pPr>
              <w:pStyle w:val="TableContents"/>
              <w:bidi w:val="0"/>
              <w:spacing w:before="0" w:after="283"/>
              <w:jc w:val="both"/>
              <w:rPr/>
            </w:pPr>
            <w:hyperlink r:id="rId9">
              <w:r>
                <w:rPr>
                  <w:rStyle w:val="InternetLink"/>
                  <w:rFonts w:ascii="Times New Roman;Times;Serif" w:hAnsi="Times New Roman;Times;Serif"/>
                  <w:color w:val="0000FF"/>
                  <w:sz w:val="20"/>
                </w:rPr>
                <w:t>Loan and Security Agreement, dated May 3, 2019, between BZRTH, Inc. and WFC Fund, LLC</w:t>
              </w:r>
            </w:hyperlink>
            <w:r>
              <w:rPr/>
              <w:t xml:space="preserve"> </w:t>
            </w:r>
            <w:r>
              <w:rPr>
                <w:rFonts w:ascii="Times New Roman;Times;Serif" w:hAnsi="Times New Roman;Times;Serif"/>
                <w:sz w:val="20"/>
              </w:rPr>
              <w:t>(incorporated by reference to Exhibit 10.4 to the Registration Statement on Form S-1 filed February 2, 2021).</w:t>
            </w:r>
          </w:p>
        </w:tc>
      </w:tr>
      <w:tr>
        <w:trPr/>
        <w:tc>
          <w:tcPr>
            <w:tcW w:w="78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10.5 </w:t>
            </w:r>
          </w:p>
        </w:tc>
        <w:tc>
          <w:tcPr>
            <w:tcW w:w="60" w:type="dxa"/>
            <w:tcBorders/>
            <w:tcMar>
              <w:bottom w:w="0" w:type="dxa"/>
            </w:tcMar>
            <w:vAlign w:val="center"/>
          </w:tcPr>
          <w:p>
            <w:pPr>
              <w:pStyle w:val="TableContents"/>
              <w:bidi w:val="0"/>
              <w:spacing w:before="0" w:after="283"/>
              <w:jc w:val="left"/>
              <w:rPr/>
            </w:pPr>
            <w:r>
              <w:rPr/>
              <w:t> </w:t>
            </w:r>
          </w:p>
        </w:tc>
        <w:tc>
          <w:tcPr>
            <w:tcW w:w="9358" w:type="dxa"/>
            <w:tcBorders/>
            <w:tcMar>
              <w:bottom w:w="0" w:type="dxa"/>
            </w:tcMar>
            <w:vAlign w:val="center"/>
          </w:tcPr>
          <w:p>
            <w:pPr>
              <w:pStyle w:val="TableContents"/>
              <w:bidi w:val="0"/>
              <w:spacing w:before="0" w:after="283"/>
              <w:jc w:val="both"/>
              <w:rPr/>
            </w:pPr>
            <w:hyperlink r:id="rId10">
              <w:r>
                <w:rPr>
                  <w:rStyle w:val="InternetLink"/>
                  <w:rFonts w:ascii="Times New Roman;Times;Serif" w:hAnsi="Times New Roman;Times;Serif"/>
                  <w:color w:val="0000FF"/>
                  <w:sz w:val="20"/>
                </w:rPr>
                <w:t>Consulting Agreement, dated February 1, 2020, between BZRTH, Inc. and Allan Huang</w:t>
              </w:r>
            </w:hyperlink>
            <w:r>
              <w:rPr/>
              <w:t xml:space="preserve"> </w:t>
            </w:r>
            <w:r>
              <w:rPr>
                <w:rFonts w:ascii="Times New Roman;Times;Serif" w:hAnsi="Times New Roman;Times;Serif"/>
                <w:sz w:val="20"/>
              </w:rPr>
              <w:t>(incorporated by reference to Exhibit 10.5 to Amendment No. 1 to the Registration Statement on Form S-1 filed April 15, 2021).</w:t>
            </w:r>
          </w:p>
        </w:tc>
      </w:tr>
      <w:tr>
        <w:trPr/>
        <w:tc>
          <w:tcPr>
            <w:tcW w:w="78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10.6</w:t>
            </w:r>
          </w:p>
        </w:tc>
        <w:tc>
          <w:tcPr>
            <w:tcW w:w="60" w:type="dxa"/>
            <w:tcBorders/>
            <w:tcMar>
              <w:bottom w:w="0" w:type="dxa"/>
            </w:tcMar>
            <w:vAlign w:val="center"/>
          </w:tcPr>
          <w:p>
            <w:pPr>
              <w:pStyle w:val="TableContents"/>
              <w:bidi w:val="0"/>
              <w:spacing w:before="0" w:after="283"/>
              <w:jc w:val="left"/>
              <w:rPr/>
            </w:pPr>
            <w:r>
              <w:rPr/>
              <w:t> </w:t>
            </w:r>
          </w:p>
        </w:tc>
        <w:tc>
          <w:tcPr>
            <w:tcW w:w="9358" w:type="dxa"/>
            <w:tcBorders/>
            <w:tcMar>
              <w:bottom w:w="0" w:type="dxa"/>
            </w:tcMar>
            <w:vAlign w:val="center"/>
          </w:tcPr>
          <w:p>
            <w:pPr>
              <w:pStyle w:val="TableContents"/>
              <w:bidi w:val="0"/>
              <w:spacing w:before="0" w:after="283"/>
              <w:jc w:val="both"/>
              <w:rPr/>
            </w:pPr>
            <w:hyperlink r:id="rId11">
              <w:r>
                <w:rPr>
                  <w:rStyle w:val="InternetLink"/>
                  <w:rFonts w:ascii="Times New Roman;Times;Serif" w:hAnsi="Times New Roman;Times;Serif"/>
                  <w:color w:val="0000FF"/>
                  <w:sz w:val="20"/>
                </w:rPr>
                <w:t>Note for PPP Loan, dated April 13, 2020, issued to Royal Business Bank</w:t>
              </w:r>
            </w:hyperlink>
            <w:r>
              <w:rPr/>
              <w:t xml:space="preserve"> </w:t>
            </w:r>
            <w:r>
              <w:rPr>
                <w:rFonts w:ascii="Times New Roman;Times;Serif" w:hAnsi="Times New Roman;Times;Serif"/>
                <w:sz w:val="20"/>
              </w:rPr>
              <w:t>(incorporated by reference to Exhibit 10.5 to the Registration Statement on Form S-1 filed February 1, 2021).</w:t>
            </w:r>
          </w:p>
        </w:tc>
      </w:tr>
      <w:tr>
        <w:trPr/>
        <w:tc>
          <w:tcPr>
            <w:tcW w:w="78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10.7</w:t>
            </w:r>
          </w:p>
        </w:tc>
        <w:tc>
          <w:tcPr>
            <w:tcW w:w="60" w:type="dxa"/>
            <w:tcBorders/>
            <w:tcMar>
              <w:bottom w:w="0" w:type="dxa"/>
            </w:tcMar>
            <w:vAlign w:val="center"/>
          </w:tcPr>
          <w:p>
            <w:pPr>
              <w:pStyle w:val="TableContents"/>
              <w:bidi w:val="0"/>
              <w:spacing w:before="0" w:after="283"/>
              <w:jc w:val="left"/>
              <w:rPr/>
            </w:pPr>
            <w:r>
              <w:rPr/>
              <w:t> </w:t>
            </w:r>
          </w:p>
        </w:tc>
        <w:tc>
          <w:tcPr>
            <w:tcW w:w="9358" w:type="dxa"/>
            <w:tcBorders/>
            <w:tcMar>
              <w:bottom w:w="0" w:type="dxa"/>
            </w:tcMar>
            <w:vAlign w:val="center"/>
          </w:tcPr>
          <w:p>
            <w:pPr>
              <w:pStyle w:val="TableContents"/>
              <w:bidi w:val="0"/>
              <w:spacing w:before="0" w:after="283"/>
              <w:jc w:val="both"/>
              <w:rPr/>
            </w:pPr>
            <w:hyperlink r:id="rId12">
              <w:r>
                <w:rPr>
                  <w:rStyle w:val="InternetLink"/>
                  <w:rFonts w:ascii="Times New Roman;Times;Serif" w:hAnsi="Times New Roman;Times;Serif"/>
                  <w:color w:val="0000FF"/>
                  <w:sz w:val="20"/>
                </w:rPr>
                <w:t>Loan Authorization and Agreement, dated April 18, 2020, between BZRTH, Inc. and U.S. Small Business Administration</w:t>
              </w:r>
            </w:hyperlink>
            <w:r>
              <w:rPr/>
              <w:t xml:space="preserve"> </w:t>
            </w:r>
            <w:r>
              <w:rPr>
                <w:rFonts w:ascii="Times New Roman;Times;Serif" w:hAnsi="Times New Roman;Times;Serif"/>
                <w:sz w:val="20"/>
              </w:rPr>
              <w:t>(incorporated by reference to Exhibit 10.6 to the Registration Statement on Form S-1 filed February 1, 2021).</w:t>
            </w:r>
          </w:p>
        </w:tc>
      </w:tr>
      <w:tr>
        <w:trPr/>
        <w:tc>
          <w:tcPr>
            <w:tcW w:w="78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10.8</w:t>
            </w:r>
          </w:p>
        </w:tc>
        <w:tc>
          <w:tcPr>
            <w:tcW w:w="60" w:type="dxa"/>
            <w:tcBorders/>
            <w:tcMar>
              <w:bottom w:w="0" w:type="dxa"/>
            </w:tcMar>
            <w:vAlign w:val="center"/>
          </w:tcPr>
          <w:p>
            <w:pPr>
              <w:pStyle w:val="TableContents"/>
              <w:bidi w:val="0"/>
              <w:spacing w:before="0" w:after="283"/>
              <w:jc w:val="left"/>
              <w:rPr/>
            </w:pPr>
            <w:r>
              <w:rPr/>
              <w:t> </w:t>
            </w:r>
          </w:p>
        </w:tc>
        <w:tc>
          <w:tcPr>
            <w:tcW w:w="9358" w:type="dxa"/>
            <w:tcBorders/>
            <w:tcMar>
              <w:bottom w:w="0" w:type="dxa"/>
            </w:tcMar>
            <w:vAlign w:val="center"/>
          </w:tcPr>
          <w:p>
            <w:pPr>
              <w:pStyle w:val="TableContents"/>
              <w:bidi w:val="0"/>
              <w:spacing w:before="0" w:after="283"/>
              <w:jc w:val="both"/>
              <w:rPr/>
            </w:pPr>
            <w:hyperlink r:id="rId13">
              <w:r>
                <w:rPr>
                  <w:rStyle w:val="InternetLink"/>
                  <w:rFonts w:ascii="Times New Roman;Times;Serif" w:hAnsi="Times New Roman;Times;Serif"/>
                  <w:color w:val="0000FF"/>
                  <w:sz w:val="20"/>
                </w:rPr>
                <w:t>Employment Agreement, dated July 1, 2020, between iPower Inc. and Chenlong Tan</w:t>
              </w:r>
            </w:hyperlink>
            <w:r>
              <w:rPr/>
              <w:t xml:space="preserve"> </w:t>
            </w:r>
            <w:r>
              <w:rPr>
                <w:rFonts w:ascii="Times New Roman;Times;Serif" w:hAnsi="Times New Roman;Times;Serif"/>
                <w:sz w:val="20"/>
              </w:rPr>
              <w:t>(incorporated by reference to Exhibit 10.7 to the Registration Statement on Form S-1 filed February 2, 2021).</w:t>
            </w:r>
          </w:p>
        </w:tc>
      </w:tr>
      <w:tr>
        <w:trPr/>
        <w:tc>
          <w:tcPr>
            <w:tcW w:w="78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10.9</w:t>
            </w:r>
          </w:p>
        </w:tc>
        <w:tc>
          <w:tcPr>
            <w:tcW w:w="60" w:type="dxa"/>
            <w:tcBorders/>
            <w:tcMar>
              <w:bottom w:w="0" w:type="dxa"/>
            </w:tcMar>
            <w:vAlign w:val="center"/>
          </w:tcPr>
          <w:p>
            <w:pPr>
              <w:pStyle w:val="TableContents"/>
              <w:bidi w:val="0"/>
              <w:spacing w:before="0" w:after="283"/>
              <w:jc w:val="left"/>
              <w:rPr/>
            </w:pPr>
            <w:r>
              <w:rPr/>
              <w:t> </w:t>
            </w:r>
          </w:p>
        </w:tc>
        <w:tc>
          <w:tcPr>
            <w:tcW w:w="9358" w:type="dxa"/>
            <w:tcBorders/>
            <w:tcMar>
              <w:bottom w:w="0" w:type="dxa"/>
            </w:tcMar>
            <w:vAlign w:val="center"/>
          </w:tcPr>
          <w:p>
            <w:pPr>
              <w:pStyle w:val="TableContents"/>
              <w:bidi w:val="0"/>
              <w:spacing w:before="0" w:after="283"/>
              <w:jc w:val="both"/>
              <w:rPr/>
            </w:pPr>
            <w:hyperlink r:id="rId14">
              <w:r>
                <w:rPr>
                  <w:rStyle w:val="InternetLink"/>
                  <w:rFonts w:ascii="Times New Roman;Times;Serif" w:hAnsi="Times New Roman;Times;Serif"/>
                  <w:color w:val="0000FF"/>
                  <w:sz w:val="20"/>
                </w:rPr>
                <w:t>Standard Industrial Multi-Tenant Lease, dated as of September 1, 2020, between BZRTH, Inc. and Nelson, LLC</w:t>
              </w:r>
            </w:hyperlink>
            <w:r>
              <w:rPr/>
              <w:t xml:space="preserve"> </w:t>
            </w:r>
            <w:r>
              <w:rPr>
                <w:rFonts w:ascii="Times New Roman;Times;Serif" w:hAnsi="Times New Roman;Times;Serif"/>
                <w:sz w:val="20"/>
              </w:rPr>
              <w:t>(incorporated by reference to Exhibit 10.8 to the Registration Statement on Form S-1 filed February 2, 2021).</w:t>
            </w:r>
          </w:p>
        </w:tc>
      </w:tr>
      <w:tr>
        <w:trPr/>
        <w:tc>
          <w:tcPr>
            <w:tcW w:w="78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10.10</w:t>
            </w:r>
          </w:p>
        </w:tc>
        <w:tc>
          <w:tcPr>
            <w:tcW w:w="60" w:type="dxa"/>
            <w:tcBorders/>
            <w:tcMar>
              <w:bottom w:w="0" w:type="dxa"/>
            </w:tcMar>
            <w:vAlign w:val="center"/>
          </w:tcPr>
          <w:p>
            <w:pPr>
              <w:pStyle w:val="TableContents"/>
              <w:bidi w:val="0"/>
              <w:spacing w:before="0" w:after="283"/>
              <w:jc w:val="left"/>
              <w:rPr/>
            </w:pPr>
            <w:r>
              <w:rPr/>
              <w:t> </w:t>
            </w:r>
          </w:p>
        </w:tc>
        <w:tc>
          <w:tcPr>
            <w:tcW w:w="9358" w:type="dxa"/>
            <w:tcBorders/>
            <w:tcMar>
              <w:bottom w:w="0" w:type="dxa"/>
            </w:tcMar>
            <w:vAlign w:val="center"/>
          </w:tcPr>
          <w:p>
            <w:pPr>
              <w:pStyle w:val="TableContents"/>
              <w:bidi w:val="0"/>
              <w:spacing w:before="0" w:after="283"/>
              <w:jc w:val="both"/>
              <w:rPr/>
            </w:pPr>
            <w:hyperlink r:id="rId15">
              <w:r>
                <w:rPr>
                  <w:rStyle w:val="InternetLink"/>
                  <w:rFonts w:ascii="Times New Roman;Times;Serif" w:hAnsi="Times New Roman;Times;Serif"/>
                  <w:color w:val="0000FF"/>
                  <w:sz w:val="20"/>
                </w:rPr>
                <w:t>Exclusive Business Cooperation Agreement, dated September 4, 2020, between iPower Inc. and Global Product Marketing Inc.</w:t>
              </w:r>
            </w:hyperlink>
            <w:r>
              <w:rPr/>
              <w:t xml:space="preserve"> </w:t>
            </w:r>
            <w:r>
              <w:rPr>
                <w:rFonts w:ascii="Times New Roman;Times;Serif" w:hAnsi="Times New Roman;Times;Serif"/>
                <w:sz w:val="20"/>
              </w:rPr>
              <w:t>(incorporated by reference to Exhibit 10.9 to the Registration Statement on Form S-1 filed February 2, 2021).</w:t>
            </w:r>
          </w:p>
        </w:tc>
      </w:tr>
      <w:tr>
        <w:trPr/>
        <w:tc>
          <w:tcPr>
            <w:tcW w:w="78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10.11</w:t>
            </w:r>
          </w:p>
        </w:tc>
        <w:tc>
          <w:tcPr>
            <w:tcW w:w="60" w:type="dxa"/>
            <w:tcBorders/>
            <w:tcMar>
              <w:bottom w:w="0" w:type="dxa"/>
            </w:tcMar>
            <w:vAlign w:val="center"/>
          </w:tcPr>
          <w:p>
            <w:pPr>
              <w:pStyle w:val="TableContents"/>
              <w:bidi w:val="0"/>
              <w:spacing w:before="0" w:after="283"/>
              <w:jc w:val="left"/>
              <w:rPr/>
            </w:pPr>
            <w:r>
              <w:rPr/>
              <w:t> </w:t>
            </w:r>
          </w:p>
        </w:tc>
        <w:tc>
          <w:tcPr>
            <w:tcW w:w="9358" w:type="dxa"/>
            <w:tcBorders/>
            <w:tcMar>
              <w:bottom w:w="0" w:type="dxa"/>
            </w:tcMar>
            <w:vAlign w:val="center"/>
          </w:tcPr>
          <w:p>
            <w:pPr>
              <w:pStyle w:val="TableContents"/>
              <w:bidi w:val="0"/>
              <w:spacing w:before="0" w:after="283"/>
              <w:jc w:val="both"/>
              <w:rPr/>
            </w:pPr>
            <w:hyperlink r:id="rId16">
              <w:r>
                <w:rPr>
                  <w:rStyle w:val="InternetLink"/>
                  <w:rFonts w:ascii="Times New Roman;Times;Serif" w:hAnsi="Times New Roman;Times;Serif"/>
                  <w:color w:val="0000FF"/>
                  <w:sz w:val="20"/>
                </w:rPr>
                <w:t>Restricted Stock Purchase Agreement, dated October 20, 2020, between iPower Inc. and Allan Huang</w:t>
              </w:r>
            </w:hyperlink>
            <w:r>
              <w:rPr/>
              <w:t xml:space="preserve"> </w:t>
            </w:r>
            <w:r>
              <w:rPr>
                <w:rFonts w:ascii="Times New Roman;Times;Serif" w:hAnsi="Times New Roman;Times;Serif"/>
                <w:sz w:val="20"/>
              </w:rPr>
              <w:t>(incorporated by reference to Exhibit 10.10 to the Registration Statement on Form S-1 filed February 2, 2021).</w:t>
            </w:r>
          </w:p>
        </w:tc>
      </w:tr>
      <w:tr>
        <w:trPr/>
        <w:tc>
          <w:tcPr>
            <w:tcW w:w="78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10.12</w:t>
            </w:r>
          </w:p>
        </w:tc>
        <w:tc>
          <w:tcPr>
            <w:tcW w:w="60" w:type="dxa"/>
            <w:tcBorders/>
            <w:tcMar>
              <w:bottom w:w="0" w:type="dxa"/>
            </w:tcMar>
            <w:vAlign w:val="center"/>
          </w:tcPr>
          <w:p>
            <w:pPr>
              <w:pStyle w:val="TableContents"/>
              <w:bidi w:val="0"/>
              <w:spacing w:before="0" w:after="283"/>
              <w:jc w:val="left"/>
              <w:rPr/>
            </w:pPr>
            <w:r>
              <w:rPr/>
              <w:t> </w:t>
            </w:r>
          </w:p>
        </w:tc>
        <w:tc>
          <w:tcPr>
            <w:tcW w:w="9358" w:type="dxa"/>
            <w:tcBorders/>
            <w:tcMar>
              <w:bottom w:w="0" w:type="dxa"/>
            </w:tcMar>
            <w:vAlign w:val="center"/>
          </w:tcPr>
          <w:p>
            <w:pPr>
              <w:pStyle w:val="TableContents"/>
              <w:bidi w:val="0"/>
              <w:spacing w:before="0" w:after="283"/>
              <w:jc w:val="both"/>
              <w:rPr/>
            </w:pPr>
            <w:hyperlink r:id="rId17">
              <w:r>
                <w:rPr>
                  <w:rStyle w:val="InternetLink"/>
                  <w:rFonts w:ascii="Times New Roman;Times;Serif" w:hAnsi="Times New Roman;Times;Serif"/>
                  <w:color w:val="0000FF"/>
                  <w:sz w:val="20"/>
                </w:rPr>
                <w:t>Restricted Stock Purchase Agreement, dated October 20, 2020, between iPower Inc. and Chenlong Tan</w:t>
              </w:r>
            </w:hyperlink>
            <w:r>
              <w:rPr/>
              <w:t xml:space="preserve"> </w:t>
            </w:r>
            <w:r>
              <w:rPr>
                <w:rFonts w:ascii="Times New Roman;Times;Serif" w:hAnsi="Times New Roman;Times;Serif"/>
                <w:sz w:val="20"/>
              </w:rPr>
              <w:t>(incorporated by reference to Exhibit 10.11 to the Registration Statement on Form S-1 filed February 2, 2021).</w:t>
            </w:r>
          </w:p>
        </w:tc>
      </w:tr>
      <w:tr>
        <w:trPr/>
        <w:tc>
          <w:tcPr>
            <w:tcW w:w="78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10.13</w:t>
            </w:r>
          </w:p>
        </w:tc>
        <w:tc>
          <w:tcPr>
            <w:tcW w:w="60" w:type="dxa"/>
            <w:tcBorders/>
            <w:tcMar>
              <w:bottom w:w="0" w:type="dxa"/>
            </w:tcMar>
            <w:vAlign w:val="center"/>
          </w:tcPr>
          <w:p>
            <w:pPr>
              <w:pStyle w:val="TableContents"/>
              <w:bidi w:val="0"/>
              <w:spacing w:before="0" w:after="283"/>
              <w:jc w:val="left"/>
              <w:rPr/>
            </w:pPr>
            <w:r>
              <w:rPr/>
              <w:t> </w:t>
            </w:r>
          </w:p>
        </w:tc>
        <w:tc>
          <w:tcPr>
            <w:tcW w:w="9358" w:type="dxa"/>
            <w:tcBorders/>
            <w:tcMar>
              <w:bottom w:w="0" w:type="dxa"/>
            </w:tcMar>
            <w:vAlign w:val="center"/>
          </w:tcPr>
          <w:p>
            <w:pPr>
              <w:pStyle w:val="TableContents"/>
              <w:bidi w:val="0"/>
              <w:spacing w:before="0" w:after="283"/>
              <w:jc w:val="both"/>
              <w:rPr/>
            </w:pPr>
            <w:hyperlink r:id="rId18">
              <w:r>
                <w:rPr>
                  <w:rStyle w:val="InternetLink"/>
                  <w:rFonts w:ascii="Times New Roman;Times;Serif" w:hAnsi="Times New Roman;Times;Serif"/>
                  <w:color w:val="0000FF"/>
                  <w:sz w:val="20"/>
                </w:rPr>
                <w:t>Amended and Restated Exclusive Business Cooperation Agreement, dated October 26, 2020, between iPower Inc. and E Marketing Solution Inc.</w:t>
              </w:r>
            </w:hyperlink>
            <w:r>
              <w:rPr/>
              <w:t xml:space="preserve"> </w:t>
            </w:r>
            <w:r>
              <w:rPr>
                <w:rFonts w:ascii="Times New Roman;Times;Serif" w:hAnsi="Times New Roman;Times;Serif"/>
                <w:sz w:val="20"/>
              </w:rPr>
              <w:t>(incorporated by reference to Exhibit 10.12 to the Registration Statement on Form S-1 filed February 2, 2021).</w:t>
            </w:r>
          </w:p>
        </w:tc>
      </w:tr>
      <w:tr>
        <w:trPr/>
        <w:tc>
          <w:tcPr>
            <w:tcW w:w="78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10.14</w:t>
            </w:r>
          </w:p>
        </w:tc>
        <w:tc>
          <w:tcPr>
            <w:tcW w:w="60" w:type="dxa"/>
            <w:tcBorders/>
            <w:tcMar>
              <w:bottom w:w="0" w:type="dxa"/>
            </w:tcMar>
            <w:vAlign w:val="center"/>
          </w:tcPr>
          <w:p>
            <w:pPr>
              <w:pStyle w:val="TableContents"/>
              <w:bidi w:val="0"/>
              <w:spacing w:before="0" w:after="283"/>
              <w:jc w:val="left"/>
              <w:rPr/>
            </w:pPr>
            <w:r>
              <w:rPr/>
              <w:t> </w:t>
            </w:r>
          </w:p>
        </w:tc>
        <w:tc>
          <w:tcPr>
            <w:tcW w:w="9358" w:type="dxa"/>
            <w:tcBorders/>
            <w:tcMar>
              <w:bottom w:w="0" w:type="dxa"/>
            </w:tcMar>
            <w:vAlign w:val="center"/>
          </w:tcPr>
          <w:p>
            <w:pPr>
              <w:pStyle w:val="TableContents"/>
              <w:bidi w:val="0"/>
              <w:spacing w:before="0" w:after="283"/>
              <w:jc w:val="both"/>
              <w:rPr/>
            </w:pPr>
            <w:hyperlink r:id="rId19">
              <w:r>
                <w:rPr>
                  <w:rStyle w:val="InternetLink"/>
                  <w:rFonts w:ascii="Times New Roman;Times;Serif" w:hAnsi="Times New Roman;Times;Serif"/>
                  <w:color w:val="0000FF"/>
                  <w:sz w:val="20"/>
                </w:rPr>
                <w:t>Receivables Purchase Agreement, dated November 16, 2020, between BZRTH, Inc. and WFC Fund, LLC</w:t>
              </w:r>
            </w:hyperlink>
            <w:r>
              <w:rPr/>
              <w:t xml:space="preserve"> </w:t>
            </w:r>
            <w:r>
              <w:rPr>
                <w:rFonts w:ascii="Times New Roman;Times;Serif" w:hAnsi="Times New Roman;Times;Serif"/>
                <w:sz w:val="20"/>
              </w:rPr>
              <w:t>(incorporated by reference to Exhibit 10.13 to the Registration Statement on Form S-1 filed February 2, 2021).</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16"/>
        <w:gridCol w:w="60"/>
        <w:gridCol w:w="9629"/>
      </w:tblGrid>
      <w:tr>
        <w:trPr/>
        <w:tc>
          <w:tcPr>
            <w:tcW w:w="5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10.15 </w:t>
            </w:r>
          </w:p>
        </w:tc>
        <w:tc>
          <w:tcPr>
            <w:tcW w:w="60" w:type="dxa"/>
            <w:tcBorders/>
            <w:vAlign w:val="center"/>
          </w:tcPr>
          <w:p>
            <w:pPr>
              <w:pStyle w:val="TableContents"/>
              <w:bidi w:val="0"/>
              <w:spacing w:before="0" w:after="283"/>
              <w:jc w:val="left"/>
              <w:rPr/>
            </w:pPr>
            <w:r>
              <w:rPr/>
              <w:t> </w:t>
            </w:r>
          </w:p>
        </w:tc>
        <w:tc>
          <w:tcPr>
            <w:tcW w:w="9629" w:type="dxa"/>
            <w:tcBorders/>
            <w:vAlign w:val="center"/>
          </w:tcPr>
          <w:p>
            <w:pPr>
              <w:pStyle w:val="TableContents"/>
              <w:bidi w:val="0"/>
              <w:spacing w:before="0" w:after="283"/>
              <w:jc w:val="both"/>
              <w:rPr/>
            </w:pPr>
            <w:hyperlink r:id="rId20">
              <w:r>
                <w:rPr>
                  <w:rStyle w:val="InternetLink"/>
                  <w:rFonts w:ascii="Times New Roman;Times;Serif" w:hAnsi="Times New Roman;Times;Serif"/>
                  <w:color w:val="0000FF"/>
                  <w:sz w:val="20"/>
                </w:rPr>
                <w:t>Form of Subscription Agreement for Series A Preferred Stock Offering</w:t>
              </w:r>
            </w:hyperlink>
            <w:r>
              <w:rPr/>
              <w:t xml:space="preserve"> </w:t>
            </w:r>
            <w:r>
              <w:rPr>
                <w:rFonts w:ascii="Times New Roman;Times;Serif" w:hAnsi="Times New Roman;Times;Serif"/>
                <w:sz w:val="20"/>
              </w:rPr>
              <w:t>(incorporated by reference to Exhibit 10.14 to the Registration Statement on Form S-1 filed February 2, 2021).</w:t>
            </w:r>
          </w:p>
        </w:tc>
      </w:tr>
      <w:tr>
        <w:trPr/>
        <w:tc>
          <w:tcPr>
            <w:tcW w:w="5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10.16</w:t>
            </w:r>
          </w:p>
        </w:tc>
        <w:tc>
          <w:tcPr>
            <w:tcW w:w="60" w:type="dxa"/>
            <w:tcBorders/>
            <w:vAlign w:val="center"/>
          </w:tcPr>
          <w:p>
            <w:pPr>
              <w:pStyle w:val="TableContents"/>
              <w:bidi w:val="0"/>
              <w:spacing w:before="0" w:after="283"/>
              <w:jc w:val="left"/>
              <w:rPr/>
            </w:pPr>
            <w:r>
              <w:rPr/>
              <w:t> </w:t>
            </w:r>
          </w:p>
        </w:tc>
        <w:tc>
          <w:tcPr>
            <w:tcW w:w="9629" w:type="dxa"/>
            <w:tcBorders/>
            <w:vAlign w:val="center"/>
          </w:tcPr>
          <w:p>
            <w:pPr>
              <w:pStyle w:val="TableContents"/>
              <w:bidi w:val="0"/>
              <w:spacing w:before="0" w:after="283"/>
              <w:jc w:val="both"/>
              <w:rPr/>
            </w:pPr>
            <w:hyperlink r:id="rId21">
              <w:r>
                <w:rPr>
                  <w:rStyle w:val="InternetLink"/>
                  <w:rFonts w:ascii="Times New Roman;Times;Serif" w:hAnsi="Times New Roman;Times;Serif"/>
                  <w:color w:val="0000FF"/>
                  <w:sz w:val="20"/>
                </w:rPr>
                <w:t>Board Letter Agreement, dated January 26, 2021, between iPower Inc. and Danilo Cacciamatta</w:t>
              </w:r>
            </w:hyperlink>
            <w:r>
              <w:rPr/>
              <w:t xml:space="preserve"> </w:t>
            </w:r>
            <w:r>
              <w:rPr>
                <w:rFonts w:ascii="Times New Roman;Times;Serif" w:hAnsi="Times New Roman;Times;Serif"/>
                <w:sz w:val="20"/>
              </w:rPr>
              <w:t>(incorporated by reference to Exhibit 10.15 to the Registration Statement on Form S-1 filed February 2, 2021).</w:t>
            </w:r>
          </w:p>
        </w:tc>
      </w:tr>
      <w:tr>
        <w:trPr/>
        <w:tc>
          <w:tcPr>
            <w:tcW w:w="5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10.17</w:t>
            </w:r>
          </w:p>
        </w:tc>
        <w:tc>
          <w:tcPr>
            <w:tcW w:w="60" w:type="dxa"/>
            <w:tcBorders/>
            <w:vAlign w:val="center"/>
          </w:tcPr>
          <w:p>
            <w:pPr>
              <w:pStyle w:val="TableContents"/>
              <w:bidi w:val="0"/>
              <w:spacing w:before="0" w:after="283"/>
              <w:jc w:val="left"/>
              <w:rPr/>
            </w:pPr>
            <w:r>
              <w:rPr/>
              <w:t> </w:t>
            </w:r>
          </w:p>
        </w:tc>
        <w:tc>
          <w:tcPr>
            <w:tcW w:w="9629" w:type="dxa"/>
            <w:tcBorders/>
            <w:vAlign w:val="center"/>
          </w:tcPr>
          <w:p>
            <w:pPr>
              <w:pStyle w:val="TableContents"/>
              <w:bidi w:val="0"/>
              <w:spacing w:before="0" w:after="283"/>
              <w:jc w:val="both"/>
              <w:rPr/>
            </w:pPr>
            <w:hyperlink r:id="rId22">
              <w:r>
                <w:rPr>
                  <w:rStyle w:val="InternetLink"/>
                  <w:rFonts w:ascii="Times New Roman;Times;Serif" w:hAnsi="Times New Roman;Times;Serif"/>
                  <w:color w:val="0000FF"/>
                  <w:sz w:val="20"/>
                </w:rPr>
                <w:t>Board Letter Agreement, dated January 26, 2021, between iPower Inc. and Bennet Tchaikovsky</w:t>
              </w:r>
            </w:hyperlink>
            <w:r>
              <w:rPr/>
              <w:t xml:space="preserve"> </w:t>
            </w:r>
            <w:r>
              <w:rPr>
                <w:rFonts w:ascii="Times New Roman;Times;Serif" w:hAnsi="Times New Roman;Times;Serif"/>
                <w:sz w:val="20"/>
              </w:rPr>
              <w:t>(incorporated by reference to Exhibit 10.16 to the Registration Statement on Form S-1 filed February 2, 2021).</w:t>
            </w:r>
          </w:p>
        </w:tc>
      </w:tr>
      <w:tr>
        <w:trPr/>
        <w:tc>
          <w:tcPr>
            <w:tcW w:w="5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10.18</w:t>
            </w:r>
          </w:p>
        </w:tc>
        <w:tc>
          <w:tcPr>
            <w:tcW w:w="60" w:type="dxa"/>
            <w:tcBorders/>
            <w:vAlign w:val="center"/>
          </w:tcPr>
          <w:p>
            <w:pPr>
              <w:pStyle w:val="TableContents"/>
              <w:bidi w:val="0"/>
              <w:spacing w:before="0" w:after="283"/>
              <w:jc w:val="left"/>
              <w:rPr/>
            </w:pPr>
            <w:r>
              <w:rPr/>
              <w:t> </w:t>
            </w:r>
          </w:p>
        </w:tc>
        <w:tc>
          <w:tcPr>
            <w:tcW w:w="9629" w:type="dxa"/>
            <w:tcBorders/>
            <w:vAlign w:val="center"/>
          </w:tcPr>
          <w:p>
            <w:pPr>
              <w:pStyle w:val="TableContents"/>
              <w:bidi w:val="0"/>
              <w:spacing w:before="0" w:after="283"/>
              <w:jc w:val="both"/>
              <w:rPr/>
            </w:pPr>
            <w:hyperlink r:id="rId23">
              <w:r>
                <w:rPr>
                  <w:rStyle w:val="InternetLink"/>
                  <w:rFonts w:ascii="Times New Roman;Times;Serif" w:hAnsi="Times New Roman;Times;Serif"/>
                  <w:color w:val="0000FF"/>
                  <w:sz w:val="20"/>
                </w:rPr>
                <w:t>Form of Subscription Agreement for 6% Convertible Note and Warrants</w:t>
              </w:r>
            </w:hyperlink>
            <w:r>
              <w:rPr/>
              <w:t xml:space="preserve"> </w:t>
            </w:r>
            <w:r>
              <w:rPr>
                <w:rFonts w:ascii="Times New Roman;Times;Serif" w:hAnsi="Times New Roman;Times;Serif"/>
                <w:sz w:val="20"/>
              </w:rPr>
              <w:t>(incorporated by reference to exhibit 10.17 to the Registration Statement on Form S-1 filed February 2, 2021).</w:t>
            </w:r>
          </w:p>
        </w:tc>
      </w:tr>
      <w:tr>
        <w:trPr/>
        <w:tc>
          <w:tcPr>
            <w:tcW w:w="5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10.19</w:t>
            </w:r>
          </w:p>
        </w:tc>
        <w:tc>
          <w:tcPr>
            <w:tcW w:w="60" w:type="dxa"/>
            <w:tcBorders/>
            <w:vAlign w:val="center"/>
          </w:tcPr>
          <w:p>
            <w:pPr>
              <w:pStyle w:val="TableContents"/>
              <w:bidi w:val="0"/>
              <w:spacing w:before="0" w:after="283"/>
              <w:jc w:val="left"/>
              <w:rPr/>
            </w:pPr>
            <w:r>
              <w:rPr/>
              <w:t> </w:t>
            </w:r>
          </w:p>
        </w:tc>
        <w:tc>
          <w:tcPr>
            <w:tcW w:w="9629" w:type="dxa"/>
            <w:tcBorders/>
            <w:vAlign w:val="center"/>
          </w:tcPr>
          <w:p>
            <w:pPr>
              <w:pStyle w:val="TableContents"/>
              <w:bidi w:val="0"/>
              <w:spacing w:before="0" w:after="283"/>
              <w:jc w:val="both"/>
              <w:rPr/>
            </w:pPr>
            <w:hyperlink r:id="rId24">
              <w:r>
                <w:rPr>
                  <w:rStyle w:val="InternetLink"/>
                  <w:rFonts w:ascii="Times New Roman;Times;Serif" w:hAnsi="Times New Roman;Times;Serif"/>
                  <w:color w:val="0000FF"/>
                  <w:sz w:val="20"/>
                </w:rPr>
                <w:t>Convertible Note, dated January 27, 2021, issued to Wiseman Capital Management LLC</w:t>
              </w:r>
            </w:hyperlink>
            <w:r>
              <w:rPr/>
              <w:t xml:space="preserve"> </w:t>
            </w:r>
            <w:r>
              <w:rPr>
                <w:rFonts w:ascii="Times New Roman;Times;Serif" w:hAnsi="Times New Roman;Times;Serif"/>
                <w:sz w:val="20"/>
              </w:rPr>
              <w:t>(incorporated by reference to Exhibit 10.18 to the Registration Statement on Form S-1 filed February 2, 2021).</w:t>
            </w:r>
          </w:p>
        </w:tc>
      </w:tr>
      <w:tr>
        <w:trPr/>
        <w:tc>
          <w:tcPr>
            <w:tcW w:w="5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10.20</w:t>
            </w:r>
          </w:p>
        </w:tc>
        <w:tc>
          <w:tcPr>
            <w:tcW w:w="60" w:type="dxa"/>
            <w:tcBorders/>
            <w:vAlign w:val="center"/>
          </w:tcPr>
          <w:p>
            <w:pPr>
              <w:pStyle w:val="TableContents"/>
              <w:bidi w:val="0"/>
              <w:spacing w:before="0" w:after="283"/>
              <w:jc w:val="left"/>
              <w:rPr/>
            </w:pPr>
            <w:r>
              <w:rPr/>
              <w:t> </w:t>
            </w:r>
          </w:p>
        </w:tc>
        <w:tc>
          <w:tcPr>
            <w:tcW w:w="9629" w:type="dxa"/>
            <w:tcBorders/>
            <w:vAlign w:val="center"/>
          </w:tcPr>
          <w:p>
            <w:pPr>
              <w:pStyle w:val="TableContents"/>
              <w:bidi w:val="0"/>
              <w:spacing w:before="0" w:after="283"/>
              <w:jc w:val="both"/>
              <w:rPr/>
            </w:pPr>
            <w:hyperlink r:id="rId25">
              <w:r>
                <w:rPr>
                  <w:rStyle w:val="InternetLink"/>
                  <w:rFonts w:ascii="Times New Roman;Times;Serif" w:hAnsi="Times New Roman;Times;Serif"/>
                  <w:color w:val="0000FF"/>
                  <w:sz w:val="20"/>
                </w:rPr>
                <w:t>Convertible Note, dated January 27, 2021, issued to Bright Century Investment LLC</w:t>
              </w:r>
            </w:hyperlink>
            <w:r>
              <w:rPr/>
              <w:t xml:space="preserve"> </w:t>
            </w:r>
            <w:r>
              <w:rPr>
                <w:rFonts w:ascii="Times New Roman;Times;Serif" w:hAnsi="Times New Roman;Times;Serif"/>
                <w:sz w:val="20"/>
              </w:rPr>
              <w:t>(incorporated by reference to Exhibit 10.19 to the Registration Statement on Form S-1 filed February 2, 2021).</w:t>
            </w:r>
          </w:p>
        </w:tc>
      </w:tr>
      <w:tr>
        <w:trPr/>
        <w:tc>
          <w:tcPr>
            <w:tcW w:w="5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10.21</w:t>
            </w:r>
          </w:p>
        </w:tc>
        <w:tc>
          <w:tcPr>
            <w:tcW w:w="60" w:type="dxa"/>
            <w:tcBorders/>
            <w:vAlign w:val="center"/>
          </w:tcPr>
          <w:p>
            <w:pPr>
              <w:pStyle w:val="TableContents"/>
              <w:bidi w:val="0"/>
              <w:spacing w:before="0" w:after="283"/>
              <w:jc w:val="left"/>
              <w:rPr/>
            </w:pPr>
            <w:r>
              <w:rPr/>
              <w:t> </w:t>
            </w:r>
          </w:p>
        </w:tc>
        <w:tc>
          <w:tcPr>
            <w:tcW w:w="9629" w:type="dxa"/>
            <w:tcBorders/>
            <w:vAlign w:val="center"/>
          </w:tcPr>
          <w:p>
            <w:pPr>
              <w:pStyle w:val="TableContents"/>
              <w:bidi w:val="0"/>
              <w:spacing w:before="0" w:after="283"/>
              <w:jc w:val="both"/>
              <w:rPr/>
            </w:pPr>
            <w:hyperlink r:id="rId26">
              <w:r>
                <w:rPr>
                  <w:rStyle w:val="InternetLink"/>
                  <w:rFonts w:ascii="Times New Roman;Times;Serif" w:hAnsi="Times New Roman;Times;Serif"/>
                  <w:color w:val="0000FF"/>
                  <w:sz w:val="20"/>
                </w:rPr>
                <w:t>Board Letter Agreement, dated January 28, 2021, between iPower Inc. and Kevin Liles</w:t>
              </w:r>
            </w:hyperlink>
            <w:r>
              <w:rPr/>
              <w:t xml:space="preserve"> </w:t>
            </w:r>
            <w:r>
              <w:rPr>
                <w:rFonts w:ascii="Times New Roman;Times;Serif" w:hAnsi="Times New Roman;Times;Serif"/>
                <w:sz w:val="20"/>
              </w:rPr>
              <w:t>(incorporated by reference to Exhibit 10.20 to the Registration Statement on Form S-1 filed February 2, 2021).</w:t>
            </w:r>
          </w:p>
        </w:tc>
      </w:tr>
      <w:tr>
        <w:trPr/>
        <w:tc>
          <w:tcPr>
            <w:tcW w:w="5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10.22</w:t>
            </w:r>
          </w:p>
        </w:tc>
        <w:tc>
          <w:tcPr>
            <w:tcW w:w="60" w:type="dxa"/>
            <w:tcBorders/>
            <w:vAlign w:val="center"/>
          </w:tcPr>
          <w:p>
            <w:pPr>
              <w:pStyle w:val="TableContents"/>
              <w:bidi w:val="0"/>
              <w:spacing w:before="0" w:after="283"/>
              <w:jc w:val="left"/>
              <w:rPr/>
            </w:pPr>
            <w:r>
              <w:rPr/>
              <w:t> </w:t>
            </w:r>
          </w:p>
        </w:tc>
        <w:tc>
          <w:tcPr>
            <w:tcW w:w="9629" w:type="dxa"/>
            <w:tcBorders/>
            <w:vAlign w:val="center"/>
          </w:tcPr>
          <w:p>
            <w:pPr>
              <w:pStyle w:val="TableContents"/>
              <w:bidi w:val="0"/>
              <w:spacing w:before="0" w:after="283"/>
              <w:jc w:val="both"/>
              <w:rPr/>
            </w:pPr>
            <w:hyperlink r:id="rId27">
              <w:r>
                <w:rPr>
                  <w:rStyle w:val="InternetLink"/>
                  <w:rFonts w:ascii="Times New Roman;Times;Serif" w:hAnsi="Times New Roman;Times;Serif"/>
                  <w:color w:val="0000FF"/>
                  <w:sz w:val="20"/>
                </w:rPr>
                <w:t>Employment Agreement, dated January 29, 2021, between iPower Inc. and Kevin Vassily</w:t>
              </w:r>
            </w:hyperlink>
            <w:r>
              <w:rPr/>
              <w:t xml:space="preserve"> </w:t>
            </w:r>
            <w:r>
              <w:rPr>
                <w:rFonts w:ascii="Times New Roman;Times;Serif" w:hAnsi="Times New Roman;Times;Serif"/>
                <w:sz w:val="20"/>
              </w:rPr>
              <w:t>(incorporated by reference to Exhibit 10.21 to the Registration Statement on Form S-1 filed February 2, 2021).</w:t>
            </w:r>
          </w:p>
        </w:tc>
      </w:tr>
      <w:tr>
        <w:trPr/>
        <w:tc>
          <w:tcPr>
            <w:tcW w:w="5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10.23 </w:t>
            </w:r>
          </w:p>
        </w:tc>
        <w:tc>
          <w:tcPr>
            <w:tcW w:w="60" w:type="dxa"/>
            <w:tcBorders/>
            <w:vAlign w:val="center"/>
          </w:tcPr>
          <w:p>
            <w:pPr>
              <w:pStyle w:val="TableContents"/>
              <w:bidi w:val="0"/>
              <w:spacing w:before="0" w:after="283"/>
              <w:jc w:val="left"/>
              <w:rPr/>
            </w:pPr>
            <w:r>
              <w:rPr/>
              <w:t> </w:t>
            </w:r>
          </w:p>
        </w:tc>
        <w:tc>
          <w:tcPr>
            <w:tcW w:w="9629" w:type="dxa"/>
            <w:tcBorders/>
            <w:vAlign w:val="center"/>
          </w:tcPr>
          <w:p>
            <w:pPr>
              <w:pStyle w:val="TableContents"/>
              <w:bidi w:val="0"/>
              <w:spacing w:before="0" w:after="283"/>
              <w:jc w:val="both"/>
              <w:rPr/>
            </w:pPr>
            <w:hyperlink r:id="rId28">
              <w:r>
                <w:rPr>
                  <w:rStyle w:val="InternetLink"/>
                  <w:rFonts w:ascii="Times New Roman;Times;Serif" w:hAnsi="Times New Roman;Times;Serif"/>
                  <w:color w:val="0000FF"/>
                  <w:sz w:val="20"/>
                </w:rPr>
                <w:t>Indemnification Agreement, dated as of April 27, 2021, by and among iPower Inc. and D.A. Davidson &amp; Co., Roth Capital Partners, LLC and US Tiger Securities, Inc.</w:t>
              </w:r>
            </w:hyperlink>
            <w:r>
              <w:rPr/>
              <w:t xml:space="preserve"> </w:t>
            </w:r>
            <w:r>
              <w:rPr>
                <w:rFonts w:ascii="Times New Roman;Times;Serif" w:hAnsi="Times New Roman;Times;Serif"/>
                <w:sz w:val="20"/>
              </w:rPr>
              <w:t>(incorporated by reference to Exhibit 10.23 to Amendment No. 3 to the Registration Statement on Form S-1 filed May 5, 2021).</w:t>
            </w:r>
          </w:p>
        </w:tc>
      </w:tr>
      <w:tr>
        <w:trPr/>
        <w:tc>
          <w:tcPr>
            <w:tcW w:w="5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10.24 </w:t>
            </w:r>
          </w:p>
        </w:tc>
        <w:tc>
          <w:tcPr>
            <w:tcW w:w="60" w:type="dxa"/>
            <w:tcBorders/>
            <w:vAlign w:val="center"/>
          </w:tcPr>
          <w:p>
            <w:pPr>
              <w:pStyle w:val="TableContents"/>
              <w:bidi w:val="0"/>
              <w:spacing w:before="0" w:after="283"/>
              <w:jc w:val="left"/>
              <w:rPr/>
            </w:pPr>
            <w:r>
              <w:rPr/>
              <w:t> </w:t>
            </w:r>
          </w:p>
        </w:tc>
        <w:tc>
          <w:tcPr>
            <w:tcW w:w="9629" w:type="dxa"/>
            <w:tcBorders/>
            <w:vAlign w:val="center"/>
          </w:tcPr>
          <w:p>
            <w:pPr>
              <w:pStyle w:val="TableContents"/>
              <w:bidi w:val="0"/>
              <w:spacing w:before="0" w:after="283"/>
              <w:jc w:val="both"/>
              <w:rPr/>
            </w:pPr>
            <w:hyperlink r:id="rId29">
              <w:r>
                <w:rPr>
                  <w:rStyle w:val="InternetLink"/>
                  <w:rFonts w:ascii="Times New Roman;Times;Serif" w:hAnsi="Times New Roman;Times;Serif"/>
                  <w:color w:val="0000FF"/>
                  <w:sz w:val="20"/>
                </w:rPr>
                <w:t>Indemnification and Lock-Up Agreement, dated as of April 27, 2021, entered into by Chenlong Tan</w:t>
              </w:r>
            </w:hyperlink>
            <w:r>
              <w:rPr/>
              <w:t xml:space="preserve"> </w:t>
            </w:r>
            <w:r>
              <w:rPr>
                <w:rFonts w:ascii="Times New Roman;Times;Serif" w:hAnsi="Times New Roman;Times;Serif"/>
                <w:sz w:val="20"/>
              </w:rPr>
              <w:t>(incorporated by reference to Exhibit 10.24 to Amendment No. 3 to the Registration Statement on Form S-1 filed May 5, 2021).</w:t>
            </w:r>
          </w:p>
        </w:tc>
      </w:tr>
      <w:tr>
        <w:trPr/>
        <w:tc>
          <w:tcPr>
            <w:tcW w:w="5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10.25</w:t>
            </w:r>
          </w:p>
        </w:tc>
        <w:tc>
          <w:tcPr>
            <w:tcW w:w="60" w:type="dxa"/>
            <w:tcBorders/>
            <w:vAlign w:val="center"/>
          </w:tcPr>
          <w:p>
            <w:pPr>
              <w:pStyle w:val="TableContents"/>
              <w:bidi w:val="0"/>
              <w:spacing w:before="0" w:after="283"/>
              <w:jc w:val="left"/>
              <w:rPr/>
            </w:pPr>
            <w:r>
              <w:rPr/>
              <w:t> </w:t>
            </w:r>
          </w:p>
        </w:tc>
        <w:tc>
          <w:tcPr>
            <w:tcW w:w="9629" w:type="dxa"/>
            <w:tcBorders/>
            <w:vAlign w:val="center"/>
          </w:tcPr>
          <w:p>
            <w:pPr>
              <w:pStyle w:val="TableContents"/>
              <w:bidi w:val="0"/>
              <w:spacing w:before="0" w:after="283"/>
              <w:jc w:val="both"/>
              <w:rPr/>
            </w:pPr>
            <w:hyperlink r:id="rId30">
              <w:r>
                <w:rPr>
                  <w:rStyle w:val="InternetLink"/>
                  <w:rFonts w:ascii="Times New Roman;Times;Serif" w:hAnsi="Times New Roman;Times;Serif"/>
                  <w:color w:val="0000FF"/>
                  <w:sz w:val="20"/>
                </w:rPr>
                <w:t>E Marketing Solutions Inc. Equity Purchase Agreement, dated May 18, 2021, between iPower Inc. and Shanshan Huang</w:t>
              </w:r>
            </w:hyperlink>
            <w:r>
              <w:rPr/>
              <w:t xml:space="preserve"> </w:t>
            </w:r>
            <w:r>
              <w:rPr>
                <w:rFonts w:ascii="Times New Roman;Times;Serif" w:hAnsi="Times New Roman;Times;Serif"/>
                <w:sz w:val="20"/>
              </w:rPr>
              <w:t>(incorporated by reference to Exhibit 10.1 to the Current Report on Form 8-K filed May 21, 2021).</w:t>
            </w:r>
          </w:p>
        </w:tc>
      </w:tr>
      <w:tr>
        <w:trPr/>
        <w:tc>
          <w:tcPr>
            <w:tcW w:w="5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10.26</w:t>
            </w:r>
          </w:p>
        </w:tc>
        <w:tc>
          <w:tcPr>
            <w:tcW w:w="60" w:type="dxa"/>
            <w:tcBorders/>
            <w:vAlign w:val="center"/>
          </w:tcPr>
          <w:p>
            <w:pPr>
              <w:pStyle w:val="TableContents"/>
              <w:bidi w:val="0"/>
              <w:spacing w:before="0" w:after="283"/>
              <w:jc w:val="left"/>
              <w:rPr/>
            </w:pPr>
            <w:r>
              <w:rPr/>
              <w:t> </w:t>
            </w:r>
          </w:p>
        </w:tc>
        <w:tc>
          <w:tcPr>
            <w:tcW w:w="9629" w:type="dxa"/>
            <w:tcBorders/>
            <w:vAlign w:val="center"/>
          </w:tcPr>
          <w:p>
            <w:pPr>
              <w:pStyle w:val="TableContents"/>
              <w:bidi w:val="0"/>
              <w:spacing w:before="0" w:after="283"/>
              <w:jc w:val="both"/>
              <w:rPr/>
            </w:pPr>
            <w:hyperlink r:id="rId31">
              <w:r>
                <w:rPr>
                  <w:rStyle w:val="InternetLink"/>
                  <w:rFonts w:ascii="Times New Roman;Times;Serif" w:hAnsi="Times New Roman;Times;Serif"/>
                  <w:color w:val="0000FF"/>
                  <w:sz w:val="20"/>
                </w:rPr>
                <w:t>Global Products Marketing Inc. Equity Purchase Agreement, dated May 18, 2021, between iPower Inc. and Chenlong Tan</w:t>
              </w:r>
            </w:hyperlink>
            <w:r>
              <w:rPr/>
              <w:t xml:space="preserve"> </w:t>
            </w:r>
            <w:r>
              <w:rPr>
                <w:rFonts w:ascii="Times New Roman;Times;Serif" w:hAnsi="Times New Roman;Times;Serif"/>
                <w:sz w:val="20"/>
              </w:rPr>
              <w:t>(incorporated by reference to Exhibit 10.2 to the Current Report on Form 8-K filed May 21, 2021).</w:t>
            </w:r>
          </w:p>
        </w:tc>
      </w:tr>
      <w:tr>
        <w:trPr/>
        <w:tc>
          <w:tcPr>
            <w:tcW w:w="5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10.27</w:t>
            </w:r>
          </w:p>
        </w:tc>
        <w:tc>
          <w:tcPr>
            <w:tcW w:w="60" w:type="dxa"/>
            <w:tcBorders/>
            <w:vAlign w:val="center"/>
          </w:tcPr>
          <w:p>
            <w:pPr>
              <w:pStyle w:val="TableContents"/>
              <w:bidi w:val="0"/>
              <w:spacing w:before="0" w:after="283"/>
              <w:jc w:val="left"/>
              <w:rPr/>
            </w:pPr>
            <w:r>
              <w:rPr/>
              <w:t> </w:t>
            </w:r>
          </w:p>
        </w:tc>
        <w:tc>
          <w:tcPr>
            <w:tcW w:w="9629" w:type="dxa"/>
            <w:tcBorders/>
            <w:vAlign w:val="center"/>
          </w:tcPr>
          <w:p>
            <w:pPr>
              <w:pStyle w:val="TableContents"/>
              <w:bidi w:val="0"/>
              <w:spacing w:before="0" w:after="283"/>
              <w:jc w:val="both"/>
              <w:rPr/>
            </w:pPr>
            <w:hyperlink r:id="rId32">
              <w:r>
                <w:rPr>
                  <w:rStyle w:val="InternetLink"/>
                  <w:rFonts w:ascii="Times New Roman;Times;Serif" w:hAnsi="Times New Roman;Times;Serif"/>
                  <w:color w:val="0000FF"/>
                  <w:sz w:val="20"/>
                </w:rPr>
                <w:t>Lease Agreement, dated July 28, 2021, between iPower Inc. and 9</w:t>
              </w:r>
            </w:hyperlink>
            <w:hyperlink r:id="rId33">
              <w:r>
                <w:rPr>
                  <w:rStyle w:val="InternetLink"/>
                  <w:rFonts w:ascii="Times New Roman;Times;Serif" w:hAnsi="Times New Roman;Times;Serif"/>
                  <w:color w:val="0000FF"/>
                  <w:position w:val="7"/>
                  <w:sz w:val="16"/>
                  <w:sz w:val="20"/>
                </w:rPr>
                <w:t xml:space="preserve">th </w:t>
              </w:r>
            </w:hyperlink>
            <w:hyperlink r:id="rId34">
              <w:r>
                <w:rPr>
                  <w:rStyle w:val="InternetLink"/>
                  <w:rFonts w:ascii="Times New Roman;Times;Serif" w:hAnsi="Times New Roman;Times;Serif"/>
                  <w:color w:val="0000FF"/>
                  <w:sz w:val="20"/>
                </w:rPr>
                <w:t>and Vineyard LLC</w:t>
              </w:r>
            </w:hyperlink>
            <w:r>
              <w:rPr/>
              <w:t xml:space="preserve"> </w:t>
            </w:r>
            <w:r>
              <w:rPr>
                <w:rFonts w:ascii="Times New Roman;Times;Serif" w:hAnsi="Times New Roman;Times;Serif"/>
                <w:sz w:val="20"/>
              </w:rPr>
              <w:t>(incorporated by reference to Exhibit 10.1 to the Current Report filed August 2, 2021).</w:t>
            </w:r>
          </w:p>
        </w:tc>
      </w:tr>
      <w:tr>
        <w:trPr/>
        <w:tc>
          <w:tcPr>
            <w:tcW w:w="5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10.28</w:t>
            </w:r>
          </w:p>
        </w:tc>
        <w:tc>
          <w:tcPr>
            <w:tcW w:w="60" w:type="dxa"/>
            <w:tcBorders/>
            <w:vAlign w:val="center"/>
          </w:tcPr>
          <w:p>
            <w:pPr>
              <w:pStyle w:val="TableContents"/>
              <w:bidi w:val="0"/>
              <w:spacing w:before="0" w:after="283"/>
              <w:jc w:val="left"/>
              <w:rPr/>
            </w:pPr>
            <w:r>
              <w:rPr/>
              <w:t> </w:t>
            </w:r>
          </w:p>
        </w:tc>
        <w:tc>
          <w:tcPr>
            <w:tcW w:w="9629" w:type="dxa"/>
            <w:tcBorders/>
            <w:vAlign w:val="center"/>
          </w:tcPr>
          <w:p>
            <w:pPr>
              <w:pStyle w:val="TableContents"/>
              <w:bidi w:val="0"/>
              <w:spacing w:before="0" w:after="283"/>
              <w:jc w:val="both"/>
              <w:rPr/>
            </w:pPr>
            <w:hyperlink r:id="rId35">
              <w:r>
                <w:rPr>
                  <w:rStyle w:val="InternetLink"/>
                  <w:rFonts w:ascii="Times New Roman;Times;Serif" w:hAnsi="Times New Roman;Times;Serif"/>
                  <w:color w:val="0000FF"/>
                  <w:sz w:val="20"/>
                </w:rPr>
                <w:t>Form of Credit Agreement, dated as of November 12, 2021, between iPower Inc., its subsidiaries and JPMorgan Chase Bank, N.A.</w:t>
              </w:r>
            </w:hyperlink>
            <w:r>
              <w:rPr/>
              <w:t xml:space="preserve"> </w:t>
            </w:r>
            <w:r>
              <w:rPr>
                <w:rFonts w:ascii="Times New Roman;Times;Serif" w:hAnsi="Times New Roman;Times;Serif"/>
                <w:sz w:val="20"/>
              </w:rPr>
              <w:t>(incorporated by reference to Exhibit 10.1 to the Quarterly Report on Form 10-Q filed November 15, 2021).</w:t>
            </w:r>
          </w:p>
        </w:tc>
      </w:tr>
      <w:tr>
        <w:trPr/>
        <w:tc>
          <w:tcPr>
            <w:tcW w:w="5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10.29</w:t>
            </w:r>
          </w:p>
        </w:tc>
        <w:tc>
          <w:tcPr>
            <w:tcW w:w="60" w:type="dxa"/>
            <w:tcBorders/>
            <w:vAlign w:val="center"/>
          </w:tcPr>
          <w:p>
            <w:pPr>
              <w:pStyle w:val="TableContents"/>
              <w:bidi w:val="0"/>
              <w:spacing w:before="0" w:after="283"/>
              <w:jc w:val="left"/>
              <w:rPr/>
            </w:pPr>
            <w:r>
              <w:rPr/>
              <w:t> </w:t>
            </w:r>
          </w:p>
        </w:tc>
        <w:tc>
          <w:tcPr>
            <w:tcW w:w="9629" w:type="dxa"/>
            <w:tcBorders/>
            <w:vAlign w:val="center"/>
          </w:tcPr>
          <w:p>
            <w:pPr>
              <w:pStyle w:val="TableContents"/>
              <w:bidi w:val="0"/>
              <w:spacing w:before="0" w:after="283"/>
              <w:jc w:val="both"/>
              <w:rPr/>
            </w:pPr>
            <w:hyperlink r:id="rId36">
              <w:r>
                <w:rPr>
                  <w:rStyle w:val="InternetLink"/>
                  <w:rFonts w:ascii="Times New Roman;Times;Serif" w:hAnsi="Times New Roman;Times;Serif"/>
                  <w:color w:val="0000FF"/>
                  <w:sz w:val="20"/>
                </w:rPr>
                <w:t>Form of Trademark Security Agreement, dated as of November 12, 2021, between iPower Inc., its subsidiaries and JPMorgan Chase Bank, N.A.</w:t>
              </w:r>
            </w:hyperlink>
            <w:r>
              <w:rPr/>
              <w:t xml:space="preserve"> </w:t>
            </w:r>
            <w:r>
              <w:rPr>
                <w:rFonts w:ascii="Times New Roman;Times;Serif" w:hAnsi="Times New Roman;Times;Serif"/>
                <w:sz w:val="20"/>
              </w:rPr>
              <w:t>(incorporated by reference to Exhibit 10.2 to the Quarterly Report on Form 10-Q filed November 15, 2021).</w:t>
            </w:r>
          </w:p>
        </w:tc>
      </w:tr>
      <w:tr>
        <w:trPr/>
        <w:tc>
          <w:tcPr>
            <w:tcW w:w="5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10.30</w:t>
            </w:r>
          </w:p>
        </w:tc>
        <w:tc>
          <w:tcPr>
            <w:tcW w:w="60" w:type="dxa"/>
            <w:tcBorders/>
            <w:vAlign w:val="center"/>
          </w:tcPr>
          <w:p>
            <w:pPr>
              <w:pStyle w:val="TableContents"/>
              <w:bidi w:val="0"/>
              <w:spacing w:before="0" w:after="283"/>
              <w:jc w:val="left"/>
              <w:rPr/>
            </w:pPr>
            <w:r>
              <w:rPr/>
              <w:t> </w:t>
            </w:r>
          </w:p>
        </w:tc>
        <w:tc>
          <w:tcPr>
            <w:tcW w:w="9629" w:type="dxa"/>
            <w:tcBorders/>
            <w:vAlign w:val="center"/>
          </w:tcPr>
          <w:p>
            <w:pPr>
              <w:pStyle w:val="TableContents"/>
              <w:bidi w:val="0"/>
              <w:spacing w:before="0" w:after="283"/>
              <w:jc w:val="both"/>
              <w:rPr/>
            </w:pPr>
            <w:hyperlink r:id="rId37">
              <w:r>
                <w:rPr>
                  <w:rStyle w:val="InternetLink"/>
                  <w:rFonts w:ascii="Times New Roman;Times;Serif" w:hAnsi="Times New Roman;Times;Serif"/>
                  <w:color w:val="0000FF"/>
                  <w:sz w:val="20"/>
                </w:rPr>
                <w:t>Form of Pledge and Security Agreement, dated as of November 12, 2021, between iPower Inc., its subsidiaries and JPMorgan Chase Bank, N.A.</w:t>
              </w:r>
            </w:hyperlink>
            <w:r>
              <w:rPr/>
              <w:t xml:space="preserve"> </w:t>
            </w:r>
            <w:r>
              <w:rPr>
                <w:rFonts w:ascii="Times New Roman;Times;Serif" w:hAnsi="Times New Roman;Times;Serif"/>
                <w:sz w:val="20"/>
              </w:rPr>
              <w:t>(incorporated by reference to Exhibit 10.3 to the Quarterly Report on Form 10-Q filed November 15, 2021).</w:t>
            </w:r>
          </w:p>
        </w:tc>
      </w:tr>
      <w:tr>
        <w:trPr/>
        <w:tc>
          <w:tcPr>
            <w:tcW w:w="5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10.31</w:t>
            </w:r>
          </w:p>
        </w:tc>
        <w:tc>
          <w:tcPr>
            <w:tcW w:w="60" w:type="dxa"/>
            <w:tcBorders/>
            <w:vAlign w:val="center"/>
          </w:tcPr>
          <w:p>
            <w:pPr>
              <w:pStyle w:val="TableContents"/>
              <w:bidi w:val="0"/>
              <w:spacing w:before="0" w:after="283"/>
              <w:jc w:val="left"/>
              <w:rPr/>
            </w:pPr>
            <w:r>
              <w:rPr/>
              <w:t> </w:t>
            </w:r>
          </w:p>
        </w:tc>
        <w:tc>
          <w:tcPr>
            <w:tcW w:w="9629" w:type="dxa"/>
            <w:tcBorders/>
            <w:vAlign w:val="center"/>
          </w:tcPr>
          <w:p>
            <w:pPr>
              <w:pStyle w:val="TableContents"/>
              <w:bidi w:val="0"/>
              <w:spacing w:before="0" w:after="283"/>
              <w:jc w:val="both"/>
              <w:rPr/>
            </w:pPr>
            <w:hyperlink r:id="rId38">
              <w:r>
                <w:rPr>
                  <w:rStyle w:val="InternetLink"/>
                  <w:rFonts w:ascii="Times New Roman;Times;Serif" w:hAnsi="Times New Roman;Times;Serif"/>
                  <w:color w:val="0000FF"/>
                  <w:sz w:val="20"/>
                </w:rPr>
                <w:t>Joint Venture Agreement</w:t>
              </w:r>
            </w:hyperlink>
            <w:r>
              <w:rPr/>
              <w:t xml:space="preserve"> </w:t>
            </w:r>
            <w:r>
              <w:rPr>
                <w:rFonts w:ascii="Times New Roman;Times;Serif" w:hAnsi="Times New Roman;Times;Serif"/>
                <w:sz w:val="20"/>
              </w:rPr>
              <w:t>(incorporated by Reference to Exhibit 10.1 to the Current Report on Form 8-K filed January 20, 2022).</w:t>
            </w:r>
          </w:p>
        </w:tc>
      </w:tr>
      <w:tr>
        <w:trPr/>
        <w:tc>
          <w:tcPr>
            <w:tcW w:w="5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10.32</w:t>
            </w:r>
          </w:p>
        </w:tc>
        <w:tc>
          <w:tcPr>
            <w:tcW w:w="60" w:type="dxa"/>
            <w:tcBorders/>
            <w:vAlign w:val="center"/>
          </w:tcPr>
          <w:p>
            <w:pPr>
              <w:pStyle w:val="TableContents"/>
              <w:bidi w:val="0"/>
              <w:spacing w:before="0" w:after="283"/>
              <w:jc w:val="left"/>
              <w:rPr/>
            </w:pPr>
            <w:r>
              <w:rPr/>
              <w:t> </w:t>
            </w:r>
          </w:p>
        </w:tc>
        <w:tc>
          <w:tcPr>
            <w:tcW w:w="9629" w:type="dxa"/>
            <w:tcBorders/>
            <w:vAlign w:val="center"/>
          </w:tcPr>
          <w:p>
            <w:pPr>
              <w:pStyle w:val="TableContents"/>
              <w:bidi w:val="0"/>
              <w:spacing w:before="0" w:after="283"/>
              <w:jc w:val="both"/>
              <w:rPr/>
            </w:pPr>
            <w:hyperlink r:id="rId39">
              <w:r>
                <w:rPr>
                  <w:rStyle w:val="InternetLink"/>
                  <w:rFonts w:ascii="Times New Roman;Times;Serif" w:hAnsi="Times New Roman;Times;Serif"/>
                  <w:color w:val="0000FF"/>
                  <w:sz w:val="20"/>
                </w:rPr>
                <w:t>Box Harmony LLC Agreement</w:t>
              </w:r>
            </w:hyperlink>
            <w:r>
              <w:rPr/>
              <w:t xml:space="preserve"> </w:t>
            </w:r>
            <w:r>
              <w:rPr>
                <w:rFonts w:ascii="Times New Roman;Times;Serif" w:hAnsi="Times New Roman;Times;Serif"/>
                <w:sz w:val="20"/>
              </w:rPr>
              <w:t>(incorporated by Reference to Exhibit 10.2 to the Current Report on Form 8-K filed January 20, 2022).</w:t>
            </w:r>
          </w:p>
        </w:tc>
      </w:tr>
      <w:tr>
        <w:trPr/>
        <w:tc>
          <w:tcPr>
            <w:tcW w:w="5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10.33</w:t>
            </w:r>
          </w:p>
        </w:tc>
        <w:tc>
          <w:tcPr>
            <w:tcW w:w="60" w:type="dxa"/>
            <w:tcBorders/>
            <w:vAlign w:val="center"/>
          </w:tcPr>
          <w:p>
            <w:pPr>
              <w:pStyle w:val="TableContents"/>
              <w:bidi w:val="0"/>
              <w:spacing w:before="0" w:after="283"/>
              <w:jc w:val="left"/>
              <w:rPr/>
            </w:pPr>
            <w:r>
              <w:rPr/>
              <w:t> </w:t>
            </w:r>
          </w:p>
        </w:tc>
        <w:tc>
          <w:tcPr>
            <w:tcW w:w="9629" w:type="dxa"/>
            <w:tcBorders/>
            <w:vAlign w:val="center"/>
          </w:tcPr>
          <w:p>
            <w:pPr>
              <w:pStyle w:val="TableContents"/>
              <w:bidi w:val="0"/>
              <w:spacing w:before="0" w:after="283"/>
              <w:jc w:val="both"/>
              <w:rPr/>
            </w:pPr>
            <w:hyperlink r:id="rId40">
              <w:r>
                <w:rPr>
                  <w:rStyle w:val="InternetLink"/>
                  <w:rFonts w:ascii="Times New Roman;Times;Serif" w:hAnsi="Times New Roman;Times;Serif"/>
                  <w:color w:val="0000FF"/>
                  <w:sz w:val="20"/>
                </w:rPr>
                <w:t>Facility and Use Access Agreement</w:t>
              </w:r>
            </w:hyperlink>
            <w:r>
              <w:rPr/>
              <w:t xml:space="preserve"> </w:t>
            </w:r>
            <w:r>
              <w:rPr>
                <w:rFonts w:ascii="Times New Roman;Times;Serif" w:hAnsi="Times New Roman;Times;Serif"/>
                <w:sz w:val="20"/>
              </w:rPr>
              <w:t>(incorporated by Reference to Exhibit 10.3 to the Current Report on Form 8-K filed January 20, 2022).</w:t>
            </w:r>
          </w:p>
        </w:tc>
      </w:tr>
      <w:tr>
        <w:trPr/>
        <w:tc>
          <w:tcPr>
            <w:tcW w:w="5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10.34</w:t>
            </w:r>
          </w:p>
        </w:tc>
        <w:tc>
          <w:tcPr>
            <w:tcW w:w="60" w:type="dxa"/>
            <w:tcBorders/>
            <w:vAlign w:val="center"/>
          </w:tcPr>
          <w:p>
            <w:pPr>
              <w:pStyle w:val="TableContents"/>
              <w:bidi w:val="0"/>
              <w:spacing w:before="0" w:after="283"/>
              <w:jc w:val="left"/>
              <w:rPr/>
            </w:pPr>
            <w:r>
              <w:rPr/>
              <w:t> </w:t>
            </w:r>
          </w:p>
        </w:tc>
        <w:tc>
          <w:tcPr>
            <w:tcW w:w="9629" w:type="dxa"/>
            <w:tcBorders/>
            <w:vAlign w:val="center"/>
          </w:tcPr>
          <w:p>
            <w:pPr>
              <w:pStyle w:val="TableContents"/>
              <w:bidi w:val="0"/>
              <w:spacing w:before="0" w:after="283"/>
              <w:jc w:val="both"/>
              <w:rPr/>
            </w:pPr>
            <w:hyperlink r:id="rId41">
              <w:r>
                <w:rPr>
                  <w:rStyle w:val="InternetLink"/>
                  <w:rFonts w:ascii="Times New Roman;Times;Serif" w:hAnsi="Times New Roman;Times;Serif"/>
                  <w:color w:val="0000FF"/>
                  <w:sz w:val="20"/>
                </w:rPr>
                <w:t>Consulting Agreement</w:t>
              </w:r>
            </w:hyperlink>
            <w:r>
              <w:rPr/>
              <w:t xml:space="preserve"> </w:t>
            </w:r>
            <w:r>
              <w:rPr>
                <w:rFonts w:ascii="Times New Roman;Times;Serif" w:hAnsi="Times New Roman;Times;Serif"/>
                <w:sz w:val="20"/>
              </w:rPr>
              <w:t>(incorporated by Reference to Exhibit 10.4 to the Current Report on Form 8-K filed January 20, 2022).</w:t>
            </w:r>
          </w:p>
        </w:tc>
      </w:tr>
      <w:tr>
        <w:trPr/>
        <w:tc>
          <w:tcPr>
            <w:tcW w:w="5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10.35</w:t>
            </w:r>
          </w:p>
        </w:tc>
        <w:tc>
          <w:tcPr>
            <w:tcW w:w="60" w:type="dxa"/>
            <w:tcBorders/>
            <w:vAlign w:val="center"/>
          </w:tcPr>
          <w:p>
            <w:pPr>
              <w:pStyle w:val="TableContents"/>
              <w:bidi w:val="0"/>
              <w:spacing w:before="0" w:after="283"/>
              <w:jc w:val="left"/>
              <w:rPr/>
            </w:pPr>
            <w:r>
              <w:rPr/>
              <w:t> </w:t>
            </w:r>
          </w:p>
        </w:tc>
        <w:tc>
          <w:tcPr>
            <w:tcW w:w="9629" w:type="dxa"/>
            <w:tcBorders/>
            <w:vAlign w:val="center"/>
          </w:tcPr>
          <w:p>
            <w:pPr>
              <w:pStyle w:val="TableContents"/>
              <w:bidi w:val="0"/>
              <w:spacing w:before="0" w:after="283"/>
              <w:jc w:val="both"/>
              <w:rPr/>
            </w:pPr>
            <w:hyperlink r:id="rId42">
              <w:r>
                <w:rPr>
                  <w:rStyle w:val="InternetLink"/>
                  <w:rFonts w:ascii="Times New Roman;Times;Serif" w:hAnsi="Times New Roman;Times;Serif"/>
                  <w:color w:val="0000FF"/>
                  <w:sz w:val="20"/>
                </w:rPr>
                <w:t>License Agreement</w:t>
              </w:r>
            </w:hyperlink>
            <w:r>
              <w:rPr/>
              <w:t xml:space="preserve"> </w:t>
            </w:r>
            <w:r>
              <w:rPr>
                <w:rFonts w:ascii="Times New Roman;Times;Serif" w:hAnsi="Times New Roman;Times;Serif"/>
                <w:sz w:val="20"/>
              </w:rPr>
              <w:t>(incorporated by Reference to Exhibit 10.5 to the Current Report on Form 8-K filed January 20, 2022).</w:t>
            </w:r>
          </w:p>
        </w:tc>
      </w:tr>
      <w:tr>
        <w:trPr/>
        <w:tc>
          <w:tcPr>
            <w:tcW w:w="5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10.36</w:t>
            </w:r>
          </w:p>
        </w:tc>
        <w:tc>
          <w:tcPr>
            <w:tcW w:w="60" w:type="dxa"/>
            <w:tcBorders/>
            <w:vAlign w:val="center"/>
          </w:tcPr>
          <w:p>
            <w:pPr>
              <w:pStyle w:val="TableContents"/>
              <w:bidi w:val="0"/>
              <w:spacing w:before="0" w:after="283"/>
              <w:jc w:val="left"/>
              <w:rPr/>
            </w:pPr>
            <w:r>
              <w:rPr/>
              <w:t> </w:t>
            </w:r>
          </w:p>
        </w:tc>
        <w:tc>
          <w:tcPr>
            <w:tcW w:w="9629" w:type="dxa"/>
            <w:tcBorders/>
            <w:vAlign w:val="center"/>
          </w:tcPr>
          <w:p>
            <w:pPr>
              <w:pStyle w:val="TableContents"/>
              <w:bidi w:val="0"/>
              <w:spacing w:before="0" w:after="283"/>
              <w:jc w:val="both"/>
              <w:rPr/>
            </w:pPr>
            <w:hyperlink r:id="rId43">
              <w:r>
                <w:rPr>
                  <w:rStyle w:val="InternetLink"/>
                  <w:rFonts w:ascii="Times New Roman;Times;Serif" w:hAnsi="Times New Roman;Times;Serif"/>
                  <w:color w:val="0000FF"/>
                  <w:sz w:val="20"/>
                </w:rPr>
                <w:t>Director Offer Letter</w:t>
              </w:r>
            </w:hyperlink>
            <w:r>
              <w:rPr/>
              <w:t xml:space="preserve"> </w:t>
            </w:r>
            <w:r>
              <w:rPr>
                <w:rFonts w:ascii="Times New Roman;Times;Serif" w:hAnsi="Times New Roman;Times;Serif"/>
                <w:sz w:val="20"/>
              </w:rPr>
              <w:t>(incorporated by Reference to Exhibit 10.6 to the Current Report on Form 8-K filed January 20, 2022).</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82"/>
        <w:gridCol w:w="60"/>
        <w:gridCol w:w="9563"/>
      </w:tblGrid>
      <w:tr>
        <w:trPr/>
        <w:tc>
          <w:tcPr>
            <w:tcW w:w="5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10.37</w:t>
            </w:r>
          </w:p>
        </w:tc>
        <w:tc>
          <w:tcPr>
            <w:tcW w:w="60" w:type="dxa"/>
            <w:tcBorders/>
            <w:vAlign w:val="center"/>
          </w:tcPr>
          <w:p>
            <w:pPr>
              <w:pStyle w:val="TableContents"/>
              <w:bidi w:val="0"/>
              <w:spacing w:before="0" w:after="283"/>
              <w:jc w:val="left"/>
              <w:rPr/>
            </w:pPr>
            <w:r>
              <w:rPr/>
              <w:t> </w:t>
            </w:r>
          </w:p>
        </w:tc>
        <w:tc>
          <w:tcPr>
            <w:tcW w:w="9563" w:type="dxa"/>
            <w:tcBorders/>
            <w:vAlign w:val="center"/>
          </w:tcPr>
          <w:p>
            <w:pPr>
              <w:pStyle w:val="TableContents"/>
              <w:bidi w:val="0"/>
              <w:spacing w:before="0" w:after="283"/>
              <w:jc w:val="both"/>
              <w:rPr/>
            </w:pPr>
            <w:hyperlink r:id="rId44">
              <w:r>
                <w:rPr>
                  <w:rStyle w:val="InternetLink"/>
                  <w:rFonts w:ascii="Times New Roman;Times;Serif" w:hAnsi="Times New Roman;Times;Serif"/>
                  <w:sz w:val="20"/>
                </w:rPr>
                <w:t>Joint Venture Agreement, dated February 10, 2022, between iPower Inc., Bro Angel LLC, Jie Shan and Bing</w:t>
              </w:r>
            </w:hyperlink>
            <w:r>
              <w:rPr>
                <w:rFonts w:ascii="Times New Roman;Times;Serif" w:hAnsi="Times New Roman;Times;Serif"/>
                <w:sz w:val="20"/>
              </w:rPr>
              <w:t xml:space="preserve"> Luo (incorporated by Reference to Exhibit 10.1 to the Current Report on Form 8-K filed February 14, 2022).</w:t>
            </w:r>
          </w:p>
        </w:tc>
      </w:tr>
      <w:tr>
        <w:trPr/>
        <w:tc>
          <w:tcPr>
            <w:tcW w:w="5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10.38</w:t>
            </w:r>
          </w:p>
        </w:tc>
        <w:tc>
          <w:tcPr>
            <w:tcW w:w="60" w:type="dxa"/>
            <w:tcBorders/>
            <w:vAlign w:val="center"/>
          </w:tcPr>
          <w:p>
            <w:pPr>
              <w:pStyle w:val="TableContents"/>
              <w:bidi w:val="0"/>
              <w:spacing w:before="0" w:after="283"/>
              <w:jc w:val="left"/>
              <w:rPr/>
            </w:pPr>
            <w:r>
              <w:rPr/>
              <w:t> </w:t>
            </w:r>
          </w:p>
        </w:tc>
        <w:tc>
          <w:tcPr>
            <w:tcW w:w="9563" w:type="dxa"/>
            <w:tcBorders/>
            <w:vAlign w:val="center"/>
          </w:tcPr>
          <w:p>
            <w:pPr>
              <w:pStyle w:val="TableContents"/>
              <w:bidi w:val="0"/>
              <w:spacing w:before="0" w:after="283"/>
              <w:jc w:val="both"/>
              <w:rPr/>
            </w:pPr>
            <w:hyperlink r:id="rId45">
              <w:r>
                <w:rPr>
                  <w:rStyle w:val="InternetLink"/>
                  <w:rFonts w:ascii="Times New Roman;Times;Serif" w:hAnsi="Times New Roman;Times;Serif"/>
                  <w:sz w:val="20"/>
                </w:rPr>
                <w:t>Amended &amp; Restated Limited Liability Company Operating Agreement of Global Social Media LLC, dated February 10, 2022, between Global Social Media LLC, iPower Inc., and Bro Angel LLC</w:t>
              </w:r>
            </w:hyperlink>
            <w:r>
              <w:rPr>
                <w:rFonts w:ascii="Times New Roman;Times;Serif" w:hAnsi="Times New Roman;Times;Serif"/>
                <w:sz w:val="20"/>
              </w:rPr>
              <w:t xml:space="preserve"> (incorporated by Reference to Exhibit 10.2 to the Current Report on Form 8-K filed February 14, 2022).</w:t>
            </w:r>
          </w:p>
        </w:tc>
      </w:tr>
      <w:tr>
        <w:trPr/>
        <w:tc>
          <w:tcPr>
            <w:tcW w:w="5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10.39</w:t>
            </w:r>
          </w:p>
        </w:tc>
        <w:tc>
          <w:tcPr>
            <w:tcW w:w="60" w:type="dxa"/>
            <w:tcBorders/>
            <w:vAlign w:val="center"/>
          </w:tcPr>
          <w:p>
            <w:pPr>
              <w:pStyle w:val="TableContents"/>
              <w:bidi w:val="0"/>
              <w:spacing w:before="0" w:after="283"/>
              <w:jc w:val="left"/>
              <w:rPr/>
            </w:pPr>
            <w:r>
              <w:rPr/>
              <w:t> </w:t>
            </w:r>
          </w:p>
        </w:tc>
        <w:tc>
          <w:tcPr>
            <w:tcW w:w="9563" w:type="dxa"/>
            <w:tcBorders/>
            <w:vAlign w:val="center"/>
          </w:tcPr>
          <w:p>
            <w:pPr>
              <w:pStyle w:val="TableContents"/>
              <w:bidi w:val="0"/>
              <w:spacing w:before="0" w:after="283"/>
              <w:jc w:val="both"/>
              <w:rPr/>
            </w:pPr>
            <w:hyperlink r:id="rId46">
              <w:r>
                <w:rPr>
                  <w:rStyle w:val="InternetLink"/>
                  <w:rFonts w:ascii="Times New Roman;Times;Serif" w:hAnsi="Times New Roman;Times;Serif"/>
                  <w:sz w:val="20"/>
                </w:rPr>
                <w:t>Intellectual Property License Agreement, dated February 10, 2022, between Bro Angel LLC and Global Social Media LLC</w:t>
              </w:r>
            </w:hyperlink>
            <w:r>
              <w:rPr>
                <w:rFonts w:ascii="Times New Roman;Times;Serif" w:hAnsi="Times New Roman;Times;Serif"/>
                <w:sz w:val="20"/>
              </w:rPr>
              <w:t xml:space="preserve"> (incorporated by Reference to Exhibit 10.3 to the Current Report on Form 8-K filed February 14, 2022).</w:t>
            </w:r>
          </w:p>
        </w:tc>
      </w:tr>
      <w:tr>
        <w:trPr/>
        <w:tc>
          <w:tcPr>
            <w:tcW w:w="5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10.40</w:t>
            </w:r>
          </w:p>
        </w:tc>
        <w:tc>
          <w:tcPr>
            <w:tcW w:w="60" w:type="dxa"/>
            <w:tcBorders/>
            <w:vAlign w:val="center"/>
          </w:tcPr>
          <w:p>
            <w:pPr>
              <w:pStyle w:val="TableContents"/>
              <w:bidi w:val="0"/>
              <w:spacing w:before="0" w:after="283"/>
              <w:jc w:val="left"/>
              <w:rPr/>
            </w:pPr>
            <w:r>
              <w:rPr/>
              <w:t> </w:t>
            </w:r>
          </w:p>
        </w:tc>
        <w:tc>
          <w:tcPr>
            <w:tcW w:w="9563" w:type="dxa"/>
            <w:tcBorders/>
            <w:vAlign w:val="center"/>
          </w:tcPr>
          <w:p>
            <w:pPr>
              <w:pStyle w:val="TableContents"/>
              <w:bidi w:val="0"/>
              <w:spacing w:before="0" w:after="283"/>
              <w:jc w:val="both"/>
              <w:rPr/>
            </w:pPr>
            <w:hyperlink r:id="rId47">
              <w:r>
                <w:rPr>
                  <w:rStyle w:val="InternetLink"/>
                  <w:rFonts w:ascii="Times New Roman;Times;Serif" w:hAnsi="Times New Roman;Times;Serif"/>
                  <w:sz w:val="20"/>
                </w:rPr>
                <w:t>Share Transfer Agreement, dated February 15, 2022, between iPower Inc., White Cherry Limited, Li Zanyu, Xie Jing, Anivia Limited, Fly Elephant Limited, Dayou Renzai (Shenzhen) Technology Co., Ltd. and Daheshou (Shenzhen) Information Technology Co., Ltd.</w:t>
              </w:r>
            </w:hyperlink>
            <w:r>
              <w:rPr>
                <w:rFonts w:ascii="Times New Roman;Times;Serif" w:hAnsi="Times New Roman;Times;Serif"/>
                <w:sz w:val="20"/>
              </w:rPr>
              <w:t xml:space="preserve"> (incorporated by Reference to Exhibit 10.1 to the Current Report on Form 8-K filed February 22, 2022).</w:t>
            </w:r>
          </w:p>
        </w:tc>
      </w:tr>
      <w:tr>
        <w:trPr/>
        <w:tc>
          <w:tcPr>
            <w:tcW w:w="5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10.41</w:t>
            </w:r>
          </w:p>
        </w:tc>
        <w:tc>
          <w:tcPr>
            <w:tcW w:w="60" w:type="dxa"/>
            <w:tcBorders/>
            <w:vAlign w:val="center"/>
          </w:tcPr>
          <w:p>
            <w:pPr>
              <w:pStyle w:val="TableContents"/>
              <w:bidi w:val="0"/>
              <w:spacing w:before="0" w:after="283"/>
              <w:jc w:val="left"/>
              <w:rPr/>
            </w:pPr>
            <w:r>
              <w:rPr/>
              <w:t> </w:t>
            </w:r>
          </w:p>
        </w:tc>
        <w:tc>
          <w:tcPr>
            <w:tcW w:w="9563" w:type="dxa"/>
            <w:tcBorders/>
            <w:vAlign w:val="center"/>
          </w:tcPr>
          <w:p>
            <w:pPr>
              <w:pStyle w:val="TableContents"/>
              <w:bidi w:val="0"/>
              <w:spacing w:before="0" w:after="283"/>
              <w:jc w:val="both"/>
              <w:rPr/>
            </w:pPr>
            <w:hyperlink r:id="rId48">
              <w:r>
                <w:rPr>
                  <w:rStyle w:val="InternetLink"/>
                  <w:rFonts w:ascii="Times New Roman;Times;Serif" w:hAnsi="Times New Roman;Times;Serif"/>
                  <w:sz w:val="20"/>
                </w:rPr>
                <w:t>$3,500,000 Promissory Note, dated February 15, 2022, from iPower, Inc. to White Cherry Limited</w:t>
              </w:r>
            </w:hyperlink>
            <w:r>
              <w:rPr>
                <w:rFonts w:ascii="Times New Roman;Times;Serif" w:hAnsi="Times New Roman;Times;Serif"/>
                <w:sz w:val="20"/>
              </w:rPr>
              <w:t xml:space="preserve"> (incorporated by Reference to Exhibit 10.2 to the Current Report on Form 8-K filed February 22, 2022).</w:t>
            </w:r>
          </w:p>
        </w:tc>
      </w:tr>
      <w:tr>
        <w:trPr/>
        <w:tc>
          <w:tcPr>
            <w:tcW w:w="5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10.42</w:t>
            </w:r>
          </w:p>
        </w:tc>
        <w:tc>
          <w:tcPr>
            <w:tcW w:w="60" w:type="dxa"/>
            <w:tcBorders/>
            <w:vAlign w:val="center"/>
          </w:tcPr>
          <w:p>
            <w:pPr>
              <w:pStyle w:val="TableContents"/>
              <w:bidi w:val="0"/>
              <w:spacing w:before="0" w:after="283"/>
              <w:jc w:val="left"/>
              <w:rPr/>
            </w:pPr>
            <w:r>
              <w:rPr/>
              <w:t> </w:t>
            </w:r>
          </w:p>
        </w:tc>
        <w:tc>
          <w:tcPr>
            <w:tcW w:w="9563" w:type="dxa"/>
            <w:tcBorders/>
            <w:vAlign w:val="center"/>
          </w:tcPr>
          <w:p>
            <w:pPr>
              <w:pStyle w:val="TableContents"/>
              <w:bidi w:val="0"/>
              <w:spacing w:before="0" w:after="283"/>
              <w:jc w:val="both"/>
              <w:rPr/>
            </w:pPr>
            <w:hyperlink r:id="rId49">
              <w:r>
                <w:rPr>
                  <w:rStyle w:val="InternetLink"/>
                  <w:rFonts w:ascii="Times New Roman;Times;Serif" w:hAnsi="Times New Roman;Times;Serif"/>
                  <w:sz w:val="20"/>
                </w:rPr>
                <w:t>Exclusive Business Cooperation Agreement, dated December 15, 2021, between Dayaorenzai (Shenzhen) Technology Co., Ltd. and Daheshou (Shenzhen) Information Technology Co., Ltd.</w:t>
              </w:r>
            </w:hyperlink>
            <w:r>
              <w:rPr>
                <w:rFonts w:ascii="Times New Roman;Times;Serif" w:hAnsi="Times New Roman;Times;Serif"/>
                <w:sz w:val="20"/>
              </w:rPr>
              <w:t xml:space="preserve"> (incorporated by Reference to Exhibit 10.3 to the Current Report on Form 8-K filed February 22, 2022).</w:t>
            </w:r>
          </w:p>
        </w:tc>
      </w:tr>
      <w:tr>
        <w:trPr/>
        <w:tc>
          <w:tcPr>
            <w:tcW w:w="5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10.43</w:t>
            </w:r>
          </w:p>
        </w:tc>
        <w:tc>
          <w:tcPr>
            <w:tcW w:w="60" w:type="dxa"/>
            <w:tcBorders/>
            <w:vAlign w:val="center"/>
          </w:tcPr>
          <w:p>
            <w:pPr>
              <w:pStyle w:val="TableContents"/>
              <w:bidi w:val="0"/>
              <w:spacing w:before="0" w:after="283"/>
              <w:jc w:val="left"/>
              <w:rPr/>
            </w:pPr>
            <w:r>
              <w:rPr/>
              <w:t> </w:t>
            </w:r>
          </w:p>
        </w:tc>
        <w:tc>
          <w:tcPr>
            <w:tcW w:w="9563" w:type="dxa"/>
            <w:tcBorders/>
            <w:vAlign w:val="center"/>
          </w:tcPr>
          <w:p>
            <w:pPr>
              <w:pStyle w:val="TableContents"/>
              <w:bidi w:val="0"/>
              <w:spacing w:before="0" w:after="283"/>
              <w:jc w:val="both"/>
              <w:rPr/>
            </w:pPr>
            <w:hyperlink r:id="rId50">
              <w:r>
                <w:rPr>
                  <w:rStyle w:val="InternetLink"/>
                  <w:rFonts w:ascii="Times New Roman;Times;Serif" w:hAnsi="Times New Roman;Times;Serif"/>
                  <w:sz w:val="20"/>
                </w:rPr>
                <w:t>Exclusive Equity Interest Pledge Agreement, dated December 15, 2021, between Dayao Renzai (Shenzhen) Technology Co., Ltd., Daheshou (Shenzhen) Information Technology Co., Ltd. and its equity holders</w:t>
              </w:r>
            </w:hyperlink>
            <w:r>
              <w:rPr>
                <w:rFonts w:ascii="Times New Roman;Times;Serif" w:hAnsi="Times New Roman;Times;Serif"/>
                <w:sz w:val="20"/>
              </w:rPr>
              <w:t xml:space="preserve"> (incorporated by Reference to Exhibit 10.4 to the Current Report on Form 8-K filed February 22, 2022).</w:t>
            </w:r>
          </w:p>
        </w:tc>
      </w:tr>
      <w:tr>
        <w:trPr/>
        <w:tc>
          <w:tcPr>
            <w:tcW w:w="5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10.44 </w:t>
            </w:r>
          </w:p>
        </w:tc>
        <w:tc>
          <w:tcPr>
            <w:tcW w:w="60" w:type="dxa"/>
            <w:tcBorders/>
            <w:vAlign w:val="center"/>
          </w:tcPr>
          <w:p>
            <w:pPr>
              <w:pStyle w:val="TableContents"/>
              <w:bidi w:val="0"/>
              <w:spacing w:before="0" w:after="283"/>
              <w:jc w:val="left"/>
              <w:rPr/>
            </w:pPr>
            <w:r>
              <w:rPr/>
              <w:t> </w:t>
            </w:r>
          </w:p>
        </w:tc>
        <w:tc>
          <w:tcPr>
            <w:tcW w:w="9563" w:type="dxa"/>
            <w:tcBorders/>
            <w:vAlign w:val="center"/>
          </w:tcPr>
          <w:p>
            <w:pPr>
              <w:pStyle w:val="TableContents"/>
              <w:bidi w:val="0"/>
              <w:spacing w:before="0" w:after="283"/>
              <w:jc w:val="both"/>
              <w:rPr/>
            </w:pPr>
            <w:hyperlink r:id="rId51">
              <w:r>
                <w:rPr>
                  <w:rStyle w:val="InternetLink"/>
                  <w:rFonts w:ascii="Times New Roman;Times;Serif" w:hAnsi="Times New Roman;Times;Serif"/>
                  <w:sz w:val="20"/>
                </w:rPr>
                <w:t>Exclusive Option Agreement, dated December 15, 2021, between Dayao Renzai (Shenzhen) Technology Co., Ltd., Daheshou (Shenzhen) Information Technology Co., Ltd. and its equity holders</w:t>
              </w:r>
            </w:hyperlink>
            <w:r>
              <w:rPr>
                <w:rFonts w:ascii="Times New Roman;Times;Serif" w:hAnsi="Times New Roman;Times;Serif"/>
                <w:sz w:val="20"/>
              </w:rPr>
              <w:t xml:space="preserve"> (incorporated by Reference to Exhibit 10.5 to the Current Report on Form 8-K filed February 22, 2022).</w:t>
            </w:r>
          </w:p>
        </w:tc>
      </w:tr>
      <w:tr>
        <w:trPr/>
        <w:tc>
          <w:tcPr>
            <w:tcW w:w="5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10.45</w:t>
            </w:r>
          </w:p>
        </w:tc>
        <w:tc>
          <w:tcPr>
            <w:tcW w:w="60" w:type="dxa"/>
            <w:tcBorders/>
            <w:vAlign w:val="center"/>
          </w:tcPr>
          <w:p>
            <w:pPr>
              <w:pStyle w:val="TableContents"/>
              <w:bidi w:val="0"/>
              <w:spacing w:before="0" w:after="283"/>
              <w:jc w:val="left"/>
              <w:rPr/>
            </w:pPr>
            <w:r>
              <w:rPr/>
              <w:t> </w:t>
            </w:r>
          </w:p>
        </w:tc>
        <w:tc>
          <w:tcPr>
            <w:tcW w:w="9563" w:type="dxa"/>
            <w:tcBorders/>
            <w:vAlign w:val="center"/>
          </w:tcPr>
          <w:p>
            <w:pPr>
              <w:pStyle w:val="TableContents"/>
              <w:bidi w:val="0"/>
              <w:spacing w:before="0" w:after="283"/>
              <w:jc w:val="both"/>
              <w:rPr/>
            </w:pPr>
            <w:hyperlink r:id="rId52">
              <w:r>
                <w:rPr>
                  <w:rStyle w:val="InternetLink"/>
                  <w:rFonts w:ascii="Times New Roman;Times;Serif" w:hAnsi="Times New Roman;Times;Serif"/>
                  <w:sz w:val="20"/>
                </w:rPr>
                <w:t>Power of Attorney of Li Zanyu, dated December 15, 2021</w:t>
              </w:r>
            </w:hyperlink>
            <w:r>
              <w:rPr>
                <w:rFonts w:ascii="Times New Roman;Times;Serif" w:hAnsi="Times New Roman;Times;Serif"/>
                <w:sz w:val="20"/>
              </w:rPr>
              <w:t xml:space="preserve"> (incorporated by Reference to Exhibit 10.6 to the Current Report on Form 8-K filed February 22, 2022).</w:t>
            </w:r>
          </w:p>
        </w:tc>
      </w:tr>
      <w:tr>
        <w:trPr/>
        <w:tc>
          <w:tcPr>
            <w:tcW w:w="5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10.46</w:t>
            </w:r>
          </w:p>
        </w:tc>
        <w:tc>
          <w:tcPr>
            <w:tcW w:w="60" w:type="dxa"/>
            <w:tcBorders/>
            <w:vAlign w:val="center"/>
          </w:tcPr>
          <w:p>
            <w:pPr>
              <w:pStyle w:val="TableContents"/>
              <w:bidi w:val="0"/>
              <w:spacing w:before="0" w:after="283"/>
              <w:jc w:val="left"/>
              <w:rPr/>
            </w:pPr>
            <w:r>
              <w:rPr/>
              <w:t> </w:t>
            </w:r>
          </w:p>
        </w:tc>
        <w:tc>
          <w:tcPr>
            <w:tcW w:w="9563" w:type="dxa"/>
            <w:tcBorders/>
            <w:vAlign w:val="center"/>
          </w:tcPr>
          <w:p>
            <w:pPr>
              <w:pStyle w:val="TableContents"/>
              <w:bidi w:val="0"/>
              <w:spacing w:before="0" w:after="283"/>
              <w:jc w:val="both"/>
              <w:rPr/>
            </w:pPr>
            <w:hyperlink r:id="rId53">
              <w:r>
                <w:rPr>
                  <w:rStyle w:val="InternetLink"/>
                  <w:rFonts w:ascii="Times New Roman;Times;Serif" w:hAnsi="Times New Roman;Times;Serif"/>
                  <w:sz w:val="20"/>
                </w:rPr>
                <w:t>JP Morgan Chase Consent Agreement, dated February 16, 2022</w:t>
              </w:r>
            </w:hyperlink>
            <w:r>
              <w:rPr>
                <w:rFonts w:ascii="Times New Roman;Times;Serif" w:hAnsi="Times New Roman;Times;Serif"/>
                <w:sz w:val="20"/>
              </w:rPr>
              <w:t xml:space="preserve"> (incorporated by Reference to Exhibit 10.7 to the Current Report on Form 8-K filed February 22, 2022).</w:t>
            </w:r>
          </w:p>
        </w:tc>
      </w:tr>
      <w:tr>
        <w:trPr/>
        <w:tc>
          <w:tcPr>
            <w:tcW w:w="5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10.47</w:t>
            </w:r>
          </w:p>
        </w:tc>
        <w:tc>
          <w:tcPr>
            <w:tcW w:w="60" w:type="dxa"/>
            <w:tcBorders/>
            <w:vAlign w:val="center"/>
          </w:tcPr>
          <w:p>
            <w:pPr>
              <w:pStyle w:val="TableContents"/>
              <w:bidi w:val="0"/>
              <w:spacing w:before="0" w:after="283"/>
              <w:jc w:val="left"/>
              <w:rPr/>
            </w:pPr>
            <w:r>
              <w:rPr/>
              <w:t> </w:t>
            </w:r>
          </w:p>
        </w:tc>
        <w:tc>
          <w:tcPr>
            <w:tcW w:w="9563" w:type="dxa"/>
            <w:tcBorders/>
            <w:vAlign w:val="center"/>
          </w:tcPr>
          <w:p>
            <w:pPr>
              <w:pStyle w:val="TableContents"/>
              <w:bidi w:val="0"/>
              <w:spacing w:before="0" w:after="283"/>
              <w:jc w:val="both"/>
              <w:rPr/>
            </w:pPr>
            <w:hyperlink r:id="rId54">
              <w:r>
                <w:rPr>
                  <w:rStyle w:val="InternetLink"/>
                  <w:rFonts w:ascii="Times New Roman;Times;Serif" w:hAnsi="Times New Roman;Times;Serif"/>
                  <w:sz w:val="20"/>
                </w:rPr>
                <w:t>Amendment to Pledge and Security Agreement, dated February 16, 2022</w:t>
              </w:r>
            </w:hyperlink>
            <w:r>
              <w:rPr>
                <w:rFonts w:ascii="Times New Roman;Times;Serif" w:hAnsi="Times New Roman;Times;Serif"/>
                <w:sz w:val="20"/>
              </w:rPr>
              <w:t xml:space="preserve"> (incorporated by Reference to Exhibit 10.8 to the Current Report on Form 8-K filed February 22, 2022).</w:t>
            </w:r>
          </w:p>
        </w:tc>
      </w:tr>
      <w:tr>
        <w:trPr/>
        <w:tc>
          <w:tcPr>
            <w:tcW w:w="5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10.48</w:t>
            </w:r>
          </w:p>
        </w:tc>
        <w:tc>
          <w:tcPr>
            <w:tcW w:w="60" w:type="dxa"/>
            <w:tcBorders/>
            <w:vAlign w:val="center"/>
          </w:tcPr>
          <w:p>
            <w:pPr>
              <w:pStyle w:val="TableContents"/>
              <w:bidi w:val="0"/>
              <w:spacing w:before="0" w:after="283"/>
              <w:jc w:val="left"/>
              <w:rPr/>
            </w:pPr>
            <w:r>
              <w:rPr/>
              <w:t> </w:t>
            </w:r>
          </w:p>
        </w:tc>
        <w:tc>
          <w:tcPr>
            <w:tcW w:w="9563" w:type="dxa"/>
            <w:tcBorders/>
            <w:vAlign w:val="center"/>
          </w:tcPr>
          <w:p>
            <w:pPr>
              <w:pStyle w:val="TableContents"/>
              <w:bidi w:val="0"/>
              <w:spacing w:before="0" w:after="283"/>
              <w:jc w:val="both"/>
              <w:rPr/>
            </w:pPr>
            <w:hyperlink r:id="rId55">
              <w:r>
                <w:rPr>
                  <w:rStyle w:val="InternetLink"/>
                  <w:rFonts w:ascii="Times New Roman;Times;Serif" w:hAnsi="Times New Roman;Times;Serif"/>
                  <w:sz w:val="20"/>
                </w:rPr>
                <w:t>Employment Contract, dated February 15, 2022, between Dayao Renzai (Shenzhen) Technology Co., Ltd. and Li Zanyu</w:t>
              </w:r>
            </w:hyperlink>
            <w:r>
              <w:rPr>
                <w:rFonts w:ascii="Times New Roman;Times;Serif" w:hAnsi="Times New Roman;Times;Serif"/>
                <w:sz w:val="20"/>
              </w:rPr>
              <w:t xml:space="preserve"> (incorporated by Reference to Exhibit 10.9 to the Current Report on Form 8-K filed February 22, 2022).</w:t>
            </w:r>
          </w:p>
        </w:tc>
      </w:tr>
      <w:tr>
        <w:trPr/>
        <w:tc>
          <w:tcPr>
            <w:tcW w:w="5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10.49</w:t>
            </w:r>
          </w:p>
        </w:tc>
        <w:tc>
          <w:tcPr>
            <w:tcW w:w="60" w:type="dxa"/>
            <w:tcBorders/>
            <w:vAlign w:val="center"/>
          </w:tcPr>
          <w:p>
            <w:pPr>
              <w:pStyle w:val="TableContents"/>
              <w:bidi w:val="0"/>
              <w:spacing w:before="0" w:after="283"/>
              <w:jc w:val="left"/>
              <w:rPr/>
            </w:pPr>
            <w:r>
              <w:rPr/>
              <w:t> </w:t>
            </w:r>
          </w:p>
        </w:tc>
        <w:tc>
          <w:tcPr>
            <w:tcW w:w="9563" w:type="dxa"/>
            <w:tcBorders/>
            <w:vAlign w:val="center"/>
          </w:tcPr>
          <w:p>
            <w:pPr>
              <w:pStyle w:val="TableContents"/>
              <w:bidi w:val="0"/>
              <w:spacing w:before="0" w:after="283"/>
              <w:jc w:val="both"/>
              <w:rPr/>
            </w:pPr>
            <w:hyperlink r:id="rId56">
              <w:r>
                <w:rPr>
                  <w:rStyle w:val="InternetLink"/>
                  <w:rFonts w:ascii="Times New Roman;Times;Serif" w:hAnsi="Times New Roman;Times;Serif"/>
                  <w:sz w:val="20"/>
                </w:rPr>
                <w:t>Second Amendment to the Credit Agreement, dated October 7, 2022, between iPower Inc., its subsidiaries and JPMorgan Chase Bank, N.A.</w:t>
              </w:r>
            </w:hyperlink>
            <w:r>
              <w:rPr>
                <w:rFonts w:ascii="Times New Roman;Times;Serif" w:hAnsi="Times New Roman;Times;Serif"/>
                <w:sz w:val="20"/>
              </w:rPr>
              <w:t xml:space="preserve"> (incorporated by Reference to Exhibit 10.1 to the Current Report on Form 8-K filed October 13, 2022).</w:t>
            </w:r>
          </w:p>
        </w:tc>
      </w:tr>
      <w:tr>
        <w:trPr/>
        <w:tc>
          <w:tcPr>
            <w:tcW w:w="5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10.50</w:t>
            </w:r>
          </w:p>
        </w:tc>
        <w:tc>
          <w:tcPr>
            <w:tcW w:w="60" w:type="dxa"/>
            <w:tcBorders/>
            <w:vAlign w:val="center"/>
          </w:tcPr>
          <w:p>
            <w:pPr>
              <w:pStyle w:val="TableContents"/>
              <w:bidi w:val="0"/>
              <w:spacing w:before="0" w:after="283"/>
              <w:jc w:val="left"/>
              <w:rPr/>
            </w:pPr>
            <w:r>
              <w:rPr/>
              <w:t> </w:t>
            </w:r>
          </w:p>
        </w:tc>
        <w:tc>
          <w:tcPr>
            <w:tcW w:w="9563" w:type="dxa"/>
            <w:tcBorders/>
            <w:vAlign w:val="center"/>
          </w:tcPr>
          <w:p>
            <w:pPr>
              <w:pStyle w:val="TableContents"/>
              <w:bidi w:val="0"/>
              <w:spacing w:before="0" w:after="283"/>
              <w:jc w:val="both"/>
              <w:rPr/>
            </w:pPr>
            <w:hyperlink r:id="rId57">
              <w:r>
                <w:rPr>
                  <w:rStyle w:val="InternetLink"/>
                  <w:rFonts w:ascii="Times New Roman;Times;Serif" w:hAnsi="Times New Roman;Times;Serif"/>
                  <w:sz w:val="20"/>
                </w:rPr>
                <w:t>Amendment to Subordination Agreement, dated October 7, 2022, between White Cherry Limited and JPMorgan Chase Bank, N.A.</w:t>
              </w:r>
            </w:hyperlink>
            <w:r>
              <w:rPr>
                <w:rFonts w:ascii="Times New Roman;Times;Serif" w:hAnsi="Times New Roman;Times;Serif"/>
                <w:sz w:val="20"/>
              </w:rPr>
              <w:t xml:space="preserve"> (incorporated by Reference to Exhibit 10.2 to the Current Report on Form 8-K filed October 13, 2022).</w:t>
            </w:r>
          </w:p>
        </w:tc>
      </w:tr>
      <w:tr>
        <w:trPr/>
        <w:tc>
          <w:tcPr>
            <w:tcW w:w="5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14.1 </w:t>
            </w:r>
          </w:p>
        </w:tc>
        <w:tc>
          <w:tcPr>
            <w:tcW w:w="60" w:type="dxa"/>
            <w:tcBorders/>
            <w:vAlign w:val="center"/>
          </w:tcPr>
          <w:p>
            <w:pPr>
              <w:pStyle w:val="TableContents"/>
              <w:bidi w:val="0"/>
              <w:spacing w:before="0" w:after="283"/>
              <w:jc w:val="left"/>
              <w:rPr/>
            </w:pPr>
            <w:r>
              <w:rPr/>
              <w:t> </w:t>
            </w:r>
          </w:p>
        </w:tc>
        <w:tc>
          <w:tcPr>
            <w:tcW w:w="9563" w:type="dxa"/>
            <w:tcBorders/>
            <w:vAlign w:val="center"/>
          </w:tcPr>
          <w:p>
            <w:pPr>
              <w:pStyle w:val="TableContents"/>
              <w:bidi w:val="0"/>
              <w:spacing w:before="0" w:after="283"/>
              <w:jc w:val="both"/>
              <w:rPr/>
            </w:pPr>
            <w:hyperlink r:id="rId58">
              <w:r>
                <w:rPr>
                  <w:rStyle w:val="InternetLink"/>
                  <w:rFonts w:ascii="Times New Roman;Times;Serif" w:hAnsi="Times New Roman;Times;Serif"/>
                  <w:sz w:val="20"/>
                </w:rPr>
                <w:t>Code of Business Conduct and Ethics</w:t>
              </w:r>
            </w:hyperlink>
            <w:r>
              <w:rPr>
                <w:rFonts w:ascii="Times New Roman;Times;Serif" w:hAnsi="Times New Roman;Times;Serif"/>
                <w:sz w:val="20"/>
              </w:rPr>
              <w:t xml:space="preserve"> (incorporated by reference to Exhibit 14.1 to Amendment No. 1 to the Registration Statement on Form S-1 filed April 15, 2021).</w:t>
            </w:r>
          </w:p>
        </w:tc>
      </w:tr>
      <w:tr>
        <w:trPr/>
        <w:tc>
          <w:tcPr>
            <w:tcW w:w="5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21.1</w:t>
            </w:r>
          </w:p>
        </w:tc>
        <w:tc>
          <w:tcPr>
            <w:tcW w:w="60" w:type="dxa"/>
            <w:tcBorders/>
            <w:vAlign w:val="center"/>
          </w:tcPr>
          <w:p>
            <w:pPr>
              <w:pStyle w:val="TableContents"/>
              <w:bidi w:val="0"/>
              <w:spacing w:before="0" w:after="283"/>
              <w:jc w:val="left"/>
              <w:rPr/>
            </w:pPr>
            <w:r>
              <w:rPr/>
              <w:t> </w:t>
            </w:r>
          </w:p>
        </w:tc>
        <w:tc>
          <w:tcPr>
            <w:tcW w:w="9563" w:type="dxa"/>
            <w:tcBorders/>
            <w:vAlign w:val="center"/>
          </w:tcPr>
          <w:p>
            <w:pPr>
              <w:pStyle w:val="TableContents"/>
              <w:bidi w:val="0"/>
              <w:spacing w:before="0" w:after="283"/>
              <w:jc w:val="both"/>
              <w:rPr/>
            </w:pPr>
            <w:hyperlink r:id="rId59">
              <w:r>
                <w:rPr>
                  <w:rStyle w:val="InternetLink"/>
                  <w:rFonts w:ascii="Times New Roman;Times;Serif" w:hAnsi="Times New Roman;Times;Serif"/>
                  <w:sz w:val="20"/>
                </w:rPr>
                <w:t>Subsidiaries</w:t>
              </w:r>
            </w:hyperlink>
            <w:r>
              <w:rPr>
                <w:rFonts w:ascii="Times New Roman;Times;Serif" w:hAnsi="Times New Roman;Times;Serif"/>
                <w:sz w:val="20"/>
              </w:rPr>
              <w:t xml:space="preserve"> (Incorporated by reference to Exhibit 21 to the Annual Report on Form 10-K filed on September 28, 2022)</w:t>
            </w:r>
          </w:p>
        </w:tc>
      </w:tr>
      <w:tr>
        <w:trPr/>
        <w:tc>
          <w:tcPr>
            <w:tcW w:w="5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23.1*</w:t>
            </w:r>
          </w:p>
        </w:tc>
        <w:tc>
          <w:tcPr>
            <w:tcW w:w="60" w:type="dxa"/>
            <w:tcBorders/>
            <w:vAlign w:val="center"/>
          </w:tcPr>
          <w:p>
            <w:pPr>
              <w:pStyle w:val="TableContents"/>
              <w:bidi w:val="0"/>
              <w:spacing w:before="0" w:after="283"/>
              <w:jc w:val="left"/>
              <w:rPr/>
            </w:pPr>
            <w:r>
              <w:rPr/>
              <w:t> </w:t>
            </w:r>
          </w:p>
        </w:tc>
        <w:tc>
          <w:tcPr>
            <w:tcW w:w="9563" w:type="dxa"/>
            <w:tcBorders/>
            <w:vAlign w:val="center"/>
          </w:tcPr>
          <w:p>
            <w:pPr>
              <w:pStyle w:val="TableContents"/>
              <w:bidi w:val="0"/>
              <w:spacing w:before="0" w:after="283"/>
              <w:jc w:val="both"/>
              <w:rPr/>
            </w:pPr>
            <w:hyperlink w:anchor="ipower_ex2301.htm">
              <w:r>
                <w:rPr>
                  <w:rStyle w:val="InternetLink"/>
                  <w:rFonts w:ascii="Times New Roman;Times;Serif" w:hAnsi="Times New Roman;Times;Serif"/>
                  <w:sz w:val="20"/>
                </w:rPr>
                <w:t>Consent of Independent Registered Public Accounting Firm</w:t>
              </w:r>
            </w:hyperlink>
          </w:p>
        </w:tc>
      </w:tr>
      <w:tr>
        <w:trPr/>
        <w:tc>
          <w:tcPr>
            <w:tcW w:w="5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31.1*</w:t>
            </w:r>
          </w:p>
        </w:tc>
        <w:tc>
          <w:tcPr>
            <w:tcW w:w="60" w:type="dxa"/>
            <w:tcBorders/>
            <w:vAlign w:val="center"/>
          </w:tcPr>
          <w:p>
            <w:pPr>
              <w:pStyle w:val="TableContents"/>
              <w:bidi w:val="0"/>
              <w:spacing w:before="0" w:after="283"/>
              <w:jc w:val="left"/>
              <w:rPr/>
            </w:pPr>
            <w:r>
              <w:rPr/>
              <w:t> </w:t>
            </w:r>
          </w:p>
        </w:tc>
        <w:tc>
          <w:tcPr>
            <w:tcW w:w="9563" w:type="dxa"/>
            <w:tcBorders/>
            <w:vAlign w:val="center"/>
          </w:tcPr>
          <w:p>
            <w:pPr>
              <w:pStyle w:val="TableContents"/>
              <w:bidi w:val="0"/>
              <w:spacing w:before="0" w:after="283"/>
              <w:jc w:val="both"/>
              <w:rPr/>
            </w:pPr>
            <w:hyperlink w:anchor="ipower_ex3101.htm">
              <w:r>
                <w:rPr>
                  <w:rStyle w:val="InternetLink"/>
                  <w:rFonts w:ascii="Times New Roman;Times;Serif" w:hAnsi="Times New Roman;Times;Serif"/>
                  <w:sz w:val="20"/>
                </w:rPr>
                <w:t>Certification of Chief Executive Officer pursuant to Section 302 of the Sarbanes-Oxley Act of 2002</w:t>
              </w:r>
            </w:hyperlink>
          </w:p>
        </w:tc>
      </w:tr>
      <w:tr>
        <w:trPr/>
        <w:tc>
          <w:tcPr>
            <w:tcW w:w="5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31.2*</w:t>
            </w:r>
          </w:p>
        </w:tc>
        <w:tc>
          <w:tcPr>
            <w:tcW w:w="60" w:type="dxa"/>
            <w:tcBorders/>
            <w:vAlign w:val="center"/>
          </w:tcPr>
          <w:p>
            <w:pPr>
              <w:pStyle w:val="TableContents"/>
              <w:bidi w:val="0"/>
              <w:spacing w:before="0" w:after="283"/>
              <w:jc w:val="left"/>
              <w:rPr/>
            </w:pPr>
            <w:r>
              <w:rPr/>
              <w:t> </w:t>
            </w:r>
          </w:p>
        </w:tc>
        <w:tc>
          <w:tcPr>
            <w:tcW w:w="9563" w:type="dxa"/>
            <w:tcBorders/>
            <w:vAlign w:val="center"/>
          </w:tcPr>
          <w:p>
            <w:pPr>
              <w:pStyle w:val="TableContents"/>
              <w:bidi w:val="0"/>
              <w:spacing w:before="0" w:after="283"/>
              <w:jc w:val="both"/>
              <w:rPr/>
            </w:pPr>
            <w:hyperlink w:anchor="ipower_ex3102.htm">
              <w:r>
                <w:rPr>
                  <w:rStyle w:val="InternetLink"/>
                  <w:rFonts w:ascii="Times New Roman;Times;Serif" w:hAnsi="Times New Roman;Times;Serif"/>
                  <w:sz w:val="20"/>
                </w:rPr>
                <w:t>Certification of Chief Financial Officer pursuant to Section 302 of the Sarbanes-Oxley Act of 2002</w:t>
              </w:r>
            </w:hyperlink>
          </w:p>
        </w:tc>
      </w:tr>
      <w:tr>
        <w:trPr/>
        <w:tc>
          <w:tcPr>
            <w:tcW w:w="5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32.1**</w:t>
            </w:r>
          </w:p>
        </w:tc>
        <w:tc>
          <w:tcPr>
            <w:tcW w:w="60" w:type="dxa"/>
            <w:tcBorders/>
            <w:vAlign w:val="center"/>
          </w:tcPr>
          <w:p>
            <w:pPr>
              <w:pStyle w:val="TableContents"/>
              <w:bidi w:val="0"/>
              <w:spacing w:before="0" w:after="283"/>
              <w:jc w:val="left"/>
              <w:rPr/>
            </w:pPr>
            <w:r>
              <w:rPr/>
              <w:t> </w:t>
            </w:r>
          </w:p>
        </w:tc>
        <w:tc>
          <w:tcPr>
            <w:tcW w:w="9563" w:type="dxa"/>
            <w:tcBorders/>
            <w:vAlign w:val="center"/>
          </w:tcPr>
          <w:p>
            <w:pPr>
              <w:pStyle w:val="TableContents"/>
              <w:bidi w:val="0"/>
              <w:spacing w:before="0" w:after="283"/>
              <w:jc w:val="both"/>
              <w:rPr/>
            </w:pPr>
            <w:hyperlink w:anchor="ipower_ex3201.htm">
              <w:r>
                <w:rPr>
                  <w:rStyle w:val="InternetLink"/>
                  <w:rFonts w:ascii="Times New Roman;Times;Serif" w:hAnsi="Times New Roman;Times;Serif"/>
                  <w:sz w:val="20"/>
                </w:rPr>
                <w:t>Certification of Chief Executive Officer Pursuant to 18 U.S.C. Section 1350, As Adopted Pursuant to Section 906 of the Sarbanes-Oxley Act of 2002</w:t>
              </w:r>
            </w:hyperlink>
          </w:p>
        </w:tc>
      </w:tr>
      <w:tr>
        <w:trPr/>
        <w:tc>
          <w:tcPr>
            <w:tcW w:w="5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32.2**</w:t>
            </w:r>
          </w:p>
        </w:tc>
        <w:tc>
          <w:tcPr>
            <w:tcW w:w="60" w:type="dxa"/>
            <w:tcBorders/>
            <w:vAlign w:val="center"/>
          </w:tcPr>
          <w:p>
            <w:pPr>
              <w:pStyle w:val="TableContents"/>
              <w:bidi w:val="0"/>
              <w:spacing w:before="0" w:after="283"/>
              <w:jc w:val="left"/>
              <w:rPr/>
            </w:pPr>
            <w:r>
              <w:rPr/>
              <w:t> </w:t>
            </w:r>
          </w:p>
        </w:tc>
        <w:tc>
          <w:tcPr>
            <w:tcW w:w="9563" w:type="dxa"/>
            <w:tcBorders/>
            <w:vAlign w:val="center"/>
          </w:tcPr>
          <w:p>
            <w:pPr>
              <w:pStyle w:val="TableContents"/>
              <w:bidi w:val="0"/>
              <w:spacing w:before="0" w:after="283"/>
              <w:jc w:val="both"/>
              <w:rPr/>
            </w:pPr>
            <w:hyperlink w:anchor="ipower_ex3202.htm">
              <w:r>
                <w:rPr>
                  <w:rStyle w:val="InternetLink"/>
                  <w:rFonts w:ascii="Times New Roman;Times;Serif" w:hAnsi="Times New Roman;Times;Serif"/>
                  <w:sz w:val="20"/>
                </w:rPr>
                <w:t>Certification of Chief Financial Officer Pursuant to 18 U.S.C. Section 1350, As Adopted Pursuant to Section 906 of the Sarbanes-Oxley Act of 2002</w:t>
              </w:r>
            </w:hyperlink>
          </w:p>
        </w:tc>
      </w:tr>
      <w:tr>
        <w:trPr/>
        <w:tc>
          <w:tcPr>
            <w:tcW w:w="5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101.INS</w:t>
            </w:r>
          </w:p>
        </w:tc>
        <w:tc>
          <w:tcPr>
            <w:tcW w:w="60" w:type="dxa"/>
            <w:tcBorders/>
            <w:vAlign w:val="center"/>
          </w:tcPr>
          <w:p>
            <w:pPr>
              <w:pStyle w:val="TableContents"/>
              <w:bidi w:val="0"/>
              <w:spacing w:before="0" w:after="283"/>
              <w:jc w:val="left"/>
              <w:rPr/>
            </w:pPr>
            <w:r>
              <w:rPr/>
              <w:t> </w:t>
            </w:r>
          </w:p>
        </w:tc>
        <w:tc>
          <w:tcPr>
            <w:tcW w:w="95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Instance Document – the instance document does not appear in the Interactive Data File because XBRL tags are embedded within the Inline XBRL document.</w:t>
            </w:r>
          </w:p>
        </w:tc>
      </w:tr>
      <w:tr>
        <w:trPr/>
        <w:tc>
          <w:tcPr>
            <w:tcW w:w="5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101.SCH</w:t>
            </w:r>
          </w:p>
        </w:tc>
        <w:tc>
          <w:tcPr>
            <w:tcW w:w="60" w:type="dxa"/>
            <w:tcBorders/>
            <w:vAlign w:val="center"/>
          </w:tcPr>
          <w:p>
            <w:pPr>
              <w:pStyle w:val="TableContents"/>
              <w:bidi w:val="0"/>
              <w:spacing w:before="0" w:after="283"/>
              <w:jc w:val="left"/>
              <w:rPr/>
            </w:pPr>
            <w:r>
              <w:rPr/>
              <w:t> </w:t>
            </w:r>
          </w:p>
        </w:tc>
        <w:tc>
          <w:tcPr>
            <w:tcW w:w="95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Schema Document</w:t>
            </w:r>
          </w:p>
        </w:tc>
      </w:tr>
      <w:tr>
        <w:trPr/>
        <w:tc>
          <w:tcPr>
            <w:tcW w:w="5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101.CAL</w:t>
            </w:r>
          </w:p>
        </w:tc>
        <w:tc>
          <w:tcPr>
            <w:tcW w:w="60" w:type="dxa"/>
            <w:tcBorders/>
            <w:vAlign w:val="center"/>
          </w:tcPr>
          <w:p>
            <w:pPr>
              <w:pStyle w:val="TableContents"/>
              <w:bidi w:val="0"/>
              <w:spacing w:before="0" w:after="283"/>
              <w:jc w:val="left"/>
              <w:rPr/>
            </w:pPr>
            <w:r>
              <w:rPr/>
              <w:t> </w:t>
            </w:r>
          </w:p>
        </w:tc>
        <w:tc>
          <w:tcPr>
            <w:tcW w:w="95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Calculation Linkbase Document</w:t>
            </w:r>
          </w:p>
        </w:tc>
      </w:tr>
      <w:tr>
        <w:trPr/>
        <w:tc>
          <w:tcPr>
            <w:tcW w:w="5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101.DEF</w:t>
            </w:r>
          </w:p>
        </w:tc>
        <w:tc>
          <w:tcPr>
            <w:tcW w:w="60" w:type="dxa"/>
            <w:tcBorders/>
            <w:vAlign w:val="center"/>
          </w:tcPr>
          <w:p>
            <w:pPr>
              <w:pStyle w:val="TableContents"/>
              <w:bidi w:val="0"/>
              <w:spacing w:before="0" w:after="283"/>
              <w:jc w:val="left"/>
              <w:rPr/>
            </w:pPr>
            <w:r>
              <w:rPr/>
              <w:t> </w:t>
            </w:r>
          </w:p>
        </w:tc>
        <w:tc>
          <w:tcPr>
            <w:tcW w:w="95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Definition Linkbase Document</w:t>
            </w:r>
          </w:p>
        </w:tc>
      </w:tr>
      <w:tr>
        <w:trPr/>
        <w:tc>
          <w:tcPr>
            <w:tcW w:w="5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101.LAB</w:t>
            </w:r>
          </w:p>
        </w:tc>
        <w:tc>
          <w:tcPr>
            <w:tcW w:w="60" w:type="dxa"/>
            <w:tcBorders/>
            <w:vAlign w:val="center"/>
          </w:tcPr>
          <w:p>
            <w:pPr>
              <w:pStyle w:val="TableContents"/>
              <w:bidi w:val="0"/>
              <w:spacing w:before="0" w:after="283"/>
              <w:jc w:val="left"/>
              <w:rPr/>
            </w:pPr>
            <w:r>
              <w:rPr/>
              <w:t> </w:t>
            </w:r>
          </w:p>
        </w:tc>
        <w:tc>
          <w:tcPr>
            <w:tcW w:w="95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Label Linkbase Document</w:t>
            </w:r>
          </w:p>
        </w:tc>
      </w:tr>
      <w:tr>
        <w:trPr/>
        <w:tc>
          <w:tcPr>
            <w:tcW w:w="5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101.PRE</w:t>
            </w:r>
          </w:p>
        </w:tc>
        <w:tc>
          <w:tcPr>
            <w:tcW w:w="60" w:type="dxa"/>
            <w:tcBorders/>
            <w:vAlign w:val="center"/>
          </w:tcPr>
          <w:p>
            <w:pPr>
              <w:pStyle w:val="TableContents"/>
              <w:bidi w:val="0"/>
              <w:spacing w:before="0" w:after="283"/>
              <w:jc w:val="left"/>
              <w:rPr/>
            </w:pPr>
            <w:r>
              <w:rPr/>
              <w:t> </w:t>
            </w:r>
          </w:p>
        </w:tc>
        <w:tc>
          <w:tcPr>
            <w:tcW w:w="95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Presentation Linkbase Document</w:t>
            </w:r>
          </w:p>
        </w:tc>
      </w:tr>
      <w:tr>
        <w:trPr/>
        <w:tc>
          <w:tcPr>
            <w:tcW w:w="5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vAlign w:val="center"/>
          </w:tcPr>
          <w:p>
            <w:pPr>
              <w:pStyle w:val="TableContents"/>
              <w:bidi w:val="0"/>
              <w:spacing w:before="0" w:after="283"/>
              <w:jc w:val="left"/>
              <w:rPr/>
            </w:pPr>
            <w:r>
              <w:rPr/>
              <w:t> </w:t>
            </w:r>
          </w:p>
        </w:tc>
        <w:tc>
          <w:tcPr>
            <w:tcW w:w="95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Filed herewith.</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Furnished herewith.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82" w:name="k_033"/>
      <w:bookmarkEnd w:id="882"/>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Section 13 or 15(d) of the Securities Exchange Act of 1934, the Registrant has duly caused this amendment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580" w:type="dxa"/>
        <w:jc w:val="left"/>
        <w:tblInd w:w="0" w:type="dxa"/>
        <w:tblLayout w:type="fixed"/>
        <w:tblCellMar>
          <w:top w:w="0" w:type="dxa"/>
          <w:left w:w="0" w:type="dxa"/>
          <w:bottom w:w="0" w:type="dxa"/>
          <w:right w:w="0" w:type="dxa"/>
        </w:tblCellMar>
      </w:tblPr>
      <w:tblGrid>
        <w:gridCol w:w="2135"/>
        <w:gridCol w:w="320"/>
        <w:gridCol w:w="3125"/>
      </w:tblGrid>
      <w:tr>
        <w:trPr/>
        <w:tc>
          <w:tcPr>
            <w:tcW w:w="2135" w:type="dxa"/>
            <w:tcBorders/>
            <w:vAlign w:val="center"/>
          </w:tcPr>
          <w:p>
            <w:pPr>
              <w:pStyle w:val="TableContents"/>
              <w:bidi w:val="0"/>
              <w:spacing w:before="0" w:after="283"/>
              <w:jc w:val="left"/>
              <w:rPr/>
            </w:pPr>
            <w:r>
              <w:rPr/>
              <w:t> </w:t>
            </w:r>
          </w:p>
        </w:tc>
        <w:tc>
          <w:tcPr>
            <w:tcW w:w="344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iPOWER INC.</w:t>
            </w:r>
          </w:p>
        </w:tc>
      </w:tr>
      <w:tr>
        <w:trPr/>
        <w:tc>
          <w:tcPr>
            <w:tcW w:w="2135" w:type="dxa"/>
            <w:tcBorders/>
            <w:vAlign w:val="center"/>
          </w:tcPr>
          <w:p>
            <w:pPr>
              <w:pStyle w:val="TableContents"/>
              <w:bidi w:val="0"/>
              <w:spacing w:before="0" w:after="283"/>
              <w:jc w:val="left"/>
              <w:rPr/>
            </w:pPr>
            <w:r>
              <w:rPr/>
              <w:t> </w:t>
            </w:r>
          </w:p>
        </w:tc>
        <w:tc>
          <w:tcPr>
            <w:tcW w:w="3445" w:type="dxa"/>
            <w:gridSpan w:val="2"/>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1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Chenlong Tan</w:t>
            </w:r>
          </w:p>
        </w:tc>
      </w:tr>
      <w:tr>
        <w:trPr/>
        <w:tc>
          <w:tcPr>
            <w:tcW w:w="21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Chenlong Tan</w:t>
            </w:r>
          </w:p>
        </w:tc>
      </w:tr>
      <w:tr>
        <w:trPr/>
        <w:tc>
          <w:tcPr>
            <w:tcW w:w="21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Chairman of the Board of Directors,</w:t>
            </w:r>
          </w:p>
        </w:tc>
      </w:tr>
      <w:tr>
        <w:trPr/>
        <w:tc>
          <w:tcPr>
            <w:tcW w:w="21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Chief Executive Officer and President</w:t>
            </w:r>
          </w:p>
        </w:tc>
      </w:tr>
      <w:tr>
        <w:trPr/>
        <w:tc>
          <w:tcPr>
            <w:tcW w:w="2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September 14, 2023</w:t>
            </w:r>
          </w:p>
        </w:tc>
        <w:tc>
          <w:tcPr>
            <w:tcW w:w="32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this report has been signed below by the following persons on behalf of the registrant and in the capacities and on the dates indicated.</w:t>
      </w:r>
    </w:p>
    <w:p>
      <w:pPr>
        <w:pStyle w:val="TextBody"/>
        <w:bidi w:val="0"/>
        <w:spacing w:before="0" w:after="0"/>
        <w:ind w:left="0" w:right="0" w:hanging="0"/>
        <w:jc w:val="left"/>
        <w:rPr>
          <w:caps w:val="false"/>
          <w:smallCaps w:val="false"/>
        </w:rPr>
      </w:pPr>
      <w:r>
        <w:rPr>
          <w:caps w:val="false"/>
          <w:smallCaps w:val="false"/>
        </w:rPr>
        <w:t> </w:t>
      </w:r>
    </w:p>
    <w:tbl>
      <w:tblPr>
        <w:tblW w:w="7185" w:type="dxa"/>
        <w:jc w:val="left"/>
        <w:tblInd w:w="0" w:type="dxa"/>
        <w:tblLayout w:type="fixed"/>
        <w:tblCellMar>
          <w:top w:w="0" w:type="dxa"/>
          <w:left w:w="0" w:type="dxa"/>
          <w:bottom w:w="0" w:type="dxa"/>
          <w:right w:w="0" w:type="dxa"/>
        </w:tblCellMar>
      </w:tblPr>
      <w:tblGrid>
        <w:gridCol w:w="1895"/>
        <w:gridCol w:w="60"/>
        <w:gridCol w:w="3515"/>
        <w:gridCol w:w="60"/>
        <w:gridCol w:w="1655"/>
      </w:tblGrid>
      <w:tr>
        <w:trPr/>
        <w:tc>
          <w:tcPr>
            <w:tcW w:w="1895" w:type="dxa"/>
            <w:tcBorders/>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Signature</w:t>
            </w:r>
          </w:p>
        </w:tc>
        <w:tc>
          <w:tcPr>
            <w:tcW w:w="60"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Title</w:t>
            </w:r>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Date</w:t>
            </w:r>
          </w:p>
        </w:tc>
      </w:tr>
      <w:tr>
        <w:trPr/>
        <w:tc>
          <w:tcPr>
            <w:tcW w:w="18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pPr>
            <w:r>
              <w:rPr/>
              <w:t> </w:t>
            </w:r>
          </w:p>
        </w:tc>
      </w:tr>
      <w:tr>
        <w:trPr/>
        <w:tc>
          <w:tcPr>
            <w:tcW w:w="1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Chenlong Tan</w:t>
            </w:r>
          </w:p>
        </w:tc>
        <w:tc>
          <w:tcPr>
            <w:tcW w:w="60"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 of the Board of Directors,</w:t>
            </w:r>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September 14, 2023</w:t>
            </w:r>
          </w:p>
        </w:tc>
      </w:tr>
      <w:tr>
        <w:trPr/>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Chenlong Tan</w:t>
            </w:r>
          </w:p>
        </w:tc>
        <w:tc>
          <w:tcPr>
            <w:tcW w:w="60"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 and President</w:t>
            </w:r>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executive officer)</w:t>
            </w:r>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pPr>
            <w:r>
              <w:rPr/>
              <w:t> </w:t>
            </w:r>
          </w:p>
        </w:tc>
      </w:tr>
      <w:tr>
        <w:trPr/>
        <w:tc>
          <w:tcPr>
            <w:tcW w:w="1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Kevin Vassily</w:t>
            </w:r>
          </w:p>
        </w:tc>
        <w:tc>
          <w:tcPr>
            <w:tcW w:w="60"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Chief Financial Officer </w:t>
            </w:r>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September 14, 2023</w:t>
            </w:r>
          </w:p>
        </w:tc>
      </w:tr>
      <w:tr>
        <w:trPr/>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Kevin Vassily</w:t>
            </w:r>
          </w:p>
        </w:tc>
        <w:tc>
          <w:tcPr>
            <w:tcW w:w="60"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financial and accounting officer)</w:t>
            </w:r>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pPr>
            <w:r>
              <w:rPr/>
              <w:t> </w:t>
            </w:r>
          </w:p>
        </w:tc>
      </w:tr>
      <w:tr>
        <w:trPr/>
        <w:tc>
          <w:tcPr>
            <w:tcW w:w="1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Bennet Tchaikovsky</w:t>
            </w:r>
          </w:p>
        </w:tc>
        <w:tc>
          <w:tcPr>
            <w:tcW w:w="60"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Director </w:t>
            </w:r>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September 14, 2023</w:t>
            </w:r>
          </w:p>
        </w:tc>
      </w:tr>
      <w:tr>
        <w:trPr/>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Bennet Tchaikovsky</w:t>
            </w:r>
          </w:p>
        </w:tc>
        <w:tc>
          <w:tcPr>
            <w:tcW w:w="60"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pPr>
            <w:r>
              <w:rPr/>
              <w:t> </w:t>
            </w:r>
          </w:p>
        </w:tc>
      </w:tr>
      <w:tr>
        <w:trPr/>
        <w:tc>
          <w:tcPr>
            <w:tcW w:w="1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 xml:space="preserve">/s/ Kevin Lies </w:t>
            </w:r>
          </w:p>
        </w:tc>
        <w:tc>
          <w:tcPr>
            <w:tcW w:w="60"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September 14, 2023</w:t>
            </w:r>
          </w:p>
        </w:tc>
      </w:tr>
      <w:tr>
        <w:trPr/>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Kevin Liles</w:t>
            </w:r>
          </w:p>
        </w:tc>
        <w:tc>
          <w:tcPr>
            <w:tcW w:w="60"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pPr>
            <w:r>
              <w:rPr/>
              <w:t> </w:t>
            </w:r>
          </w:p>
        </w:tc>
      </w:tr>
      <w:tr>
        <w:trPr/>
        <w:tc>
          <w:tcPr>
            <w:tcW w:w="1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Hanxi Li</w:t>
            </w:r>
          </w:p>
        </w:tc>
        <w:tc>
          <w:tcPr>
            <w:tcW w:w="60"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Director </w:t>
            </w:r>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September 14, 2023</w:t>
            </w:r>
          </w:p>
        </w:tc>
      </w:tr>
      <w:tr>
        <w:trPr/>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Hanxi Li</w:t>
            </w:r>
          </w:p>
        </w:tc>
        <w:tc>
          <w:tcPr>
            <w:tcW w:w="60"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883" w:name="ipower_ex2301.htm"/>
      <w:bookmarkStart w:id="884" w:name="ksipower_ex2301"/>
      <w:bookmarkEnd w:id="883"/>
      <w:bookmarkEnd w:id="884"/>
      <w:r>
        <w:rPr>
          <w:rFonts w:ascii="Times New Roman;Times;Serif" w:hAnsi="Times New Roman;Times;Serif"/>
          <w:b/>
          <w:i w:val="false"/>
          <w:caps w:val="false"/>
          <w:smallCaps w:val="false"/>
          <w:sz w:val="20"/>
        </w:rPr>
        <w:t>Exhibit 23.1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the Registration Statement on Form S-8 (No. 333-261100) and Post-Effective Amendment No. 1 to the Registration Statement on Form S-8 (No. 333-261100) of iPower Inc. (“the Company”) of our report dated September 14, 2023, with respect to the Company’s consolidated financial statements as of and for the years ended June 30, 2023 and 2022, respectively, appearing in the Annual Report on Form 10-K of the Company for the year ended June 30,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 to our Firm under the caption “Experts” in such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UHY LLP</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Irvine, California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14,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885" w:name="ipower_ex3101.htm"/>
      <w:bookmarkStart w:id="886" w:name="ksipower_ex3101"/>
      <w:bookmarkEnd w:id="885"/>
      <w:bookmarkEnd w:id="886"/>
      <w:r>
        <w:rPr>
          <w:rFonts w:ascii="Times New Roman;Times;Serif" w:hAnsi="Times New Roman;Times;Serif"/>
          <w:b/>
          <w:i w:val="false"/>
          <w:caps w:val="false"/>
          <w:smallCaps w:val="false"/>
          <w:sz w:val="20"/>
        </w:rPr>
        <w:t>Exhibit 31.1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Chenlong Tan, certify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Annual Report on Form 10-K for the year ended June 30, 2023 of iPower Inc. (the “registrant”);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0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0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0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0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0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0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tbl>
      <w:tblPr>
        <w:tblW w:w="4495" w:type="dxa"/>
        <w:jc w:val="left"/>
        <w:tblInd w:w="0" w:type="dxa"/>
        <w:tblLayout w:type="fixed"/>
        <w:tblCellMar>
          <w:top w:w="0" w:type="dxa"/>
          <w:left w:w="0" w:type="dxa"/>
          <w:bottom w:w="0" w:type="dxa"/>
          <w:right w:w="0" w:type="dxa"/>
        </w:tblCellMar>
      </w:tblPr>
      <w:tblGrid>
        <w:gridCol w:w="2135"/>
        <w:gridCol w:w="2360"/>
      </w:tblGrid>
      <w:tr>
        <w:trPr/>
        <w:tc>
          <w:tcPr>
            <w:tcW w:w="21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Date: September 14, 2023</w:t>
            </w:r>
          </w:p>
        </w:tc>
        <w:tc>
          <w:tcPr>
            <w:tcW w:w="236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/s/ Chenlong Tan</w:t>
            </w:r>
          </w:p>
        </w:tc>
      </w:tr>
      <w:tr>
        <w:trPr/>
        <w:tc>
          <w:tcPr>
            <w:tcW w:w="2135" w:type="dxa"/>
            <w:tcBorders/>
            <w:vAlign w:val="center"/>
          </w:tcPr>
          <w:p>
            <w:pPr>
              <w:pStyle w:val="TableContents"/>
              <w:bidi w:val="0"/>
              <w:spacing w:before="0" w:after="283"/>
              <w:jc w:val="both"/>
              <w:rPr/>
            </w:pPr>
            <w:r>
              <w:rPr/>
              <w:t> </w:t>
            </w:r>
          </w:p>
        </w:tc>
        <w:tc>
          <w:tcPr>
            <w:tcW w:w="23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Chenlong Tan</w:t>
            </w:r>
          </w:p>
        </w:tc>
      </w:tr>
      <w:tr>
        <w:trPr/>
        <w:tc>
          <w:tcPr>
            <w:tcW w:w="2135" w:type="dxa"/>
            <w:tcBorders/>
            <w:vAlign w:val="center"/>
          </w:tcPr>
          <w:p>
            <w:pPr>
              <w:pStyle w:val="TableContents"/>
              <w:bidi w:val="0"/>
              <w:spacing w:before="0" w:after="283"/>
              <w:jc w:val="both"/>
              <w:rPr/>
            </w:pPr>
            <w:r>
              <w:rPr/>
              <w:t> </w:t>
            </w:r>
          </w:p>
        </w:tc>
        <w:tc>
          <w:tcPr>
            <w:tcW w:w="23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Executive Officer</w:t>
            </w:r>
          </w:p>
        </w:tc>
      </w:tr>
      <w:tr>
        <w:trPr/>
        <w:tc>
          <w:tcPr>
            <w:tcW w:w="2135" w:type="dxa"/>
            <w:tcBorders/>
            <w:vAlign w:val="center"/>
          </w:tcPr>
          <w:p>
            <w:pPr>
              <w:pStyle w:val="TableContents"/>
              <w:bidi w:val="0"/>
              <w:spacing w:before="0" w:after="283"/>
              <w:jc w:val="both"/>
              <w:rPr/>
            </w:pPr>
            <w:r>
              <w:rPr/>
              <w:t> </w:t>
            </w:r>
          </w:p>
        </w:tc>
        <w:tc>
          <w:tcPr>
            <w:tcW w:w="23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firstLine="576"/>
        <w:jc w:val="both"/>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76"/>
        <w:jc w:val="right"/>
        <w:rPr>
          <w:rFonts w:ascii="Times New Roman;Times;Serif" w:hAnsi="Times New Roman;Times;Serif"/>
          <w:b/>
          <w:i w:val="false"/>
          <w:caps w:val="false"/>
          <w:smallCaps w:val="false"/>
          <w:sz w:val="20"/>
        </w:rPr>
      </w:pPr>
      <w:bookmarkStart w:id="887" w:name="ipower_ex3102.htm"/>
      <w:bookmarkStart w:id="888" w:name="ksipower_ex3102"/>
      <w:bookmarkEnd w:id="887"/>
      <w:bookmarkEnd w:id="888"/>
      <w:r>
        <w:rPr>
          <w:rFonts w:ascii="Times New Roman;Times;Serif" w:hAnsi="Times New Roman;Times;Serif"/>
          <w:b/>
          <w:i w:val="false"/>
          <w:caps w:val="false"/>
          <w:smallCaps w:val="false"/>
          <w:sz w:val="20"/>
        </w:rPr>
        <w:t>Exhibit 31.2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Kevin Vassily, certify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Annual Report on Form 10-K for the year ended June 30, 2023 of iPower Inc. (the “registrant”);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0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0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0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0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0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0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tbl>
      <w:tblPr>
        <w:tblW w:w="4435" w:type="dxa"/>
        <w:jc w:val="left"/>
        <w:tblInd w:w="0" w:type="dxa"/>
        <w:tblLayout w:type="fixed"/>
        <w:tblCellMar>
          <w:top w:w="0" w:type="dxa"/>
          <w:left w:w="0" w:type="dxa"/>
          <w:bottom w:w="0" w:type="dxa"/>
          <w:right w:w="0" w:type="dxa"/>
        </w:tblCellMar>
      </w:tblPr>
      <w:tblGrid>
        <w:gridCol w:w="2135"/>
        <w:gridCol w:w="2300"/>
      </w:tblGrid>
      <w:tr>
        <w:trPr/>
        <w:tc>
          <w:tcPr>
            <w:tcW w:w="21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Date: September 14, 2023</w:t>
            </w:r>
          </w:p>
        </w:tc>
        <w:tc>
          <w:tcPr>
            <w:tcW w:w="230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/s/ Kevin Vassily</w:t>
            </w:r>
          </w:p>
        </w:tc>
      </w:tr>
      <w:tr>
        <w:trPr/>
        <w:tc>
          <w:tcPr>
            <w:tcW w:w="213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Kevin Vassily</w:t>
            </w:r>
          </w:p>
        </w:tc>
      </w:tr>
      <w:tr>
        <w:trPr/>
        <w:tc>
          <w:tcPr>
            <w:tcW w:w="213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Financial Officer</w:t>
            </w:r>
          </w:p>
        </w:tc>
      </w:tr>
      <w:tr>
        <w:trPr/>
        <w:tc>
          <w:tcPr>
            <w:tcW w:w="213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920"/>
        <w:jc w:val="right"/>
        <w:rPr>
          <w:rFonts w:ascii="Times New Roman;Times;Serif" w:hAnsi="Times New Roman;Times;Serif"/>
          <w:b/>
          <w:i w:val="false"/>
          <w:caps w:val="false"/>
          <w:smallCaps w:val="false"/>
          <w:sz w:val="20"/>
        </w:rPr>
      </w:pPr>
      <w:bookmarkStart w:id="889" w:name="ipower_ex3201.htm"/>
      <w:bookmarkStart w:id="890" w:name="ksipower_ex3201"/>
      <w:bookmarkEnd w:id="889"/>
      <w:bookmarkEnd w:id="890"/>
      <w:r>
        <w:rPr>
          <w:rFonts w:ascii="Times New Roman;Times;Serif" w:hAnsi="Times New Roman;Times;Serif"/>
          <w:b/>
          <w:i w:val="false"/>
          <w:caps w:val="false"/>
          <w:smallCaps w:val="false"/>
          <w:sz w:val="20"/>
        </w:rPr>
        <w:t>Exhibit 32.1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Annual Report of iPower (the “Company”) on Form 10-K pursuant for the year ended June 30, 2023, as filed with the Securities and Exchange Commission on the date hereof (the “Report”), I, Chenlong Tan, Chief Executive Officer of the Company, certify, pursuant to 18 U.S.C. Section 1350, as adopted pursuant to Section 906 of the Sarbanes-Oxley Act of 2002,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Report fully complies with the requirements of Section 13(a) or 15(d) of the Securities Exchange Act of 1934; and</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14, 2023</w:t>
      </w:r>
    </w:p>
    <w:p>
      <w:pPr>
        <w:pStyle w:val="TextBody"/>
        <w:bidi w:val="0"/>
        <w:spacing w:before="0" w:after="0"/>
        <w:ind w:left="0" w:right="0" w:hanging="0"/>
        <w:jc w:val="left"/>
        <w:rPr>
          <w:caps w:val="false"/>
          <w:smallCaps w:val="false"/>
        </w:rPr>
      </w:pPr>
      <w:r>
        <w:rPr>
          <w:caps w:val="false"/>
          <w:smallCaps w:val="false"/>
        </w:rPr>
        <w:t> </w:t>
      </w:r>
    </w:p>
    <w:tbl>
      <w:tblPr>
        <w:tblW w:w="2435" w:type="dxa"/>
        <w:jc w:val="left"/>
        <w:tblInd w:w="0" w:type="dxa"/>
        <w:tblLayout w:type="fixed"/>
        <w:tblCellMar>
          <w:top w:w="0" w:type="dxa"/>
          <w:left w:w="0" w:type="dxa"/>
          <w:bottom w:w="0" w:type="dxa"/>
          <w:right w:w="0" w:type="dxa"/>
        </w:tblCellMar>
      </w:tblPr>
      <w:tblGrid>
        <w:gridCol w:w="75"/>
        <w:gridCol w:w="2360"/>
      </w:tblGrid>
      <w:tr>
        <w:trPr/>
        <w:tc>
          <w:tcPr>
            <w:tcW w:w="75" w:type="dxa"/>
            <w:tcBorders/>
            <w:vAlign w:val="center"/>
          </w:tcPr>
          <w:p>
            <w:pPr>
              <w:pStyle w:val="TableContents"/>
              <w:bidi w:val="0"/>
              <w:spacing w:before="0" w:after="283"/>
              <w:jc w:val="left"/>
              <w:rPr/>
            </w:pPr>
            <w:r>
              <w:rPr/>
              <w:t> </w:t>
            </w:r>
          </w:p>
        </w:tc>
        <w:tc>
          <w:tcPr>
            <w:tcW w:w="23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Chenlong Tan</w:t>
            </w:r>
          </w:p>
        </w:tc>
      </w:tr>
      <w:tr>
        <w:trPr/>
        <w:tc>
          <w:tcPr>
            <w:tcW w:w="75"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Chenlong Tan</w:t>
            </w:r>
          </w:p>
        </w:tc>
      </w:tr>
      <w:tr>
        <w:trPr/>
        <w:tc>
          <w:tcPr>
            <w:tcW w:w="75"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r>
        <w:trPr/>
        <w:tc>
          <w:tcPr>
            <w:tcW w:w="75"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891" w:name="ipower_ex3202.htm"/>
      <w:bookmarkStart w:id="892" w:name="ksipower_ex3202"/>
      <w:bookmarkEnd w:id="891"/>
      <w:bookmarkEnd w:id="892"/>
      <w:r>
        <w:rPr>
          <w:rFonts w:ascii="Times New Roman;Times;Serif" w:hAnsi="Times New Roman;Times;Serif"/>
          <w:b/>
          <w:i w:val="false"/>
          <w:caps w:val="false"/>
          <w:smallCaps w:val="false"/>
          <w:sz w:val="20"/>
        </w:rPr>
        <w:t>Exhibit 32.2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Annual Report of iPower Inc. (the “Company”) on Form 10-K for the year ended June 30, 2023, as filed with the Securities and Exchange Commission on the date hereof (the “Report”), I, Kevin Vassily, Chief Financial Officer of the Company, certify, pursuant to 18 U.S.C. Section 1350, as adopted pursuant to Section 906 of the Sarbanes-Oxley Act of 2002,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Report fully complies with the requirements of Section 13(a) or 15(d) of the Securities Exchange Act of 1934; and</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information contained in the Report fairly presents, in all material respects, the financial condition and results of operations of the Company.</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14, 2023</w:t>
      </w:r>
    </w:p>
    <w:p>
      <w:pPr>
        <w:pStyle w:val="TextBody"/>
        <w:bidi w:val="0"/>
        <w:spacing w:before="0" w:after="0"/>
        <w:ind w:left="0" w:right="0" w:hanging="0"/>
        <w:jc w:val="left"/>
        <w:rPr>
          <w:caps w:val="false"/>
          <w:smallCaps w:val="false"/>
        </w:rPr>
      </w:pPr>
      <w:r>
        <w:rPr>
          <w:caps w:val="false"/>
          <w:smallCaps w:val="false"/>
        </w:rPr>
        <w:t> </w:t>
      </w:r>
    </w:p>
    <w:tbl>
      <w:tblPr>
        <w:tblW w:w="2375" w:type="dxa"/>
        <w:jc w:val="left"/>
        <w:tblInd w:w="0" w:type="dxa"/>
        <w:tblLayout w:type="fixed"/>
        <w:tblCellMar>
          <w:top w:w="0" w:type="dxa"/>
          <w:left w:w="0" w:type="dxa"/>
          <w:bottom w:w="0" w:type="dxa"/>
          <w:right w:w="0" w:type="dxa"/>
        </w:tblCellMar>
      </w:tblPr>
      <w:tblGrid>
        <w:gridCol w:w="75"/>
        <w:gridCol w:w="2300"/>
      </w:tblGrid>
      <w:tr>
        <w:trPr/>
        <w:tc>
          <w:tcPr>
            <w:tcW w:w="75" w:type="dxa"/>
            <w:tcBorders/>
            <w:vAlign w:val="center"/>
          </w:tcPr>
          <w:p>
            <w:pPr>
              <w:pStyle w:val="TableContents"/>
              <w:bidi w:val="0"/>
              <w:spacing w:before="0" w:after="283"/>
              <w:jc w:val="left"/>
              <w:rPr/>
            </w:pPr>
            <w:r>
              <w:rPr/>
              <w:t> </w:t>
            </w:r>
          </w:p>
        </w:tc>
        <w:tc>
          <w:tcPr>
            <w:tcW w:w="23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Kevin Vassily</w:t>
            </w:r>
          </w:p>
        </w:tc>
      </w:tr>
      <w:tr>
        <w:trPr/>
        <w:tc>
          <w:tcPr>
            <w:tcW w:w="7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Kevin Vassily</w:t>
            </w:r>
          </w:p>
        </w:tc>
      </w:tr>
      <w:tr>
        <w:trPr/>
        <w:tc>
          <w:tcPr>
            <w:tcW w:w="7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r>
        <w:trPr/>
        <w:tc>
          <w:tcPr>
            <w:tcW w:w="7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 w:name="Wingding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830072/000168316821001774/ipower_ex0303.htm" TargetMode="External"/><Relationship Id="rId4" Type="http://schemas.openxmlformats.org/officeDocument/2006/relationships/hyperlink" Target="http://www.sec.gov/Archives/edgar/data/1830072/000168316821001556/ipower_ex0303.htm" TargetMode="External"/><Relationship Id="rId5" Type="http://schemas.openxmlformats.org/officeDocument/2006/relationships/hyperlink" Target="http://www.sec.gov/Archives/edgar/data/1830072/000168316821000335/ipower_ex0401.htm" TargetMode="External"/><Relationship Id="rId6" Type="http://schemas.openxmlformats.org/officeDocument/2006/relationships/hyperlink" Target="http://www.sec.gov/Archives/edgar/data/1830072/000168316821001774/ipower_ex1001.htm" TargetMode="External"/><Relationship Id="rId7" Type="http://schemas.openxmlformats.org/officeDocument/2006/relationships/hyperlink" Target="http://www.sec.gov/Archives/edgar/data/1830072/000168316821000335/ipower_ex1002.htm" TargetMode="External"/><Relationship Id="rId8" Type="http://schemas.openxmlformats.org/officeDocument/2006/relationships/hyperlink" Target="http://www.sec.gov/Archives/edgar/data/1830072/000168316821000335/ipower_ex1003.htm" TargetMode="External"/><Relationship Id="rId9" Type="http://schemas.openxmlformats.org/officeDocument/2006/relationships/hyperlink" Target="http://www.sec.gov/Archives/edgar/data/1830072/000168316821000335/ipower_ex1004.htm" TargetMode="External"/><Relationship Id="rId10" Type="http://schemas.openxmlformats.org/officeDocument/2006/relationships/hyperlink" Target="http://www.sec.gov/Archives/edgar/data/1830072/000168316821001406/ipower_ex1005.htm" TargetMode="External"/><Relationship Id="rId11" Type="http://schemas.openxmlformats.org/officeDocument/2006/relationships/hyperlink" Target="http://www.sec.gov/Archives/edgar/data/1830072/000168316821000335/ipower_ex1005.htm" TargetMode="External"/><Relationship Id="rId12" Type="http://schemas.openxmlformats.org/officeDocument/2006/relationships/hyperlink" Target="http://www.sec.gov/Archives/edgar/data/1830072/000168316821000335/ipower_ex1006.htm" TargetMode="External"/><Relationship Id="rId13" Type="http://schemas.openxmlformats.org/officeDocument/2006/relationships/hyperlink" Target="http://www.sec.gov/Archives/edgar/data/1830072/000168316821000335/ipower_ex1007.htm" TargetMode="External"/><Relationship Id="rId14" Type="http://schemas.openxmlformats.org/officeDocument/2006/relationships/hyperlink" Target="http://www.sec.gov/Archives/edgar/data/1830072/000168316821000335/ipower_ex1008.htm" TargetMode="External"/><Relationship Id="rId15" Type="http://schemas.openxmlformats.org/officeDocument/2006/relationships/hyperlink" Target="http://www.sec.gov/Archives/edgar/data/1830072/000168316821000335/ipower_ex1009.htm" TargetMode="External"/><Relationship Id="rId16" Type="http://schemas.openxmlformats.org/officeDocument/2006/relationships/hyperlink" Target="http://www.sec.gov/Archives/edgar/data/1830072/000168316821000335/ipower_ex1010.htm" TargetMode="External"/><Relationship Id="rId17" Type="http://schemas.openxmlformats.org/officeDocument/2006/relationships/hyperlink" Target="http://www.sec.gov/Archives/edgar/data/1830072/000168316821000335/ipower_ex1011.htm" TargetMode="External"/><Relationship Id="rId18" Type="http://schemas.openxmlformats.org/officeDocument/2006/relationships/hyperlink" Target="http://www.sec.gov/Archives/edgar/data/1830072/000168316821000335/ipower_ex1012.htm" TargetMode="External"/><Relationship Id="rId19" Type="http://schemas.openxmlformats.org/officeDocument/2006/relationships/hyperlink" Target="http://www.sec.gov/Archives/edgar/data/1830072/000168316821000335/ipower_ex1013.htm" TargetMode="External"/><Relationship Id="rId20" Type="http://schemas.openxmlformats.org/officeDocument/2006/relationships/hyperlink" Target="http://www.sec.gov/Archives/edgar/data/1830072/000168316821000335/ipower_ex1014.htm" TargetMode="External"/><Relationship Id="rId21" Type="http://schemas.openxmlformats.org/officeDocument/2006/relationships/hyperlink" Target="http://www.sec.gov/Archives/edgar/data/1830072/000168316821000335/ipower_ex1015.htm" TargetMode="External"/><Relationship Id="rId22" Type="http://schemas.openxmlformats.org/officeDocument/2006/relationships/hyperlink" Target="http://www.sec.gov/Archives/edgar/data/1830072/000168316821000335/ipower_ex1016.htm" TargetMode="External"/><Relationship Id="rId23" Type="http://schemas.openxmlformats.org/officeDocument/2006/relationships/hyperlink" Target="http://www.sec.gov/Archives/edgar/data/1830072/000168316821000335/ipower_ex1017.htm" TargetMode="External"/><Relationship Id="rId24" Type="http://schemas.openxmlformats.org/officeDocument/2006/relationships/hyperlink" Target="http://www.sec.gov/Archives/edgar/data/1830072/000168316821000335/ipower_ex1018.htm" TargetMode="External"/><Relationship Id="rId25" Type="http://schemas.openxmlformats.org/officeDocument/2006/relationships/hyperlink" Target="http://www.sec.gov/Archives/edgar/data/1830072/000168316821000335/ipower_ex1019.htm" TargetMode="External"/><Relationship Id="rId26" Type="http://schemas.openxmlformats.org/officeDocument/2006/relationships/hyperlink" Target="http://www.sec.gov/Archives/edgar/data/1830072/000168316821000335/ipower_ex1020.htm" TargetMode="External"/><Relationship Id="rId27" Type="http://schemas.openxmlformats.org/officeDocument/2006/relationships/hyperlink" Target="http://www.sec.gov/Archives/edgar/data/1830072/000168316821000335/ipower_ex1021.htm" TargetMode="External"/><Relationship Id="rId28" Type="http://schemas.openxmlformats.org/officeDocument/2006/relationships/hyperlink" Target="http://www.sec.gov/Archives/edgar/data/1830072/000168316821001774/ipower_ex1023.htm" TargetMode="External"/><Relationship Id="rId29" Type="http://schemas.openxmlformats.org/officeDocument/2006/relationships/hyperlink" Target="http://www.sec.gov/Archives/edgar/data/1830072/000168316821001774/ipower_ex1024.htm" TargetMode="External"/><Relationship Id="rId30" Type="http://schemas.openxmlformats.org/officeDocument/2006/relationships/hyperlink" Target="http://www.sec.gov/Archives/edgar/data/1830072/000168316821002157/ipower_ex1001.htm" TargetMode="External"/><Relationship Id="rId31" Type="http://schemas.openxmlformats.org/officeDocument/2006/relationships/hyperlink" Target="http://www.sec.gov/Archives/edgar/data/1830072/000168316821002157/ipower_ex1002.htm" TargetMode="External"/><Relationship Id="rId32" Type="http://schemas.openxmlformats.org/officeDocument/2006/relationships/hyperlink" Target="http://www.sec.gov/Archives/edgar/data/1830072/000168316821003207/ipower_ex1001.htm" TargetMode="External"/><Relationship Id="rId33" Type="http://schemas.openxmlformats.org/officeDocument/2006/relationships/hyperlink" Target="http://www.sec.gov/Archives/edgar/data/1830072/000168316821003207/ipower_ex1001.htm" TargetMode="External"/><Relationship Id="rId34" Type="http://schemas.openxmlformats.org/officeDocument/2006/relationships/hyperlink" Target="http://www.sec.gov/Archives/edgar/data/1830072/000168316821003207/ipower_ex1001.htm" TargetMode="External"/><Relationship Id="rId35" Type="http://schemas.openxmlformats.org/officeDocument/2006/relationships/hyperlink" Target="http://www.sec.gov/Archives/edgar/data/1830072/000168316821005700/ipower_ex1001.htm" TargetMode="External"/><Relationship Id="rId36" Type="http://schemas.openxmlformats.org/officeDocument/2006/relationships/hyperlink" Target="http://www.sec.gov/Archives/edgar/data/1830072/000168316821005700/ipower_ex1002.htm" TargetMode="External"/><Relationship Id="rId37" Type="http://schemas.openxmlformats.org/officeDocument/2006/relationships/hyperlink" Target="http://www.sec.gov/Archives/edgar/data/1830072/000168316821005700/ipower_ex1003.htm" TargetMode="External"/><Relationship Id="rId38" Type="http://schemas.openxmlformats.org/officeDocument/2006/relationships/hyperlink" Target="https://www.sec.gov/Archives/edgar/data/0001830072/000168316822000328/ipower_ex1001.htm" TargetMode="External"/><Relationship Id="rId39" Type="http://schemas.openxmlformats.org/officeDocument/2006/relationships/hyperlink" Target="https://www.sec.gov/Archives/edgar/data/0001830072/000168316822000328/ipower_ex1002.htm" TargetMode="External"/><Relationship Id="rId40" Type="http://schemas.openxmlformats.org/officeDocument/2006/relationships/hyperlink" Target="https://www.sec.gov/Archives/edgar/data/0001830072/000168316822000328/ipower_ex1003.htm" TargetMode="External"/><Relationship Id="rId41" Type="http://schemas.openxmlformats.org/officeDocument/2006/relationships/hyperlink" Target="https://www.sec.gov/Archives/edgar/data/0001830072/000168316822000328/ipower_ex1004.htm" TargetMode="External"/><Relationship Id="rId42" Type="http://schemas.openxmlformats.org/officeDocument/2006/relationships/hyperlink" Target="https://www.sec.gov/Archives/edgar/data/0001830072/000168316822000328/ipower_ex1005.htm" TargetMode="External"/><Relationship Id="rId43" Type="http://schemas.openxmlformats.org/officeDocument/2006/relationships/hyperlink" Target="https://www.sec.gov/Archives/edgar/data/0001830072/000168316822000328/ipower_ex1006.htm" TargetMode="External"/><Relationship Id="rId44" Type="http://schemas.openxmlformats.org/officeDocument/2006/relationships/hyperlink" Target="https://www.sec.gov/Archives/edgar/data/0001830072/000168316822000931/ipower_ex1001.htm" TargetMode="External"/><Relationship Id="rId45" Type="http://schemas.openxmlformats.org/officeDocument/2006/relationships/hyperlink" Target="https://www.sec.gov/Archives/edgar/data/0001830072/000168316822000931/ipower_ex1002.htm" TargetMode="External"/><Relationship Id="rId46" Type="http://schemas.openxmlformats.org/officeDocument/2006/relationships/hyperlink" Target="https://www.sec.gov/Archives/edgar/data/0001830072/000168316822000931/ipower_ex1003.htm" TargetMode="External"/><Relationship Id="rId47" Type="http://schemas.openxmlformats.org/officeDocument/2006/relationships/hyperlink" Target="https://www.sec.gov/Archives/edgar/data/0001830072/000168316822001178/ipower_ex1001.htm" TargetMode="External"/><Relationship Id="rId48" Type="http://schemas.openxmlformats.org/officeDocument/2006/relationships/hyperlink" Target="https://www.sec.gov/Archives/edgar/data/0001830072/000168316822001178/ipower_ex1002.htm" TargetMode="External"/><Relationship Id="rId49" Type="http://schemas.openxmlformats.org/officeDocument/2006/relationships/hyperlink" Target="https://www.sec.gov/Archives/edgar/data/0001830072/000168316822001178/ipower_ex1003.htm" TargetMode="External"/><Relationship Id="rId50" Type="http://schemas.openxmlformats.org/officeDocument/2006/relationships/hyperlink" Target="https://www.sec.gov/Archives/edgar/data/0001830072/000168316822001178/ipower_ex1004.htm" TargetMode="External"/><Relationship Id="rId51" Type="http://schemas.openxmlformats.org/officeDocument/2006/relationships/hyperlink" Target="https://www.sec.gov/Archives/edgar/data/0001830072/000168316822001178/ipower_ex1005.htm" TargetMode="External"/><Relationship Id="rId52" Type="http://schemas.openxmlformats.org/officeDocument/2006/relationships/hyperlink" Target="https://www.sec.gov/Archives/edgar/data/0001830072/000168316822001178/ipower_ex1006.htm" TargetMode="External"/><Relationship Id="rId53" Type="http://schemas.openxmlformats.org/officeDocument/2006/relationships/hyperlink" Target="https://www.sec.gov/Archives/edgar/data/0001830072/000168316822001178/ipower_ex1007.htm" TargetMode="External"/><Relationship Id="rId54" Type="http://schemas.openxmlformats.org/officeDocument/2006/relationships/hyperlink" Target="https://www.sec.gov/Archives/edgar/data/0001830072/000168316822001178/ipower_ex1008.htm" TargetMode="External"/><Relationship Id="rId55" Type="http://schemas.openxmlformats.org/officeDocument/2006/relationships/hyperlink" Target="https://www.sec.gov/Archives/edgar/data/0001830072/000168316822001178/ipower_ex1009.htm" TargetMode="External"/><Relationship Id="rId56" Type="http://schemas.openxmlformats.org/officeDocument/2006/relationships/hyperlink" Target="http://www.sec.gov/Archives/edgar/data/1830072/000168316822006893/ipower_ex1001.htm" TargetMode="External"/><Relationship Id="rId57" Type="http://schemas.openxmlformats.org/officeDocument/2006/relationships/hyperlink" Target="https://www.sec.gov/Archives/edgar/data/1830072/000168316822006893/ipower_ex1002.htm" TargetMode="External"/><Relationship Id="rId58" Type="http://schemas.openxmlformats.org/officeDocument/2006/relationships/hyperlink" Target="http://www.sec.gov/Archives/edgar/data/1830072/000168316821001406/ipower_ex1401.htm" TargetMode="External"/><Relationship Id="rId59" Type="http://schemas.openxmlformats.org/officeDocument/2006/relationships/hyperlink" Target="http://www.sec.gov/Archives/edgar/data/1830072/000168316822006660/ipower_ex2100.htm" TargetMode="External"/><Relationship Id="rId60" Type="http://schemas.openxmlformats.org/officeDocument/2006/relationships/fontTable" Target="fontTable.xml"/><Relationship Id="rId6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57952</Words>
  <Characters>318019</Characters>
  <CharactersWithSpaces>378106</CharactersWithSpaces>
  <Paragraphs>8035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