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ipower_s1mef.htm"/>
      <w:bookmarkStart w:id="1" w:name="ksipower_s1mef"/>
      <w:bookmarkEnd w:id="0"/>
      <w:bookmarkEnd w:id="1"/>
      <w:r>
        <w:rPr>
          <w:rFonts w:ascii="Times New Roman;Times;Serif" w:hAnsi="Times New Roman;Times;Serif"/>
          <w:b/>
          <w:i w:val="false"/>
          <w:caps w:val="false"/>
          <w:smallCaps w:val="false"/>
          <w:sz w:val="20"/>
        </w:rPr>
        <w:t xml:space="preserve">As filed with the U.S. Securities and Exchange Commission on April 17, 2026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333-   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dxL_c20260413"/>
      <w:bookmarkEnd w:id="2"/>
      <w:r>
        <w:rPr>
          <w:rFonts w:ascii="Times New Roman;Times;Serif" w:hAnsi="Times New Roman;Times;Serif"/>
          <w:b/>
          <w:i w:val="false"/>
          <w:caps w:val="false"/>
          <w:smallCaps w:val="false"/>
          <w:sz w:val="36"/>
        </w:rPr>
        <w:t>S-1</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REGISTRATION STATEMENT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3" w:name="xdx_909_edei--EntityRegistrantName_c2026"/>
      <w:bookmarkEnd w:id="3"/>
      <w:r>
        <w:rPr>
          <w:rFonts w:ascii="Times New Roman;Times;Serif" w:hAnsi="Times New Roman;Times;Serif"/>
          <w:b/>
          <w:i w:val="false"/>
          <w:caps w:val="false"/>
          <w:smallCaps w:val="false"/>
          <w:sz w:val="48"/>
        </w:rPr>
        <w:t>iPower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2660"/>
        <w:gridCol w:w="60"/>
        <w:gridCol w:w="2525"/>
        <w:gridCol w:w="60"/>
        <w:gridCol w:w="1970"/>
      </w:tblGrid>
      <w:tr>
        <w:trPr/>
        <w:tc>
          <w:tcPr>
            <w:tcW w:w="2660" w:type="dxa"/>
            <w:tcBorders/>
            <w:vAlign w:val="center"/>
          </w:tcPr>
          <w:p>
            <w:pPr>
              <w:pStyle w:val="TableContents"/>
              <w:bidi w:val="0"/>
              <w:spacing w:before="0" w:after="283"/>
              <w:jc w:val="center"/>
              <w:rPr>
                <w:b/>
                <w:sz w:val="20"/>
              </w:rPr>
            </w:pPr>
            <w:r>
              <w:rPr>
                <w:b/>
                <w:sz w:val="20"/>
              </w:rPr>
              <w:t>Nevada</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b/>
                <w:sz w:val="20"/>
              </w:rPr>
            </w:pPr>
            <w:r>
              <w:rPr>
                <w:b/>
                <w:sz w:val="20"/>
              </w:rPr>
              <w:t>5200</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b/>
                <w:sz w:val="20"/>
              </w:rPr>
            </w:pPr>
            <w:r>
              <w:rPr>
                <w:b/>
                <w:sz w:val="20"/>
              </w:rPr>
              <w:t>82-5144171</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Code Number)</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Rancho Cucamonga, CA 91730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 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Chenlong Tan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Rancho Cucamonga, CA 91730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 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Copies 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Megan J. Penick,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Dorsey &amp; Whitney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W 52nd 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415-9200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As soon as practicable after the effective date of this registration statement.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333-292682</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bookmarkStart w:id="4" w:name="xdx_903_edei--EntitySmallBusiness_c20260"/>
            <w:bookmarkEnd w:id="4"/>
            <w:r>
              <w:rPr/>
              <w:t>☒</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Registration Statement shall become effective upon filing with the Securities and Exchange Commission in accordance with Rule 462(b) under the Securities Act of 1933, as amended.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is being filed for the sole purpose of registering 21,870,923 additional shares of common stock, par value $0.001 per share (the “common stock”), of iPower Inc., a Nevada Corporation (the “Company”), pursuant to Rule 462(b) under the Securities Act of 1933, as amended, due to an adjustment in the Floor Price (as defined in the Series A Convertible Note, from $2.27 per share to $0.22 per share (the “Adjusted Floor Price”). The Company is adjusting the Floor Price for the Company’s outstanding Series A Convertible Notes in order to ensure a sufficient number of shares remain registered in order to satisfy any conversions of the Series A Convertible Notes that may be effectuated from time to time by Selling Stockholder. The contents of the registration statement on Form S-1 (File No. 333-292682), initially filed by the Company with the Securities and Exchange Commission (the “SEC”) on January 12, 2026 (the “Prior Registration Statement”), and which was declared effective on January 20, 2026, including the exhibits thereto, are incorporated herein by reference.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securities that are being registered for sale are in an amount and at a price that together represent no more than 20% of the maximum aggregate offering price set forth in the Filing Fee Table filed as Exhibit 107 to the Prior Registration Statement.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opinions and consents are listed on the Exhibit Index attached hereto and filed herewith.</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(i) undertakes to pay the SEC the filing fee set forth on the Filing Fee Table filed as Exhibit 107 of this registration statement by a wire transfer of such amount as soon as practicable (but no later than the close of business on April 15, 2026) and (ii) certifies that it has sufficient funds in the relevant account to cover the amount of such filing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tbl>
      <w:tblPr>
        <w:tblW w:w="10205" w:type="dxa"/>
        <w:jc w:val="left"/>
        <w:tblInd w:w="0" w:type="dxa"/>
        <w:tblLayout w:type="fixed"/>
        <w:tblCellMar>
          <w:top w:w="0" w:type="dxa"/>
          <w:left w:w="0" w:type="dxa"/>
          <w:bottom w:w="0" w:type="dxa"/>
          <w:right w:w="0" w:type="dxa"/>
        </w:tblCellMar>
      </w:tblPr>
      <w:tblGrid>
        <w:gridCol w:w="665"/>
        <w:gridCol w:w="60"/>
        <w:gridCol w:w="9480"/>
      </w:tblGrid>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r>
              <w:rPr/>
              <w:t> </w:t>
            </w:r>
          </w:p>
        </w:tc>
      </w:tr>
      <w:tr>
        <w:trPr/>
        <w:tc>
          <w:tcPr>
            <w:tcW w:w="66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Exhibit</w:t>
            </w:r>
          </w:p>
        </w:tc>
        <w:tc>
          <w:tcPr>
            <w:tcW w:w="60" w:type="dxa"/>
            <w:tcBorders/>
            <w:vAlign w:val="center"/>
          </w:tcPr>
          <w:p>
            <w:pPr>
              <w:pStyle w:val="TableContents"/>
              <w:bidi w:val="0"/>
              <w:spacing w:before="0" w:after="283"/>
              <w:jc w:val="left"/>
              <w:rPr/>
            </w:pPr>
            <w:r>
              <w:rPr/>
              <w:t> </w:t>
            </w:r>
          </w:p>
        </w:tc>
        <w:tc>
          <w:tcPr>
            <w:tcW w:w="9480" w:type="dxa"/>
            <w:tcBorders>
              <w:bottom w:val="single" w:sz="8" w:space="0" w:color="000000"/>
            </w:tcBorders>
            <w:tcMar>
              <w:bottom w:w="28" w:type="dxa"/>
            </w:tcMar>
            <w:vAlign w:val="center"/>
          </w:tcPr>
          <w:p>
            <w:pPr>
              <w:pStyle w:val="TableContents"/>
              <w:bidi w:val="0"/>
              <w:spacing w:before="0" w:after="283"/>
              <w:jc w:val="both"/>
              <w:rPr>
                <w:b/>
                <w:sz w:val="20"/>
              </w:rPr>
            </w:pPr>
            <w:r>
              <w:rPr>
                <w:b/>
                <w:sz w:val="20"/>
              </w:rPr>
              <w:t>Description</w:t>
            </w:r>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20"/>
              </w:rPr>
            </w:pPr>
            <w:r>
              <w:rPr>
                <w:sz w:val="20"/>
              </w:rPr>
              <w:t>5.1</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w:anchor="ipower_ex0501.htm">
              <w:r>
                <w:rPr>
                  <w:rStyle w:val="InternetLink"/>
                  <w:sz w:val="20"/>
                </w:rPr>
                <w:t>Opinion of Dorsey &amp; Whitney, LLP</w:t>
              </w:r>
            </w:hyperlink>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20"/>
              </w:rPr>
            </w:pPr>
            <w:r>
              <w:rPr>
                <w:sz w:val="20"/>
              </w:rPr>
              <w:t>23.1</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w:anchor="ipower_ex2301.htm">
              <w:r>
                <w:rPr>
                  <w:rStyle w:val="InternetLink"/>
                  <w:sz w:val="20"/>
                </w:rPr>
                <w:t>Consent of HTL International, LLC</w:t>
              </w:r>
            </w:hyperlink>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20"/>
              </w:rPr>
            </w:pPr>
            <w:r>
              <w:rPr>
                <w:sz w:val="20"/>
              </w:rPr>
              <w:t>23.2</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w:anchor="ipower_ex2302.htm">
              <w:r>
                <w:rPr>
                  <w:rStyle w:val="InternetLink"/>
                  <w:sz w:val="20"/>
                </w:rPr>
                <w:t>Consent of UHY LLP</w:t>
              </w:r>
            </w:hyperlink>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sz w:val="20"/>
              </w:rPr>
            </w:pPr>
            <w:r>
              <w:rPr>
                <w:sz w:val="20"/>
              </w:rPr>
              <w:t>23.3</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w:anchor="ipower_ex0501.htm">
              <w:r>
                <w:rPr>
                  <w:rStyle w:val="InternetLink"/>
                  <w:sz w:val="20"/>
                </w:rPr>
                <w:t>Consent of Dorsey &amp; Whitney, LLP</w:t>
              </w:r>
            </w:hyperlink>
            <w:r>
              <w:rPr>
                <w:sz w:val="20"/>
              </w:rPr>
              <w:t xml:space="preserve"> (included in Exhibit 5.1)</w:t>
            </w:r>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20"/>
              </w:rPr>
            </w:pPr>
            <w:r>
              <w:rPr>
                <w:sz w:val="20"/>
              </w:rPr>
              <w:t>24.1</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r>
              <w:fldChar w:fldCharType="begin"/>
            </w:r>
            <w:r>
              <w:rPr>
                <w:rStyle w:val="InternetLink"/>
                <w:sz w:val="20"/>
              </w:rPr>
              <w:instrText xml:space="preserve"> HYPERLINK "http://www.sec.gov/Archives/edgar/data/2052568/000119312526142887/d43269ds1.htm" \l "ii43269_28"</w:instrText>
            </w:r>
            <w:r>
              <w:rPr>
                <w:rStyle w:val="InternetLink"/>
                <w:sz w:val="20"/>
              </w:rPr>
              <w:fldChar w:fldCharType="separate"/>
            </w:r>
            <w:r>
              <w:rPr>
                <w:rStyle w:val="InternetLink"/>
                <w:sz w:val="20"/>
              </w:rPr>
              <w:t xml:space="preserve">Power of Attorney (included on the signature page to the Registration Statement on Form S-1 filed by the registrant on January 12, 2026 (File No. 333-292682) and incorporated herein by reference). </w:t>
            </w:r>
            <w:r>
              <w:rPr>
                <w:rStyle w:val="InternetLink"/>
                <w:sz w:val="20"/>
              </w:rPr>
              <w:fldChar w:fldCharType="end"/>
            </w:r>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20"/>
              </w:rPr>
            </w:pPr>
            <w:r>
              <w:rPr>
                <w:sz w:val="20"/>
              </w:rPr>
              <w:t>107</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w:anchor="ipower_ex107.htm">
              <w:r>
                <w:rPr>
                  <w:rStyle w:val="InternetLink"/>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on Form S-1 to be signed on its behalf by the undersigned, thereunto duly authorized, in the City of Rancho Cucamonga of the State of California, on April [*], 2026.</w:t>
      </w:r>
    </w:p>
    <w:p>
      <w:pPr>
        <w:pStyle w:val="TextBody"/>
        <w:bidi w:val="0"/>
        <w:spacing w:before="0" w:after="0"/>
        <w:ind w:left="0" w:right="0" w:hanging="0"/>
        <w:jc w:val="left"/>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1700"/>
        <w:gridCol w:w="60"/>
        <w:gridCol w:w="320"/>
        <w:gridCol w:w="60"/>
        <w:gridCol w:w="1955"/>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3"/>
            <w:tcBorders/>
            <w:vAlign w:val="center"/>
          </w:tcPr>
          <w:p>
            <w:pPr>
              <w:pStyle w:val="TableContents"/>
              <w:bidi w:val="0"/>
              <w:spacing w:before="0" w:after="283"/>
              <w:jc w:val="left"/>
              <w:rPr>
                <w:b/>
                <w:sz w:val="20"/>
              </w:rPr>
            </w:pPr>
            <w:r>
              <w:rPr>
                <w:b/>
                <w:sz w:val="20"/>
              </w:rPr>
              <w:t>iPOWER INC.</w:t>
            </w:r>
          </w:p>
        </w:tc>
      </w:tr>
      <w:tr>
        <w:trPr/>
        <w:tc>
          <w:tcPr>
            <w:tcW w:w="1700" w:type="dxa"/>
            <w:tcBorders/>
            <w:vAlign w:val="center"/>
          </w:tcPr>
          <w:p>
            <w:pPr>
              <w:pStyle w:val="TableContents"/>
              <w:bidi w:val="0"/>
              <w:spacing w:before="0" w:after="283"/>
              <w:jc w:val="left"/>
              <w:rPr/>
            </w:pPr>
            <w:r>
              <w:rPr/>
              <w:t> </w:t>
            </w:r>
          </w:p>
        </w:tc>
        <w:tc>
          <w:tcPr>
            <w:tcW w:w="380" w:type="dxa"/>
            <w:gridSpan w:val="2"/>
            <w:tcBorders/>
            <w:vAlign w:val="center"/>
          </w:tcPr>
          <w:p>
            <w:pPr>
              <w:pStyle w:val="TableContents"/>
              <w:bidi w:val="0"/>
              <w:spacing w:before="0" w:after="283"/>
              <w:jc w:val="left"/>
              <w:rPr/>
            </w:pPr>
            <w:r>
              <w:rPr/>
              <w:t> </w:t>
            </w:r>
          </w:p>
        </w:tc>
        <w:tc>
          <w:tcPr>
            <w:tcW w:w="2015"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sz w:val="20"/>
              </w:rPr>
            </w:pPr>
            <w:r>
              <w:rPr>
                <w:sz w:val="20"/>
              </w:rPr>
              <w:t>Date: April 17,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Chenlong Tan</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20"/>
              </w:rPr>
            </w:pPr>
            <w:r>
              <w:rPr>
                <w:sz w:val="20"/>
              </w:rPr>
              <w:t>Chenlong Tan</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80"/>
        <w:gridCol w:w="60"/>
        <w:gridCol w:w="7244"/>
        <w:gridCol w:w="60"/>
        <w:gridCol w:w="1161"/>
      </w:tblGrid>
      <w:tr>
        <w:trPr/>
        <w:tc>
          <w:tcPr>
            <w:tcW w:w="1680"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7244"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161"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1680" w:type="dxa"/>
            <w:tcBorders/>
            <w:tcMar>
              <w:bottom w:w="0" w:type="dxa"/>
            </w:tcMar>
            <w:vAlign w:val="center"/>
          </w:tcPr>
          <w:p>
            <w:pPr>
              <w:pStyle w:val="TableContents"/>
              <w:bidi w:val="0"/>
              <w:spacing w:before="0" w:after="283"/>
              <w:jc w:val="left"/>
              <w:rPr/>
            </w:pPr>
            <w:r>
              <w:rPr/>
              <w:t> </w:t>
            </w:r>
          </w:p>
        </w:tc>
        <w:tc>
          <w:tcPr>
            <w:tcW w:w="7304" w:type="dxa"/>
            <w:gridSpan w:val="2"/>
            <w:tcBorders/>
            <w:tcMar>
              <w:bottom w:w="0" w:type="dxa"/>
            </w:tcMar>
            <w:vAlign w:val="center"/>
          </w:tcPr>
          <w:p>
            <w:pPr>
              <w:pStyle w:val="TableContents"/>
              <w:bidi w:val="0"/>
              <w:spacing w:before="0" w:after="283"/>
              <w:jc w:val="left"/>
              <w:rPr/>
            </w:pPr>
            <w:r>
              <w:rPr/>
              <w:t> </w:t>
            </w:r>
          </w:p>
        </w:tc>
        <w:tc>
          <w:tcPr>
            <w:tcW w:w="1221" w:type="dxa"/>
            <w:gridSpan w:val="2"/>
            <w:tcBorders/>
            <w:tcMar>
              <w:bottom w:w="0" w:type="dxa"/>
            </w:tcMar>
            <w:vAlign w:val="center"/>
          </w:tcPr>
          <w:p>
            <w:pPr>
              <w:pStyle w:val="TableContents"/>
              <w:bidi w:val="0"/>
              <w:spacing w:before="0" w:after="283"/>
              <w:jc w:val="left"/>
              <w:rPr/>
            </w:pPr>
            <w:r>
              <w:rPr/>
              <w:t> </w:t>
            </w:r>
          </w:p>
        </w:tc>
      </w:tr>
      <w:tr>
        <w:trPr/>
        <w:tc>
          <w:tcPr>
            <w:tcW w:w="1680" w:type="dxa"/>
            <w:tcBorders/>
            <w:tcMar>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Chenlong Tan</w:t>
            </w:r>
          </w:p>
        </w:tc>
        <w:tc>
          <w:tcPr>
            <w:tcW w:w="60" w:type="dxa"/>
            <w:vMerge w:val="restart"/>
            <w:tcBorders/>
            <w:tcMar>
              <w:bottom w:w="0" w:type="dxa"/>
            </w:tcMar>
            <w:vAlign w:val="center"/>
          </w:tcPr>
          <w:p>
            <w:pPr>
              <w:pStyle w:val="TableContents"/>
              <w:bidi w:val="0"/>
              <w:spacing w:before="0" w:after="283"/>
              <w:jc w:val="left"/>
              <w:rPr/>
            </w:pPr>
            <w:r>
              <w:rPr/>
              <w:t> </w:t>
            </w:r>
          </w:p>
        </w:tc>
        <w:tc>
          <w:tcPr>
            <w:tcW w:w="7244"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Chairman of the Board of Directors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Officer)</w:t>
            </w:r>
          </w:p>
        </w:tc>
        <w:tc>
          <w:tcPr>
            <w:tcW w:w="60" w:type="dxa"/>
            <w:vMerge w:val="restart"/>
            <w:tcBorders/>
            <w:tcMar>
              <w:bottom w:w="0" w:type="dxa"/>
            </w:tcMar>
            <w:vAlign w:val="center"/>
          </w:tcPr>
          <w:p>
            <w:pPr>
              <w:pStyle w:val="TableContents"/>
              <w:bidi w:val="0"/>
              <w:spacing w:before="0" w:after="283"/>
              <w:jc w:val="left"/>
              <w:rPr/>
            </w:pPr>
            <w:r>
              <w:rPr/>
              <w:t> </w:t>
            </w:r>
          </w:p>
        </w:tc>
        <w:tc>
          <w:tcPr>
            <w:tcW w:w="1161" w:type="dxa"/>
            <w:vMerge w:val="restart"/>
            <w:tcBorders/>
            <w:tcMar>
              <w:bottom w:w="0" w:type="dxa"/>
            </w:tcMar>
            <w:vAlign w:val="center"/>
          </w:tcPr>
          <w:p>
            <w:pPr>
              <w:pStyle w:val="TableContents"/>
              <w:bidi w:val="0"/>
              <w:spacing w:before="0" w:after="283"/>
              <w:jc w:val="center"/>
              <w:rPr>
                <w:sz w:val="20"/>
              </w:rPr>
            </w:pPr>
            <w:r>
              <w:rPr>
                <w:sz w:val="20"/>
              </w:rPr>
              <w:t>April 17, 2026</w:t>
            </w:r>
          </w:p>
        </w:tc>
      </w:tr>
      <w:tr>
        <w:trPr/>
        <w:tc>
          <w:tcPr>
            <w:tcW w:w="1680" w:type="dxa"/>
            <w:tcBorders/>
            <w:tcMar>
              <w:bottom w:w="0" w:type="dxa"/>
            </w:tcMar>
            <w:vAlign w:val="center"/>
          </w:tcPr>
          <w:p>
            <w:pPr>
              <w:pStyle w:val="TableContents"/>
              <w:bidi w:val="0"/>
              <w:spacing w:before="0" w:after="283"/>
              <w:jc w:val="center"/>
              <w:rPr>
                <w:sz w:val="20"/>
              </w:rPr>
            </w:pPr>
            <w:r>
              <w:rPr>
                <w:sz w:val="20"/>
              </w:rPr>
              <w:t>Chenlong Tan</w:t>
            </w:r>
          </w:p>
        </w:tc>
        <w:tc>
          <w:tcPr>
            <w:tcW w:w="60" w:type="dxa"/>
            <w:vMerge w:val="continue"/>
            <w:tcBorders/>
            <w:tcMar>
              <w:bottom w:w="0" w:type="dxa"/>
            </w:tcMar>
            <w:vAlign w:val="center"/>
          </w:tcPr>
          <w:p>
            <w:pPr>
              <w:pStyle w:val="Normal"/>
              <w:bidi w:val="0"/>
              <w:jc w:val="left"/>
              <w:rPr/>
            </w:pPr>
            <w:r>
              <w:rPr/>
            </w:r>
          </w:p>
        </w:tc>
        <w:tc>
          <w:tcPr>
            <w:tcW w:w="7244"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161" w:type="dxa"/>
            <w:vMerge w:val="continue"/>
            <w:tcBorders/>
            <w:tcMar>
              <w:bottom w:w="0" w:type="dxa"/>
            </w:tcMar>
            <w:vAlign w:val="center"/>
          </w:tcPr>
          <w:p>
            <w:pPr>
              <w:pStyle w:val="Normal"/>
              <w:bidi w:val="0"/>
              <w:jc w:val="left"/>
              <w:rPr/>
            </w:pPr>
            <w:r>
              <w:rPr/>
            </w:r>
          </w:p>
        </w:tc>
      </w:tr>
      <w:tr>
        <w:trPr/>
        <w:tc>
          <w:tcPr>
            <w:tcW w:w="1680" w:type="dxa"/>
            <w:tcBorders/>
            <w:tcMar>
              <w:bottom w:w="0" w:type="dxa"/>
            </w:tcMar>
            <w:vAlign w:val="center"/>
          </w:tcPr>
          <w:p>
            <w:pPr>
              <w:pStyle w:val="TableContents"/>
              <w:bidi w:val="0"/>
              <w:spacing w:before="0" w:after="0"/>
              <w:ind w:left="0" w:right="0" w:hanging="0"/>
              <w:jc w:val="center"/>
              <w:rPr>
                <w:caps w:val="false"/>
                <w:smallCaps w:val="false"/>
                <w:bdr w:val="single" w:sz="6" w:space="1" w:color="000000"/>
              </w:rPr>
            </w:pPr>
            <w:r>
              <w:rPr>
                <w:caps w:val="false"/>
                <w:smallCaps w:val="false"/>
                <w:bdr w:val="single" w:sz="6" w:space="1" w:color="00000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bdr w:val="single" w:sz="6" w:space="1" w:color="000000"/>
              </w:rPr>
            </w:pPr>
            <w:r>
              <w:rPr>
                <w:rFonts w:ascii="Times New Roman;Times;Serif" w:hAnsi="Times New Roman;Times;Serif"/>
                <w:b w:val="false"/>
                <w:i w:val="false"/>
                <w:caps w:val="false"/>
                <w:smallCaps w:val="false"/>
                <w:sz w:val="20"/>
                <w:bdr w:val="single" w:sz="6" w:space="1" w:color="000000"/>
              </w:rPr>
              <w:t>*</w:t>
            </w:r>
          </w:p>
        </w:tc>
        <w:tc>
          <w:tcPr>
            <w:tcW w:w="60" w:type="dxa"/>
            <w:vMerge w:val="restart"/>
            <w:tcBorders/>
            <w:tcMar>
              <w:bottom w:w="0" w:type="dxa"/>
            </w:tcMar>
            <w:vAlign w:val="center"/>
          </w:tcPr>
          <w:p>
            <w:pPr>
              <w:pStyle w:val="TableContents"/>
              <w:bidi w:val="0"/>
              <w:spacing w:before="0" w:after="283"/>
              <w:jc w:val="left"/>
              <w:rPr/>
            </w:pPr>
            <w:r>
              <w:rPr/>
              <w:t> </w:t>
            </w:r>
          </w:p>
        </w:tc>
        <w:tc>
          <w:tcPr>
            <w:tcW w:w="7244" w:type="dxa"/>
            <w:vMerge w:val="restart"/>
            <w:tcBorders/>
            <w:tcMar>
              <w:bottom w:w="0" w:type="dxa"/>
            </w:tcMar>
            <w:vAlign w:val="center"/>
          </w:tcPr>
          <w:p>
            <w:pPr>
              <w:pStyle w:val="TableContents"/>
              <w:bidi w:val="0"/>
              <w:spacing w:before="0" w:after="283"/>
              <w:jc w:val="center"/>
              <w:rPr>
                <w:sz w:val="20"/>
              </w:rPr>
            </w:pPr>
            <w:r>
              <w:rPr>
                <w:sz w:val="20"/>
              </w:rPr>
              <w:t>Director</w:t>
            </w:r>
          </w:p>
        </w:tc>
        <w:tc>
          <w:tcPr>
            <w:tcW w:w="60" w:type="dxa"/>
            <w:vMerge w:val="restart"/>
            <w:tcBorders/>
            <w:tcMar>
              <w:bottom w:w="0" w:type="dxa"/>
            </w:tcMar>
            <w:vAlign w:val="center"/>
          </w:tcPr>
          <w:p>
            <w:pPr>
              <w:pStyle w:val="TableContents"/>
              <w:bidi w:val="0"/>
              <w:spacing w:before="0" w:after="283"/>
              <w:jc w:val="left"/>
              <w:rPr/>
            </w:pPr>
            <w:r>
              <w:rPr/>
              <w:t> </w:t>
            </w:r>
          </w:p>
        </w:tc>
        <w:tc>
          <w:tcPr>
            <w:tcW w:w="1161" w:type="dxa"/>
            <w:vMerge w:val="restart"/>
            <w:tcBorders/>
            <w:tcMar>
              <w:bottom w:w="0" w:type="dxa"/>
            </w:tcMar>
            <w:vAlign w:val="center"/>
          </w:tcPr>
          <w:p>
            <w:pPr>
              <w:pStyle w:val="TableContents"/>
              <w:bidi w:val="0"/>
              <w:spacing w:before="0" w:after="283"/>
              <w:jc w:val="center"/>
              <w:rPr>
                <w:sz w:val="20"/>
              </w:rPr>
            </w:pPr>
            <w:r>
              <w:rPr>
                <w:sz w:val="20"/>
              </w:rPr>
              <w:t>April 17, 2026</w:t>
            </w:r>
          </w:p>
        </w:tc>
      </w:tr>
      <w:tr>
        <w:trPr/>
        <w:tc>
          <w:tcPr>
            <w:tcW w:w="1680" w:type="dxa"/>
            <w:tcBorders/>
            <w:tcMar>
              <w:bottom w:w="0" w:type="dxa"/>
            </w:tcMar>
            <w:vAlign w:val="center"/>
          </w:tcPr>
          <w:p>
            <w:pPr>
              <w:pStyle w:val="TableContents"/>
              <w:bidi w:val="0"/>
              <w:spacing w:before="0" w:after="283"/>
              <w:jc w:val="center"/>
              <w:rPr>
                <w:sz w:val="20"/>
              </w:rPr>
            </w:pPr>
            <w:r>
              <w:rPr>
                <w:sz w:val="20"/>
              </w:rPr>
              <w:t>Yi Yang</w:t>
            </w:r>
          </w:p>
        </w:tc>
        <w:tc>
          <w:tcPr>
            <w:tcW w:w="60" w:type="dxa"/>
            <w:vMerge w:val="continue"/>
            <w:tcBorders/>
            <w:tcMar>
              <w:bottom w:w="0" w:type="dxa"/>
            </w:tcMar>
            <w:vAlign w:val="center"/>
          </w:tcPr>
          <w:p>
            <w:pPr>
              <w:pStyle w:val="Normal"/>
              <w:bidi w:val="0"/>
              <w:jc w:val="left"/>
              <w:rPr/>
            </w:pPr>
            <w:r>
              <w:rPr/>
            </w:r>
          </w:p>
        </w:tc>
        <w:tc>
          <w:tcPr>
            <w:tcW w:w="7244"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161" w:type="dxa"/>
            <w:vMerge w:val="continue"/>
            <w:tcBorders/>
            <w:tcMar>
              <w:bottom w:w="0" w:type="dxa"/>
            </w:tcMar>
            <w:vAlign w:val="center"/>
          </w:tcPr>
          <w:p>
            <w:pPr>
              <w:pStyle w:val="Normal"/>
              <w:bidi w:val="0"/>
              <w:jc w:val="left"/>
              <w:rPr/>
            </w:pPr>
            <w:r>
              <w:rPr/>
            </w:r>
          </w:p>
        </w:tc>
      </w:tr>
      <w:tr>
        <w:trPr/>
        <w:tc>
          <w:tcPr>
            <w:tcW w:w="1680" w:type="dxa"/>
            <w:tcBorders/>
            <w:tcMar>
              <w:bottom w:w="0" w:type="dxa"/>
            </w:tcMar>
            <w:vAlign w:val="center"/>
          </w:tcPr>
          <w:p>
            <w:pPr>
              <w:pStyle w:val="TableContents"/>
              <w:bidi w:val="0"/>
              <w:spacing w:before="0" w:after="283"/>
              <w:jc w:val="left"/>
              <w:rPr/>
            </w:pPr>
            <w:r>
              <w:rPr/>
              <w:t> </w:t>
            </w:r>
          </w:p>
        </w:tc>
        <w:tc>
          <w:tcPr>
            <w:tcW w:w="7304" w:type="dxa"/>
            <w:gridSpan w:val="2"/>
            <w:tcBorders/>
            <w:tcMar>
              <w:bottom w:w="0" w:type="dxa"/>
            </w:tcMar>
            <w:vAlign w:val="center"/>
          </w:tcPr>
          <w:p>
            <w:pPr>
              <w:pStyle w:val="TableContents"/>
              <w:bidi w:val="0"/>
              <w:spacing w:before="0" w:after="283"/>
              <w:jc w:val="left"/>
              <w:rPr/>
            </w:pPr>
            <w:r>
              <w:rPr/>
              <w:t> </w:t>
            </w:r>
          </w:p>
        </w:tc>
        <w:tc>
          <w:tcPr>
            <w:tcW w:w="1221" w:type="dxa"/>
            <w:gridSpan w:val="2"/>
            <w:tcBorders/>
            <w:tcMar>
              <w:bottom w:w="0" w:type="dxa"/>
            </w:tcMar>
            <w:vAlign w:val="center"/>
          </w:tcPr>
          <w:p>
            <w:pPr>
              <w:pStyle w:val="TableContents"/>
              <w:bidi w:val="0"/>
              <w:spacing w:before="0" w:after="283"/>
              <w:jc w:val="left"/>
              <w:rPr/>
            </w:pPr>
            <w:r>
              <w:rPr/>
              <w:t> </w:t>
            </w:r>
          </w:p>
        </w:tc>
      </w:tr>
      <w:tr>
        <w:trPr/>
        <w:tc>
          <w:tcPr>
            <w:tcW w:w="1680" w:type="dxa"/>
            <w:tcBorders/>
            <w:tcMar>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vMerge w:val="restart"/>
            <w:tcBorders/>
            <w:tcMar>
              <w:bottom w:w="0" w:type="dxa"/>
            </w:tcMar>
            <w:vAlign w:val="center"/>
          </w:tcPr>
          <w:p>
            <w:pPr>
              <w:pStyle w:val="TableContents"/>
              <w:bidi w:val="0"/>
              <w:spacing w:before="0" w:after="283"/>
              <w:jc w:val="left"/>
              <w:rPr/>
            </w:pPr>
            <w:r>
              <w:rPr/>
              <w:t> </w:t>
            </w:r>
          </w:p>
        </w:tc>
        <w:tc>
          <w:tcPr>
            <w:tcW w:w="7244" w:type="dxa"/>
            <w:vMerge w:val="restart"/>
            <w:tcBorders/>
            <w:tcMar>
              <w:bottom w:w="0" w:type="dxa"/>
            </w:tcMar>
            <w:vAlign w:val="center"/>
          </w:tcPr>
          <w:p>
            <w:pPr>
              <w:pStyle w:val="TableContents"/>
              <w:bidi w:val="0"/>
              <w:spacing w:before="0" w:after="283"/>
              <w:jc w:val="center"/>
              <w:rPr>
                <w:sz w:val="20"/>
              </w:rPr>
            </w:pPr>
            <w:r>
              <w:rPr>
                <w:sz w:val="20"/>
              </w:rPr>
              <w:t>Director</w:t>
            </w:r>
          </w:p>
        </w:tc>
        <w:tc>
          <w:tcPr>
            <w:tcW w:w="60" w:type="dxa"/>
            <w:vMerge w:val="restart"/>
            <w:tcBorders/>
            <w:tcMar>
              <w:bottom w:w="0" w:type="dxa"/>
            </w:tcMar>
            <w:vAlign w:val="center"/>
          </w:tcPr>
          <w:p>
            <w:pPr>
              <w:pStyle w:val="TableContents"/>
              <w:bidi w:val="0"/>
              <w:spacing w:before="0" w:after="283"/>
              <w:jc w:val="left"/>
              <w:rPr/>
            </w:pPr>
            <w:r>
              <w:rPr/>
              <w:t> </w:t>
            </w:r>
          </w:p>
        </w:tc>
        <w:tc>
          <w:tcPr>
            <w:tcW w:w="1161" w:type="dxa"/>
            <w:vMerge w:val="restart"/>
            <w:tcBorders/>
            <w:tcMar>
              <w:bottom w:w="0" w:type="dxa"/>
            </w:tcMar>
            <w:vAlign w:val="center"/>
          </w:tcPr>
          <w:p>
            <w:pPr>
              <w:pStyle w:val="TableContents"/>
              <w:bidi w:val="0"/>
              <w:spacing w:before="0" w:after="283"/>
              <w:jc w:val="center"/>
              <w:rPr>
                <w:sz w:val="20"/>
              </w:rPr>
            </w:pPr>
            <w:r>
              <w:rPr>
                <w:sz w:val="20"/>
              </w:rPr>
              <w:t>April 17, 2026</w:t>
            </w:r>
          </w:p>
        </w:tc>
      </w:tr>
      <w:tr>
        <w:trPr/>
        <w:tc>
          <w:tcPr>
            <w:tcW w:w="1680" w:type="dxa"/>
            <w:tcBorders/>
            <w:tcMar>
              <w:bottom w:w="0" w:type="dxa"/>
            </w:tcMar>
            <w:vAlign w:val="center"/>
          </w:tcPr>
          <w:p>
            <w:pPr>
              <w:pStyle w:val="TableContents"/>
              <w:bidi w:val="0"/>
              <w:spacing w:before="0" w:after="283"/>
              <w:jc w:val="center"/>
              <w:rPr>
                <w:sz w:val="20"/>
              </w:rPr>
            </w:pPr>
            <w:r>
              <w:rPr>
                <w:sz w:val="20"/>
              </w:rPr>
              <w:t>Bennet Tchaikovsky</w:t>
            </w:r>
          </w:p>
        </w:tc>
        <w:tc>
          <w:tcPr>
            <w:tcW w:w="60" w:type="dxa"/>
            <w:vMerge w:val="continue"/>
            <w:tcBorders/>
            <w:tcMar>
              <w:bottom w:w="0" w:type="dxa"/>
            </w:tcMar>
            <w:vAlign w:val="center"/>
          </w:tcPr>
          <w:p>
            <w:pPr>
              <w:pStyle w:val="Normal"/>
              <w:bidi w:val="0"/>
              <w:jc w:val="left"/>
              <w:rPr/>
            </w:pPr>
            <w:r>
              <w:rPr/>
            </w:r>
          </w:p>
        </w:tc>
        <w:tc>
          <w:tcPr>
            <w:tcW w:w="7244"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161" w:type="dxa"/>
            <w:vMerge w:val="continue"/>
            <w:tcBorders/>
            <w:tcMar>
              <w:bottom w:w="0" w:type="dxa"/>
            </w:tcMar>
            <w:vAlign w:val="center"/>
          </w:tcPr>
          <w:p>
            <w:pPr>
              <w:pStyle w:val="Normal"/>
              <w:bidi w:val="0"/>
              <w:jc w:val="left"/>
              <w:rPr/>
            </w:pPr>
            <w:r>
              <w:rPr/>
            </w:r>
          </w:p>
        </w:tc>
      </w:tr>
      <w:tr>
        <w:trPr/>
        <w:tc>
          <w:tcPr>
            <w:tcW w:w="1680" w:type="dxa"/>
            <w:tcBorders/>
            <w:tcMar>
              <w:bottom w:w="0" w:type="dxa"/>
            </w:tcMar>
            <w:vAlign w:val="center"/>
          </w:tcPr>
          <w:p>
            <w:pPr>
              <w:pStyle w:val="TableContents"/>
              <w:bidi w:val="0"/>
              <w:spacing w:before="0" w:after="283"/>
              <w:jc w:val="left"/>
              <w:rPr/>
            </w:pPr>
            <w:r>
              <w:rPr/>
              <w:t> </w:t>
            </w:r>
          </w:p>
        </w:tc>
        <w:tc>
          <w:tcPr>
            <w:tcW w:w="7304" w:type="dxa"/>
            <w:gridSpan w:val="2"/>
            <w:tcBorders/>
            <w:tcMar>
              <w:bottom w:w="0" w:type="dxa"/>
            </w:tcMar>
            <w:vAlign w:val="center"/>
          </w:tcPr>
          <w:p>
            <w:pPr>
              <w:pStyle w:val="TableContents"/>
              <w:bidi w:val="0"/>
              <w:spacing w:before="0" w:after="283"/>
              <w:jc w:val="left"/>
              <w:rPr/>
            </w:pPr>
            <w:r>
              <w:rPr/>
              <w:t> </w:t>
            </w:r>
          </w:p>
        </w:tc>
        <w:tc>
          <w:tcPr>
            <w:tcW w:w="1221" w:type="dxa"/>
            <w:gridSpan w:val="2"/>
            <w:tcBorders/>
            <w:tcMar>
              <w:bottom w:w="0" w:type="dxa"/>
            </w:tcMar>
            <w:vAlign w:val="center"/>
          </w:tcPr>
          <w:p>
            <w:pPr>
              <w:pStyle w:val="TableContents"/>
              <w:bidi w:val="0"/>
              <w:spacing w:before="0" w:after="283"/>
              <w:jc w:val="left"/>
              <w:rPr/>
            </w:pPr>
            <w:r>
              <w:rPr/>
              <w:t> </w:t>
            </w:r>
          </w:p>
        </w:tc>
      </w:tr>
      <w:tr>
        <w:trPr/>
        <w:tc>
          <w:tcPr>
            <w:tcW w:w="1680" w:type="dxa"/>
            <w:tcBorders/>
            <w:tcMar>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Hanxi Li</w:t>
            </w:r>
          </w:p>
        </w:tc>
        <w:tc>
          <w:tcPr>
            <w:tcW w:w="60" w:type="dxa"/>
            <w:tcBorders/>
            <w:tcMar>
              <w:bottom w:w="0" w:type="dxa"/>
            </w:tcMar>
            <w:vAlign w:val="center"/>
          </w:tcPr>
          <w:p>
            <w:pPr>
              <w:pStyle w:val="TableContents"/>
              <w:bidi w:val="0"/>
              <w:spacing w:before="0" w:after="283"/>
              <w:ind w:left="0" w:right="0" w:hanging="200"/>
              <w:jc w:val="left"/>
              <w:rPr/>
            </w:pPr>
            <w:r>
              <w:rPr/>
              <w:t> </w:t>
            </w:r>
          </w:p>
        </w:tc>
        <w:tc>
          <w:tcPr>
            <w:tcW w:w="7244"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1" w:type="dxa"/>
            <w:tcBorders/>
            <w:tcMar>
              <w:bottom w:w="0" w:type="dxa"/>
            </w:tcMar>
            <w:vAlign w:val="center"/>
          </w:tcPr>
          <w:p>
            <w:pPr>
              <w:pStyle w:val="TableContents"/>
              <w:bidi w:val="0"/>
              <w:spacing w:before="0" w:after="283"/>
              <w:jc w:val="center"/>
              <w:rPr>
                <w:sz w:val="20"/>
              </w:rPr>
            </w:pPr>
            <w:r>
              <w:rPr>
                <w:sz w:val="20"/>
              </w:rPr>
              <w:t>April 17, 2026</w:t>
            </w:r>
          </w:p>
        </w:tc>
      </w:tr>
      <w:tr>
        <w:trPr/>
        <w:tc>
          <w:tcPr>
            <w:tcW w:w="1680" w:type="dxa"/>
            <w:tcBorders/>
            <w:tcMar>
              <w:bottom w:w="0" w:type="dxa"/>
            </w:tcMar>
            <w:vAlign w:val="center"/>
          </w:tcPr>
          <w:p>
            <w:pPr>
              <w:pStyle w:val="TableContents"/>
              <w:bidi w:val="0"/>
              <w:spacing w:before="0" w:after="283"/>
              <w:jc w:val="left"/>
              <w:rPr/>
            </w:pPr>
            <w:r>
              <w:rPr/>
              <w:t> </w:t>
            </w:r>
          </w:p>
        </w:tc>
        <w:tc>
          <w:tcPr>
            <w:tcW w:w="7304" w:type="dxa"/>
            <w:gridSpan w:val="2"/>
            <w:tcBorders/>
            <w:tcMar>
              <w:bottom w:w="0" w:type="dxa"/>
            </w:tcMar>
            <w:vAlign w:val="center"/>
          </w:tcPr>
          <w:p>
            <w:pPr>
              <w:pStyle w:val="TableContents"/>
              <w:bidi w:val="0"/>
              <w:spacing w:before="0" w:after="283"/>
              <w:jc w:val="left"/>
              <w:rPr/>
            </w:pPr>
            <w:r>
              <w:rPr/>
              <w:t> </w:t>
            </w:r>
          </w:p>
        </w:tc>
        <w:tc>
          <w:tcPr>
            <w:tcW w:w="1221" w:type="dxa"/>
            <w:gridSpan w:val="2"/>
            <w:tcBorders/>
            <w:tcMar>
              <w:bottom w:w="0" w:type="dxa"/>
            </w:tcMar>
            <w:vAlign w:val="center"/>
          </w:tcPr>
          <w:p>
            <w:pPr>
              <w:pStyle w:val="TableContents"/>
              <w:bidi w:val="0"/>
              <w:spacing w:before="0" w:after="283"/>
              <w:jc w:val="left"/>
              <w:rPr/>
            </w:pPr>
            <w:r>
              <w:rPr/>
              <w:t> </w:t>
            </w:r>
          </w:p>
        </w:tc>
      </w:tr>
      <w:tr>
        <w:trPr/>
        <w:tc>
          <w:tcPr>
            <w:tcW w:w="1680" w:type="dxa"/>
            <w:tcBorders/>
            <w:tcMar>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Yue Guo</w:t>
            </w:r>
          </w:p>
        </w:tc>
        <w:tc>
          <w:tcPr>
            <w:tcW w:w="60" w:type="dxa"/>
            <w:tcBorders/>
            <w:tcMar>
              <w:bottom w:w="0" w:type="dxa"/>
            </w:tcMar>
            <w:vAlign w:val="center"/>
          </w:tcPr>
          <w:p>
            <w:pPr>
              <w:pStyle w:val="TableContents"/>
              <w:bidi w:val="0"/>
              <w:spacing w:before="0" w:after="283"/>
              <w:ind w:left="0" w:right="0" w:hanging="200"/>
              <w:jc w:val="left"/>
              <w:rPr/>
            </w:pPr>
            <w:r>
              <w:rPr/>
              <w:t> </w:t>
            </w:r>
          </w:p>
        </w:tc>
        <w:tc>
          <w:tcPr>
            <w:tcW w:w="7244"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1" w:type="dxa"/>
            <w:tcBorders/>
            <w:tcMar>
              <w:bottom w:w="0" w:type="dxa"/>
            </w:tcMar>
            <w:vAlign w:val="center"/>
          </w:tcPr>
          <w:p>
            <w:pPr>
              <w:pStyle w:val="TableContents"/>
              <w:bidi w:val="0"/>
              <w:spacing w:before="0" w:after="283"/>
              <w:jc w:val="center"/>
              <w:rPr>
                <w:sz w:val="20"/>
              </w:rPr>
            </w:pPr>
            <w:r>
              <w:rPr>
                <w:sz w:val="20"/>
              </w:rPr>
              <w:t>April 17, 2026</w:t>
            </w:r>
          </w:p>
        </w:tc>
      </w:tr>
    </w:tbl>
    <w:p>
      <w:pPr>
        <w:pStyle w:val="TextBody"/>
        <w:bidi w:val="0"/>
        <w:spacing w:before="0" w:after="0"/>
        <w:ind w:left="0" w:right="0" w:hanging="0"/>
        <w:jc w:val="left"/>
        <w:rPr>
          <w:caps w:val="false"/>
          <w:smallCaps w:val="false"/>
        </w:rPr>
      </w:pPr>
      <w:r>
        <w:rPr>
          <w:caps w:val="false"/>
          <w:smallCaps w:val="false"/>
        </w:rPr>
        <w:t> </w:t>
      </w:r>
    </w:p>
    <w:tbl>
      <w:tblPr>
        <w:tblW w:w="2379" w:type="dxa"/>
        <w:jc w:val="left"/>
        <w:tblInd w:w="0" w:type="dxa"/>
        <w:tblLayout w:type="fixed"/>
        <w:tblCellMar>
          <w:top w:w="0" w:type="dxa"/>
          <w:left w:w="0" w:type="dxa"/>
          <w:bottom w:w="0" w:type="dxa"/>
          <w:right w:w="0" w:type="dxa"/>
        </w:tblCellMar>
      </w:tblPr>
      <w:tblGrid>
        <w:gridCol w:w="440"/>
        <w:gridCol w:w="60"/>
        <w:gridCol w:w="1786"/>
        <w:gridCol w:w="93"/>
      </w:tblGrid>
      <w:tr>
        <w:trPr/>
        <w:tc>
          <w:tcPr>
            <w:tcW w:w="440" w:type="dxa"/>
            <w:tcBorders/>
            <w:vAlign w:val="center"/>
          </w:tcPr>
          <w:p>
            <w:pPr>
              <w:pStyle w:val="TableContents"/>
              <w:bidi w:val="0"/>
              <w:spacing w:before="0" w:after="283"/>
              <w:jc w:val="left"/>
              <w:rPr>
                <w:sz w:val="20"/>
              </w:rPr>
            </w:pPr>
            <w:r>
              <w:rPr>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86" w:type="dxa"/>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w:t>
            </w:r>
            <w:r>
              <w:rPr>
                <w:i/>
                <w:sz w:val="20"/>
              </w:rPr>
              <w:t>Chenlong Tan</w:t>
            </w:r>
          </w:p>
        </w:tc>
        <w:tc>
          <w:tcPr>
            <w:tcW w:w="93"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283"/>
              <w:jc w:val="left"/>
              <w:rPr>
                <w:sz w:val="20"/>
              </w:rPr>
            </w:pPr>
            <w:r>
              <w:rPr>
                <w:sz w:val="20"/>
              </w:rPr>
              <w:t>Name: Chenlong Tan</w:t>
            </w:r>
          </w:p>
        </w:tc>
      </w:tr>
      <w:tr>
        <w:trPr/>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283"/>
              <w:jc w:val="left"/>
              <w:rPr>
                <w:sz w:val="20"/>
              </w:rPr>
            </w:pPr>
            <w:r>
              <w:rPr>
                <w:sz w:val="20"/>
              </w:rPr>
              <w:t>Title: Attorney-in-Fact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ipower_ex0501.htm"/>
      <w:bookmarkStart w:id="6" w:name="ksipower_ex0501"/>
      <w:bookmarkEnd w:id="5"/>
      <w:bookmarkEnd w:id="6"/>
      <w:r>
        <w:rPr>
          <w:rFonts w:ascii="Times New Roman;Times;Serif" w:hAnsi="Times New Roman;Times;Serif"/>
          <w:b/>
          <w:i w:val="false"/>
          <w:caps w:val="false"/>
          <w:smallCaps w:val="false"/>
          <w:sz w:val="20"/>
        </w:rPr>
        <w:t xml:space="preserve">Exhibit 5.1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6687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42862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iPower Inc., a Nevada corporation (the “Company”), in connection with the preparation of the Company’s registration statement on Form S-1 filed with the U.S. Securities and Exchange Commission (the “Commission”) on the date hereof (the “Registration Statement”) under the Securities Act of 1933, as amended (the “Securities Act”). The Registration Statement incorporates by reference the registration statement on Form S-1 (Registration No. 333-292682) initially filed with the Commission on January 12, 2026, as amended to date (the “</w:t>
      </w:r>
      <w:r>
        <w:rPr>
          <w:rFonts w:ascii="Times New Roman;Times;Serif" w:hAnsi="Times New Roman;Times;Serif"/>
          <w:b w:val="false"/>
          <w:i w:val="false"/>
          <w:caps w:val="false"/>
          <w:smallCaps w:val="false"/>
          <w:sz w:val="20"/>
          <w:u w:val="single"/>
        </w:rPr>
        <w:t>Prior Registration Statement</w:t>
      </w:r>
      <w:r>
        <w:rPr>
          <w:rFonts w:ascii="Times New Roman;Times;Serif" w:hAnsi="Times New Roman;Times;Serif"/>
          <w:b w:val="false"/>
          <w:i w:val="false"/>
          <w:caps w:val="false"/>
          <w:smallCaps w:val="false"/>
          <w:sz w:val="20"/>
        </w:rPr>
        <w:t>”), which was declared effective by the Commission on January 20,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relates to the registration, pursuant to Rule 462(b) under the Securities Act, of 21,870,923 shares of common stock, par value $0.001 per share, of the Company (the “Shares”) convertible under certain senior secured series A convertible notes dated December 22, 2025 and February 10, 2026 (the “Series A Convertible Notes”), due to an adjustment in the Floor Price (as defined in the Series A Convertible Notes), from $2.27 per share to $0.22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Series A Convertible Notes and the Sixth Amended and Restated Articles of Incorporation of the Company. We have examined such additional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limitations, qualifications and assumptions set forth herein, we are of the opinion that the Shares, when issued by the Company upon conversion or otherwise pursuant to the terms and conditions of the Series A Convertible Notes,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limited to Chapter 78 of the Nevada Revised Statutes as concerns laws governing corporations and the federal laws of the United States of America. We express no opinion with respect to the laws of any other jurisdiction. The opinions herein are limited to the laws, rules and regulations as in effect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tbl>
      <w:tblPr>
        <w:tblW w:w="2615" w:type="dxa"/>
        <w:jc w:val="left"/>
        <w:tblInd w:w="0" w:type="dxa"/>
        <w:tblLayout w:type="fixed"/>
        <w:tblCellMar>
          <w:top w:w="0" w:type="dxa"/>
          <w:left w:w="0" w:type="dxa"/>
          <w:bottom w:w="0" w:type="dxa"/>
          <w:right w:w="0" w:type="dxa"/>
        </w:tblCellMar>
      </w:tblPr>
      <w:tblGrid>
        <w:gridCol w:w="2615"/>
      </w:tblGrid>
      <w:tr>
        <w:trPr/>
        <w:tc>
          <w:tcPr>
            <w:tcW w:w="2615" w:type="dxa"/>
            <w:tcBorders/>
            <w:vAlign w:val="center"/>
          </w:tcPr>
          <w:p>
            <w:pPr>
              <w:pStyle w:val="TableContents"/>
              <w:bidi w:val="0"/>
              <w:spacing w:before="0" w:after="283"/>
              <w:jc w:val="left"/>
              <w:rPr/>
            </w:pPr>
            <w:r>
              <w:rPr/>
              <w:t>Very truly yours,</w:t>
            </w:r>
          </w:p>
        </w:tc>
      </w:tr>
      <w:tr>
        <w:trPr/>
        <w:tc>
          <w:tcPr>
            <w:tcW w:w="261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/s/ Dorsey &amp; Whitney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MJP/JBE</w:t>
      </w:r>
    </w:p>
    <w:p>
      <w:pPr>
        <w:pStyle w:val="TextBody"/>
        <w:bidi w:val="0"/>
        <w:jc w:val="right"/>
        <w:rPr>
          <w:b/>
        </w:rPr>
      </w:pPr>
      <w:bookmarkStart w:id="7" w:name="ipower_ex2301.htm"/>
      <w:bookmarkStart w:id="8" w:name="ksipower_ex2301"/>
      <w:bookmarkEnd w:id="7"/>
      <w:bookmarkEnd w:id="8"/>
      <w:r>
        <w:rPr>
          <w:b/>
        </w:rPr>
        <w:t>Exhibit 23.1</w:t>
      </w:r>
      <w:r>
        <w:br w:type="page"/>
      </w:r>
    </w:p>
    <w:p>
      <w:pPr>
        <w:pStyle w:val="TextBody"/>
        <w:bidi w:val="0"/>
        <w:jc w:val="righ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S-1 MEF of iPower Inc. (the “Company”) of our report dated October 9, 2025, relating to our audit of the consolidated financial statements of the Company as of and for the year ended June 30, 2025, appearing in the Annual Report on Form 10-K of the Company for the year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this Registration Statement.</w:t>
      </w:r>
    </w:p>
    <w:tbl>
      <w:tblPr>
        <w:tblW w:w="2225" w:type="dxa"/>
        <w:jc w:val="left"/>
        <w:tblInd w:w="0" w:type="dxa"/>
        <w:tblLayout w:type="fixed"/>
        <w:tblCellMar>
          <w:top w:w="0" w:type="dxa"/>
          <w:left w:w="0" w:type="dxa"/>
          <w:bottom w:w="0" w:type="dxa"/>
          <w:right w:w="0" w:type="dxa"/>
        </w:tblCellMar>
      </w:tblPr>
      <w:tblGrid>
        <w:gridCol w:w="2225"/>
      </w:tblGrid>
      <w:tr>
        <w:trPr/>
        <w:tc>
          <w:tcPr>
            <w:tcW w:w="222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HTL International, LLC</w:t>
            </w:r>
          </w:p>
          <w:p>
            <w:pPr>
              <w:pStyle w:val="TableContents"/>
              <w:bidi w:val="0"/>
              <w:spacing w:before="0" w:after="0"/>
              <w:ind w:left="0" w:right="0" w:hanging="0"/>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283"/>
              <w:jc w:val="left"/>
              <w:rPr>
                <w:sz w:val="20"/>
              </w:rPr>
            </w:pPr>
            <w:r>
              <w:rPr>
                <w:sz w:val="20"/>
              </w:rPr>
              <w:t>Houston, Texas</w:t>
            </w:r>
          </w:p>
        </w:tc>
      </w:tr>
      <w:tr>
        <w:trPr/>
        <w:tc>
          <w:tcPr>
            <w:tcW w:w="2225" w:type="dxa"/>
            <w:tcBorders/>
            <w:vAlign w:val="center"/>
          </w:tcPr>
          <w:p>
            <w:pPr>
              <w:pStyle w:val="TableContents"/>
              <w:bidi w:val="0"/>
              <w:spacing w:before="0" w:after="283"/>
              <w:jc w:val="left"/>
              <w:rPr>
                <w:sz w:val="20"/>
              </w:rPr>
            </w:pPr>
            <w:r>
              <w:rPr>
                <w:sz w:val="20"/>
              </w:rPr>
              <w:t>April 17,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9" w:name="ipower_ex2302.htm"/>
      <w:bookmarkStart w:id="10" w:name="ksipower_ex2302"/>
      <w:bookmarkEnd w:id="9"/>
      <w:bookmarkEnd w:id="10"/>
      <w:r>
        <w:rPr>
          <w:b/>
        </w:rPr>
        <w:t>Exhibit 23.2</w:t>
      </w:r>
      <w:r>
        <w:br w:type="page"/>
      </w:r>
    </w:p>
    <w:p>
      <w:pPr>
        <w:pStyle w:val="TextBody"/>
        <w:bidi w:val="0"/>
        <w:jc w:val="righ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S-1 MEF (SEC File No. 333-292682) of iPower Inc. (the “Company”) of our audit report dated September 20, 2024, relating to the Company’s consolidated financial statements as of and for the year ended June 30, 2024, appearing in the Annual Report on Form 10-K of the Company for the year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such 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right"/>
        <w:rPr>
          <w:rFonts w:ascii="Times New Roman;Times;Serif" w:hAnsi="Times New Roman;Times;Serif"/>
          <w:b/>
          <w:i w:val="false"/>
          <w:caps w:val="false"/>
          <w:smallCaps w:val="false"/>
          <w:sz w:val="24"/>
        </w:rPr>
      </w:pPr>
      <w:bookmarkStart w:id="11" w:name="ipower_ex107.htm"/>
      <w:bookmarkStart w:id="12" w:name="ksipower_ex107"/>
      <w:bookmarkEnd w:id="11"/>
      <w:bookmarkEnd w:id="12"/>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iPower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405" w:type="dxa"/>
        <w:jc w:val="left"/>
        <w:tblInd w:w="0" w:type="dxa"/>
        <w:tblLayout w:type="fixed"/>
        <w:tblCellMar>
          <w:top w:w="0" w:type="dxa"/>
          <w:left w:w="0" w:type="dxa"/>
          <w:bottom w:w="0" w:type="dxa"/>
          <w:right w:w="0" w:type="dxa"/>
        </w:tblCellMar>
      </w:tblPr>
      <w:tblGrid>
        <w:gridCol w:w="530"/>
        <w:gridCol w:w="60"/>
        <w:gridCol w:w="800"/>
        <w:gridCol w:w="60"/>
        <w:gridCol w:w="1130"/>
        <w:gridCol w:w="60"/>
        <w:gridCol w:w="575"/>
        <w:gridCol w:w="60"/>
        <w:gridCol w:w="1100"/>
        <w:gridCol w:w="60"/>
        <w:gridCol w:w="1100"/>
        <w:gridCol w:w="60"/>
        <w:gridCol w:w="240"/>
        <w:gridCol w:w="755"/>
        <w:gridCol w:w="60"/>
        <w:gridCol w:w="140"/>
        <w:gridCol w:w="1280"/>
        <w:gridCol w:w="60"/>
        <w:gridCol w:w="1040"/>
        <w:gridCol w:w="60"/>
        <w:gridCol w:w="197"/>
        <w:gridCol w:w="978"/>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 </w:t>
            </w:r>
          </w:p>
        </w:tc>
      </w:tr>
      <w:tr>
        <w:trPr/>
        <w:tc>
          <w:tcPr>
            <w:tcW w:w="1040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Series A Convertible Notes convertible into shares of common stock, par value $0.001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978"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Common stock, par value $0.001 per share, underlying Series A convertible notes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21,870,923</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4,811,603.06</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978" w:type="dxa"/>
            <w:tcBorders/>
            <w:vAlign w:val="center"/>
          </w:tcPr>
          <w:p>
            <w:pPr>
              <w:pStyle w:val="TableContents"/>
              <w:bidi w:val="0"/>
              <w:spacing w:before="0" w:after="283"/>
              <w:jc w:val="right"/>
              <w:rPr/>
            </w:pPr>
            <w:r>
              <w:rPr/>
              <w:t>665.00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59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4,811,603.06</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665.00</w:t>
            </w:r>
          </w:p>
        </w:tc>
      </w:tr>
      <w:tr>
        <w:trPr/>
        <w:tc>
          <w:tcPr>
            <w:tcW w:w="659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0.00</w:t>
            </w:r>
          </w:p>
        </w:tc>
      </w:tr>
      <w:tr>
        <w:trPr/>
        <w:tc>
          <w:tcPr>
            <w:tcW w:w="659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59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bottom w:val="double" w:sz="8" w:space="0" w:color="000000"/>
            </w:tcBorders>
            <w:tcMar>
              <w:bottom w:w="28" w:type="dxa"/>
            </w:tcMar>
            <w:vAlign w:val="center"/>
          </w:tcPr>
          <w:p>
            <w:pPr>
              <w:pStyle w:val="TableContents"/>
              <w:bidi w:val="0"/>
              <w:spacing w:before="0" w:after="283"/>
              <w:jc w:val="left"/>
              <w:rPr/>
            </w:pPr>
            <w:r>
              <w:rPr/>
              <w:t>$</w:t>
            </w:r>
          </w:p>
        </w:tc>
        <w:tc>
          <w:tcPr>
            <w:tcW w:w="978" w:type="dxa"/>
            <w:tcBorders>
              <w:bottom w:val="double" w:sz="8" w:space="0" w:color="000000"/>
            </w:tcBorders>
            <w:tcMar>
              <w:bottom w:w="28" w:type="dxa"/>
            </w:tcMar>
            <w:vAlign w:val="center"/>
          </w:tcPr>
          <w:p>
            <w:pPr>
              <w:pStyle w:val="TableContents"/>
              <w:bidi w:val="0"/>
              <w:spacing w:before="0" w:after="283"/>
              <w:jc w:val="right"/>
              <w:rPr/>
            </w:pPr>
            <w:r>
              <w:rPr/>
              <w:t>665.00</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4"/>
        <w:gridCol w:w="23"/>
        <w:gridCol w:w="9938"/>
      </w:tblGrid>
      <w:tr>
        <w:trPr/>
        <w:tc>
          <w:tcPr>
            <w:tcW w:w="24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8" w:type="dxa"/>
            <w:tcBorders/>
            <w:vAlign w:val="center"/>
          </w:tcPr>
          <w:p>
            <w:pPr>
              <w:pStyle w:val="TableContents"/>
              <w:bidi w:val="0"/>
              <w:spacing w:before="0" w:after="283"/>
              <w:jc w:val="both"/>
              <w:rPr/>
            </w:pPr>
            <w:r>
              <w:rPr/>
              <w:t>Represents only the additional number of shares being registered pursuant to this registration statement and includes 21,870,923 shares of common stock underlying the Series A Convertible Notes due to an adjustment in the Floor Price (as defined in the Series A Convertible Note, from $2.27 per share to $0.22 per share). Does not include the 5,221,451 shares that were previously registered on the Registration Statement on Form S-1 (File No. 333-292682) (the “Prior Registration Statement”).</w:t>
              <w:br/>
              <w:br/>
              <w:t>Proposed Maximum Offering Price Per Unit is based on the adjusted floor price of the Series A Convertible Note.</w:t>
            </w:r>
          </w:p>
        </w:tc>
      </w:tr>
    </w:tbl>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The registration fee is calculated in accordance with Rule 457(a) under the Securities Act of 1933, as amended (the “Securities Act”), based on the maximum aggregate offering price originally registered in the Prior Registration Statement. The registrant previously registered 5,221,451 shares of its common stock with an aggregate offering price of 32,754,162.12 on the Prior Registration Statement, which was declared effective by the Securities and Exchange Commission on January 20, 2026. In accordance with Rule 462(b) under the Securities Act, an additional amount of securities having a maximum aggregate offering price of $4,811,603.11 tis hereby registered, which includes shares of common stock maybe converted pursuant to the Series A Convertible Notes due to an adjustment in the Floor Price.</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2076</Words>
  <Characters>11066</Characters>
  <CharactersWithSpaces>13247</CharactersWithSpaces>
  <Paragraphs>491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