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power_8k.htm"/>
      <w:bookmarkStart w:id="1" w:name="ksipower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92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September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4" w:name="xdx_90D_edei--EntityRegistrantName_c2026"/>
      <w:bookmarkEnd w:id="4"/>
      <w:r>
        <w:rPr>
          <w:rFonts w:ascii="Times New Roman;Times;Serif" w:hAnsi="Times New Roman;Times;Serif"/>
          <w:b/>
          <w:i w:val="false"/>
          <w:caps w:val="false"/>
          <w:smallCaps w:val="false"/>
          <w:sz w:val="24"/>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sz w:val="20"/>
              </w:rPr>
            </w:pPr>
            <w:bookmarkStart w:id="5" w:name="xdx_901_edei--EntityIncorporationStateCo"/>
            <w:bookmarkEnd w:id="5"/>
            <w:r>
              <w:rPr>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sz w:val="20"/>
              </w:rPr>
            </w:pPr>
            <w:bookmarkStart w:id="6" w:name="xdx_90F_edei--EntityFileNumber_c20260921"/>
            <w:bookmarkEnd w:id="6"/>
            <w:r>
              <w:rPr>
                <w:sz w:val="20"/>
              </w:rPr>
              <w:t>001-40391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bookmarkStart w:id="7" w:name="xdx_902_edei--EntityTaxIdentificationNum"/>
            <w:bookmarkEnd w:id="7"/>
            <w:r>
              <w:rPr>
                <w:sz w:val="20"/>
              </w:rPr>
              <w:t>82-5144171</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9_edei--EntityAddressAddressLine1_"/>
      <w:bookmarkEnd w:id="8"/>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E_edei--EntityAddressCityOrTown_c2"/>
      <w:bookmarkEnd w:id="9"/>
      <w:r>
        <w:rPr>
          <w:rFonts w:ascii="Times New Roman;Times;Serif" w:hAnsi="Times New Roman;Times;Serif"/>
          <w:b w:val="false"/>
          <w:i w:val="false"/>
          <w:caps w:val="false"/>
          <w:smallCaps w:val="false"/>
          <w:sz w:val="20"/>
        </w:rPr>
        <w:t xml:space="preserve">Rancho Cucamonga, </w:t>
      </w:r>
      <w:bookmarkStart w:id="10" w:name="xdx_900_edei--EntityAddressStateOrProvin"/>
      <w:bookmarkEnd w:id="10"/>
      <w:r>
        <w:rPr>
          <w:rFonts w:ascii="Times New Roman;Times;Serif" w:hAnsi="Times New Roman;Times;Serif"/>
          <w:b w:val="false"/>
          <w:i w:val="false"/>
          <w:caps w:val="false"/>
          <w:smallCaps w:val="false"/>
          <w:sz w:val="20"/>
        </w:rPr>
        <w:t xml:space="preserve">CA </w:t>
      </w:r>
      <w:bookmarkStart w:id="11" w:name="xdx_90B_edei--EntityAddressPostalZipCode"/>
      <w:bookmarkEnd w:id="11"/>
      <w:r>
        <w:rPr>
          <w:rFonts w:ascii="Times New Roman;Times;Serif" w:hAnsi="Times New Roman;Times;Serif"/>
          <w:b w:val="false"/>
          <w:i w:val="false"/>
          <w:caps w:val="false"/>
          <w:smallCaps w:val="false"/>
          <w:sz w:val="20"/>
        </w:rPr>
        <w:t>91730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 w:name="xdx_90C_edei--CityAreaCode_c20260921__20"/>
      <w:bookmarkEnd w:id="12"/>
      <w:r>
        <w:rPr>
          <w:rFonts w:ascii="Times New Roman;Times;Serif" w:hAnsi="Times New Roman;Times;Serif"/>
          <w:b w:val="false"/>
          <w:i w:val="false"/>
          <w:caps w:val="false"/>
          <w:smallCaps w:val="false"/>
          <w:sz w:val="20"/>
        </w:rPr>
        <w:t xml:space="preserve">626) </w:t>
      </w:r>
      <w:bookmarkStart w:id="13" w:name="xdx_902_edei--LocalPhoneNumber_c20260921"/>
      <w:bookmarkEnd w:id="13"/>
      <w:r>
        <w:rPr>
          <w:rFonts w:ascii="Times New Roman;Times;Serif" w:hAnsi="Times New Roman;Times;Serif"/>
          <w:b w:val="false"/>
          <w:i w:val="false"/>
          <w:caps w:val="false"/>
          <w:smallCaps w:val="false"/>
          <w:sz w:val="20"/>
        </w:rPr>
        <w:t>863-7344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E_edei--WrittenCommunications_c202"/>
            <w:bookmarkEnd w:id="14"/>
            <w:r>
              <w:rPr/>
              <w:t>☐</w:t>
            </w:r>
          </w:p>
        </w:tc>
        <w:tc>
          <w:tcPr>
            <w:tcW w:w="906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3_edei--SolicitingMaterial_c202609"/>
            <w:bookmarkEnd w:id="15"/>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1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D_edei--PreCommencementIssuerTende"/>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7920" w:type="dxa"/>
        <w:jc w:val="left"/>
        <w:tblInd w:w="0" w:type="dxa"/>
        <w:tblLayout w:type="fixed"/>
        <w:tblCellMar>
          <w:top w:w="0" w:type="dxa"/>
          <w:left w:w="0" w:type="dxa"/>
          <w:bottom w:w="28" w:type="dxa"/>
          <w:right w:w="0" w:type="dxa"/>
        </w:tblCellMar>
      </w:tblPr>
      <w:tblGrid>
        <w:gridCol w:w="2675"/>
        <w:gridCol w:w="60"/>
        <w:gridCol w:w="1535"/>
        <w:gridCol w:w="60"/>
        <w:gridCol w:w="3590"/>
      </w:tblGrid>
      <w:tr>
        <w:trPr/>
        <w:tc>
          <w:tcPr>
            <w:tcW w:w="2675"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675" w:type="dxa"/>
            <w:tcBorders/>
            <w:tcMar>
              <w:bottom w:w="0" w:type="dxa"/>
            </w:tcMar>
            <w:vAlign w:val="center"/>
          </w:tcPr>
          <w:p>
            <w:pPr>
              <w:pStyle w:val="TableContents"/>
              <w:bidi w:val="0"/>
              <w:spacing w:before="0" w:after="283"/>
              <w:jc w:val="center"/>
              <w:rPr>
                <w:sz w:val="20"/>
              </w:rPr>
            </w:pPr>
            <w:bookmarkStart w:id="18" w:name="xdx_906_edei--Security12bTitle_c20260921"/>
            <w:bookmarkEnd w:id="18"/>
            <w:r>
              <w:rPr>
                <w:sz w:val="20"/>
              </w:rPr>
              <w:t>Common Stock $0.001 per share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bookmarkStart w:id="19" w:name="xdx_903_edei--TradingSymbol_c20260921__2"/>
            <w:bookmarkEnd w:id="19"/>
            <w:r>
              <w:rPr>
                <w:sz w:val="20"/>
              </w:rPr>
              <w:t>IPW</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sz w:val="20"/>
              </w:rPr>
            </w:pPr>
            <w:r>
              <w:rPr>
                <w:sz w:val="20"/>
              </w:rPr>
              <w:t>The</w:t>
            </w:r>
            <w:bookmarkStart w:id="20" w:name="xdx_907_edei--SecurityExchangeName_c2026"/>
            <w:bookmarkEnd w:id="20"/>
            <w:r>
              <w:rPr>
                <w:sz w:val="20"/>
              </w:rPr>
              <w:t xml:space="preserv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2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Submission of Matters to a Vote of Security 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the Company held a special meeting of stockholders (the “Special Meeting”) at which the Company’s stockholders considered three proposals, each of which is described in more detail in the Company’s definitive proxy statement filed with the Securities and Exchange Commission on September 8, 2026. At the Special Meeting there were a total of 6,427,376 votes eligible to be cast, with a total of 2,322,467 shares voted in person or by proxy, representing 36.13% of the votes eligible to be cast. The final voting results for each matter are set forth below.</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305" w:type="dxa"/>
        <w:jc w:val="left"/>
        <w:tblInd w:w="0" w:type="dxa"/>
        <w:shd w:fill="FFFFFF" w:val="clear"/>
        <w:tblLayout w:type="fixed"/>
        <w:tblCellMar>
          <w:top w:w="0" w:type="dxa"/>
          <w:left w:w="0" w:type="dxa"/>
          <w:bottom w:w="0" w:type="dxa"/>
          <w:right w:w="0" w:type="dxa"/>
        </w:tblCellMar>
      </w:tblPr>
      <w:tblGrid>
        <w:gridCol w:w="185"/>
        <w:gridCol w:w="2120"/>
      </w:tblGrid>
      <w:tr>
        <w:trPr/>
        <w:tc>
          <w:tcPr>
            <w:tcW w:w="185" w:type="dxa"/>
            <w:tcBorders/>
            <w:shd w:fill="FFFFFF" w:val="clear"/>
            <w:vAlign w:val="center"/>
          </w:tcPr>
          <w:p>
            <w:pPr>
              <w:pStyle w:val="TableContents"/>
              <w:bidi w:val="0"/>
              <w:spacing w:before="0" w:after="283"/>
              <w:jc w:val="left"/>
              <w:rPr>
                <w:b/>
                <w:sz w:val="20"/>
              </w:rPr>
            </w:pPr>
            <w:r>
              <w:rPr>
                <w:b/>
                <w:sz w:val="20"/>
              </w:rPr>
              <w:t>1.</w:t>
            </w:r>
          </w:p>
        </w:tc>
        <w:tc>
          <w:tcPr>
            <w:tcW w:w="2120" w:type="dxa"/>
            <w:tcBorders/>
            <w:shd w:fill="FFFFFF" w:val="clear"/>
            <w:vAlign w:val="center"/>
          </w:tcPr>
          <w:p>
            <w:pPr>
              <w:pStyle w:val="TableContents"/>
              <w:bidi w:val="0"/>
              <w:spacing w:before="0" w:after="283"/>
              <w:jc w:val="both"/>
              <w:rPr>
                <w:b/>
                <w:sz w:val="20"/>
              </w:rPr>
            </w:pPr>
            <w:r>
              <w:rPr>
                <w:b/>
                <w:sz w:val="20"/>
              </w:rPr>
              <w:t>Stock Offering Proposal.</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approved, for purposes of complying with Nasdaq Listing Rule 5635(d), the issuance of up to $10,000,000 of common stock in one or more private placements or public offerings, at a price that may be above, equal to or below the Nasdaq Minimum Price, in accordance with the voting results below.</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295" w:type="dxa"/>
        <w:jc w:val="left"/>
        <w:tblInd w:w="0" w:type="dxa"/>
        <w:tblLayout w:type="fixed"/>
        <w:tblCellMar>
          <w:top w:w="0" w:type="dxa"/>
          <w:left w:w="0" w:type="dxa"/>
          <w:bottom w:w="28" w:type="dxa"/>
          <w:right w:w="0" w:type="dxa"/>
        </w:tblCellMar>
      </w:tblPr>
      <w:tblGrid>
        <w:gridCol w:w="860"/>
        <w:gridCol w:w="60"/>
        <w:gridCol w:w="650"/>
        <w:gridCol w:w="60"/>
        <w:gridCol w:w="665"/>
      </w:tblGrid>
      <w:tr>
        <w:trPr/>
        <w:tc>
          <w:tcPr>
            <w:tcW w:w="860" w:type="dxa"/>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center"/>
              <w:rPr/>
            </w:pPr>
            <w:r>
              <w:rPr/>
              <w:t> </w:t>
            </w:r>
          </w:p>
        </w:tc>
        <w:tc>
          <w:tcPr>
            <w:tcW w:w="650" w:type="dxa"/>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8" w:space="0" w:color="000000"/>
            </w:tcBorders>
            <w:vAlign w:val="center"/>
          </w:tcPr>
          <w:p>
            <w:pPr>
              <w:pStyle w:val="TableContents"/>
              <w:bidi w:val="0"/>
              <w:spacing w:before="0" w:after="283"/>
              <w:jc w:val="center"/>
              <w:rPr>
                <w:sz w:val="20"/>
              </w:rPr>
            </w:pPr>
            <w:r>
              <w:rPr>
                <w:sz w:val="20"/>
              </w:rPr>
              <w:t>Abstain</w:t>
            </w:r>
          </w:p>
        </w:tc>
      </w:tr>
      <w:tr>
        <w:trPr/>
        <w:tc>
          <w:tcPr>
            <w:tcW w:w="860" w:type="dxa"/>
            <w:tcBorders/>
            <w:shd w:fill="CCEEFF" w:val="clear"/>
            <w:tcMar>
              <w:bottom w:w="0" w:type="dxa"/>
            </w:tcMar>
            <w:vAlign w:val="center"/>
          </w:tcPr>
          <w:p>
            <w:pPr>
              <w:pStyle w:val="TableContents"/>
              <w:bidi w:val="0"/>
              <w:spacing w:before="0" w:after="283"/>
              <w:jc w:val="right"/>
              <w:rPr>
                <w:sz w:val="20"/>
              </w:rPr>
            </w:pPr>
            <w:r>
              <w:rPr>
                <w:sz w:val="20"/>
              </w:rPr>
              <w:t>2,272,998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sz w:val="20"/>
              </w:rPr>
            </w:pPr>
            <w:r>
              <w:rPr>
                <w:sz w:val="20"/>
              </w:rPr>
              <w:t>49,465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sz w:val="20"/>
              </w:rPr>
            </w:pPr>
            <w:r>
              <w:rPr>
                <w:sz w:val="20"/>
              </w:rPr>
              <w:t>4</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shd w:fill="FFFFFF" w:val="clear"/>
        <w:tblLayout w:type="fixed"/>
        <w:tblCellMar>
          <w:top w:w="0" w:type="dxa"/>
          <w:left w:w="0" w:type="dxa"/>
          <w:bottom w:w="0" w:type="dxa"/>
          <w:right w:w="0" w:type="dxa"/>
        </w:tblCellMar>
      </w:tblPr>
      <w:tblGrid>
        <w:gridCol w:w="185"/>
        <w:gridCol w:w="2510"/>
      </w:tblGrid>
      <w:tr>
        <w:trPr/>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510" w:type="dxa"/>
            <w:tcBorders/>
            <w:shd w:fill="FFFFFF" w:val="cle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 Proposal.</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approved an amendment to the Company’s Sixth Amended and Restated Articles of Incorporation to effect, at the discretion of the Company’s board of directors, a reverse stock split of the Common Stock at a stock split ratio of up to 1-for-250, with the ultimate ratio to be determined by the Company’s board of directors, in its sole discretion, which may be implemented on one or more occasions, when and as needed, to allow the Company to maintain compliance with Nasdaq listing requirements, with the exact stock split ratio or ratios to be determined at the discretion of the Company’s board of directors, in accordance with the voting results below.</w:t>
      </w:r>
    </w:p>
    <w:p>
      <w:pPr>
        <w:pStyle w:val="TextBody"/>
        <w:bidi w:val="0"/>
        <w:spacing w:before="0" w:after="0"/>
        <w:ind w:left="0" w:right="0" w:hanging="0"/>
        <w:jc w:val="both"/>
        <w:rPr>
          <w:caps w:val="false"/>
          <w:smallCaps w:val="false"/>
        </w:rPr>
      </w:pPr>
      <w:r>
        <w:rPr>
          <w:caps w:val="false"/>
          <w:smallCaps w:val="false"/>
        </w:rPr>
        <w:t> </w:t>
      </w:r>
    </w:p>
    <w:tbl>
      <w:tblPr>
        <w:tblW w:w="2295" w:type="dxa"/>
        <w:jc w:val="left"/>
        <w:tblInd w:w="0" w:type="dxa"/>
        <w:tblLayout w:type="fixed"/>
        <w:tblCellMar>
          <w:top w:w="0" w:type="dxa"/>
          <w:left w:w="0" w:type="dxa"/>
          <w:bottom w:w="28" w:type="dxa"/>
          <w:right w:w="0" w:type="dxa"/>
        </w:tblCellMar>
      </w:tblPr>
      <w:tblGrid>
        <w:gridCol w:w="860"/>
        <w:gridCol w:w="60"/>
        <w:gridCol w:w="650"/>
        <w:gridCol w:w="60"/>
        <w:gridCol w:w="665"/>
      </w:tblGrid>
      <w:tr>
        <w:trPr/>
        <w:tc>
          <w:tcPr>
            <w:tcW w:w="860" w:type="dxa"/>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center"/>
              <w:rPr/>
            </w:pPr>
            <w:r>
              <w:rPr/>
              <w:t> </w:t>
            </w:r>
          </w:p>
        </w:tc>
        <w:tc>
          <w:tcPr>
            <w:tcW w:w="650" w:type="dxa"/>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8" w:space="0" w:color="000000"/>
            </w:tcBorders>
            <w:vAlign w:val="center"/>
          </w:tcPr>
          <w:p>
            <w:pPr>
              <w:pStyle w:val="TableContents"/>
              <w:bidi w:val="0"/>
              <w:spacing w:before="0" w:after="283"/>
              <w:jc w:val="center"/>
              <w:rPr>
                <w:sz w:val="20"/>
              </w:rPr>
            </w:pPr>
            <w:r>
              <w:rPr>
                <w:sz w:val="20"/>
              </w:rPr>
              <w:t>Abstain</w:t>
            </w:r>
          </w:p>
        </w:tc>
      </w:tr>
      <w:tr>
        <w:trPr/>
        <w:tc>
          <w:tcPr>
            <w:tcW w:w="860" w:type="dxa"/>
            <w:tcBorders/>
            <w:shd w:fill="CCEEFF" w:val="clear"/>
            <w:tcMar>
              <w:bottom w:w="0" w:type="dxa"/>
            </w:tcMar>
            <w:vAlign w:val="center"/>
          </w:tcPr>
          <w:p>
            <w:pPr>
              <w:pStyle w:val="TableContents"/>
              <w:bidi w:val="0"/>
              <w:spacing w:before="0" w:after="283"/>
              <w:jc w:val="right"/>
              <w:rPr>
                <w:sz w:val="20"/>
              </w:rPr>
            </w:pPr>
            <w:r>
              <w:rPr>
                <w:sz w:val="20"/>
              </w:rPr>
              <w:t>2,271,824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sz w:val="20"/>
              </w:rPr>
            </w:pPr>
            <w:r>
              <w:rPr>
                <w:sz w:val="20"/>
              </w:rPr>
              <w:t>50,639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sz w:val="20"/>
              </w:rPr>
            </w:pPr>
            <w:r>
              <w:rPr>
                <w:sz w:val="20"/>
              </w:rPr>
              <w:t>4</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185"/>
        <w:gridCol w:w="272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72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approved a Third Amended and Restated 2020 Equity Incentive Plan (a copy of which is attached as Exhibit 10.1 to this Current Report on Form 8-K and is incorporated herein by reference) to (i) adjust the total number of the Company’s shares reserved for issuance under the plan to 50,000,000 shares and (ii) adopt an evergreen provision providing for a 5% automatic annual increase in the shares of Common Stock available for issuance under the plan over a period of ten years, in accordance with the voting results below.</w:t>
      </w:r>
    </w:p>
    <w:p>
      <w:pPr>
        <w:pStyle w:val="TextBody"/>
        <w:bidi w:val="0"/>
        <w:spacing w:before="0" w:after="0"/>
        <w:ind w:left="0" w:right="0" w:hanging="0"/>
        <w:jc w:val="both"/>
        <w:rPr>
          <w:caps w:val="false"/>
          <w:smallCaps w:val="false"/>
        </w:rPr>
      </w:pPr>
      <w:r>
        <w:rPr>
          <w:caps w:val="false"/>
          <w:smallCaps w:val="false"/>
        </w:rPr>
        <w:t> </w:t>
      </w:r>
    </w:p>
    <w:tbl>
      <w:tblPr>
        <w:tblW w:w="2295" w:type="dxa"/>
        <w:jc w:val="left"/>
        <w:tblInd w:w="0" w:type="dxa"/>
        <w:tblLayout w:type="fixed"/>
        <w:tblCellMar>
          <w:top w:w="0" w:type="dxa"/>
          <w:left w:w="0" w:type="dxa"/>
          <w:bottom w:w="28" w:type="dxa"/>
          <w:right w:w="0" w:type="dxa"/>
        </w:tblCellMar>
      </w:tblPr>
      <w:tblGrid>
        <w:gridCol w:w="860"/>
        <w:gridCol w:w="60"/>
        <w:gridCol w:w="650"/>
        <w:gridCol w:w="60"/>
        <w:gridCol w:w="665"/>
      </w:tblGrid>
      <w:tr>
        <w:trPr/>
        <w:tc>
          <w:tcPr>
            <w:tcW w:w="860" w:type="dxa"/>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center"/>
              <w:rPr/>
            </w:pPr>
            <w:r>
              <w:rPr/>
              <w:t> </w:t>
            </w:r>
          </w:p>
        </w:tc>
        <w:tc>
          <w:tcPr>
            <w:tcW w:w="650" w:type="dxa"/>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8" w:space="0" w:color="000000"/>
            </w:tcBorders>
            <w:vAlign w:val="center"/>
          </w:tcPr>
          <w:p>
            <w:pPr>
              <w:pStyle w:val="TableContents"/>
              <w:bidi w:val="0"/>
              <w:spacing w:before="0" w:after="283"/>
              <w:jc w:val="center"/>
              <w:rPr>
                <w:sz w:val="20"/>
              </w:rPr>
            </w:pPr>
            <w:r>
              <w:rPr>
                <w:sz w:val="20"/>
              </w:rPr>
              <w:t>Abstain</w:t>
            </w:r>
          </w:p>
        </w:tc>
      </w:tr>
      <w:tr>
        <w:trPr/>
        <w:tc>
          <w:tcPr>
            <w:tcW w:w="860" w:type="dxa"/>
            <w:tcBorders/>
            <w:shd w:fill="CCEEFF" w:val="clear"/>
            <w:tcMar>
              <w:bottom w:w="0" w:type="dxa"/>
            </w:tcMar>
            <w:vAlign w:val="center"/>
          </w:tcPr>
          <w:p>
            <w:pPr>
              <w:pStyle w:val="TableContents"/>
              <w:bidi w:val="0"/>
              <w:spacing w:before="0" w:after="283"/>
              <w:jc w:val="right"/>
              <w:rPr>
                <w:sz w:val="20"/>
              </w:rPr>
            </w:pPr>
            <w:r>
              <w:rPr>
                <w:sz w:val="20"/>
              </w:rPr>
              <w:t>2,283,378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sz w:val="20"/>
              </w:rPr>
            </w:pPr>
            <w:r>
              <w:rPr>
                <w:sz w:val="20"/>
              </w:rPr>
              <w:t>39,085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sz w:val="20"/>
              </w:rPr>
            </w:pPr>
            <w:r>
              <w:rPr>
                <w:sz w:val="20"/>
              </w:rPr>
              <w:t>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center"/>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center"/>
              <w:rPr>
                <w:sz w:val="20"/>
              </w:rPr>
            </w:pPr>
            <w:r>
              <w:rPr>
                <w:sz w:val="20"/>
              </w:rPr>
              <w:t>10.1</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0"/>
              <w:ind w:left="0" w:right="0" w:hanging="0"/>
              <w:jc w:val="both"/>
              <w:rPr/>
            </w:pPr>
            <w:hyperlink w:anchor="ipower_ex1001.htm">
              <w:r>
                <w:rPr>
                  <w:rStyle w:val="InternetLink"/>
                  <w:rFonts w:ascii="Times New Roman;Times;Serif" w:hAnsi="Times New Roman;Times;Serif"/>
                  <w:b w:val="false"/>
                  <w:i w:val="false"/>
                  <w:caps w:val="false"/>
                  <w:smallCaps w:val="false"/>
                  <w:sz w:val="20"/>
                </w:rPr>
                <w:t>Third Amended and Restated 2020 Equity Incentive Plan</w:t>
              </w:r>
            </w:hyperlink>
          </w:p>
        </w:tc>
      </w:tr>
      <w:tr>
        <w:trPr/>
        <w:tc>
          <w:tcPr>
            <w:tcW w:w="995" w:type="dxa"/>
            <w:tcBorders/>
            <w:tcMar>
              <w:bottom w:w="0" w:type="dxa"/>
            </w:tcMar>
            <w:vAlign w:val="center"/>
          </w:tcPr>
          <w:p>
            <w:pPr>
              <w:pStyle w:val="TableContents"/>
              <w:bidi w:val="0"/>
              <w:spacing w:before="0" w:after="283"/>
              <w:jc w:val="center"/>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2240"/>
        <w:gridCol w:w="590"/>
        <w:gridCol w:w="1955"/>
      </w:tblGrid>
      <w:tr>
        <w:trPr/>
        <w:tc>
          <w:tcPr>
            <w:tcW w:w="2240"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sz w:val="20"/>
              </w:rPr>
            </w:pPr>
            <w:r>
              <w:rPr>
                <w:sz w:val="20"/>
              </w:rPr>
              <w:t>IPOWER, INC.</w:t>
            </w:r>
          </w:p>
        </w:tc>
      </w:tr>
      <w:tr>
        <w:trPr/>
        <w:tc>
          <w:tcPr>
            <w:tcW w:w="2240" w:type="dxa"/>
            <w:tcBorders/>
            <w:vAlign w:val="center"/>
          </w:tcPr>
          <w:p>
            <w:pPr>
              <w:pStyle w:val="TableContents"/>
              <w:bidi w:val="0"/>
              <w:spacing w:before="0" w:after="283"/>
              <w:jc w:val="left"/>
              <w:rPr>
                <w:sz w:val="20"/>
              </w:rPr>
            </w:pPr>
            <w:r>
              <w:rPr>
                <w:sz w:val="20"/>
              </w:rPr>
              <w:t>Dated: September 22, 2026</w:t>
            </w:r>
          </w:p>
        </w:tc>
        <w:tc>
          <w:tcPr>
            <w:tcW w:w="5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Chenlong Tan</w:t>
            </w:r>
          </w:p>
        </w:tc>
      </w:tr>
      <w:tr>
        <w:trPr/>
        <w:tc>
          <w:tcPr>
            <w:tcW w:w="224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955" w:type="dxa"/>
            <w:tcBorders/>
            <w:vAlign w:val="center"/>
          </w:tcPr>
          <w:p>
            <w:pPr>
              <w:pStyle w:val="TableContents"/>
              <w:bidi w:val="0"/>
              <w:spacing w:before="0" w:after="283"/>
              <w:jc w:val="left"/>
              <w:rPr>
                <w:sz w:val="20"/>
              </w:rPr>
            </w:pPr>
            <w:r>
              <w:rPr>
                <w:sz w:val="20"/>
              </w:rPr>
              <w:t>Chenlong Tan</w:t>
            </w:r>
          </w:p>
        </w:tc>
      </w:tr>
      <w:tr>
        <w:trPr/>
        <w:tc>
          <w:tcPr>
            <w:tcW w:w="224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ipower_ex1001.htm"/>
      <w:bookmarkStart w:id="24" w:name="ksipower_ex1001"/>
      <w:bookmarkEnd w:id="23"/>
      <w:bookmarkEnd w:id="24"/>
      <w:r>
        <w:rPr>
          <w:b/>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 2020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Purposes of the Plan</w:t>
      </w:r>
      <w:r>
        <w:rPr>
          <w:rFonts w:ascii="Times New Roman;Times;Serif" w:hAnsi="Times New Roman;Times;Serif"/>
          <w:b w:val="false"/>
          <w:i w:val="false"/>
          <w:caps w:val="false"/>
          <w:smallCaps w:val="false"/>
          <w:sz w:val="20"/>
        </w:rPr>
        <w:t>. The purposes of this Plan 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to attract and retain the best available personnel for positions of substantial responsibility,</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to provide incentives to individuals who perform services for the Company, and</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to promote the success of the Company’s business.</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permits the grant of Incentive Stock Options, Nonstatutory Stock Options, Stock Appreciation Rights, Restricted Stock, Restricted Stock Units, Performance Units, Performance Shares and other stock or cash awards as the Administrator may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amends and restates in its entirety the Company’s Amended and Restated 2020 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herein, the following definitions will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means the Board or any of its Committees as will be administering the Plan, in accordance with Section 4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corporation or any other entity (including, but not limited to, partnerships and joint ventures) controlling, controlled by, or under common control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means the requirements relating to the administration of equity-based awards under U.S. federal and state corporate laws, U.S. federal and state securities laws, the Code, any stock exchange or quotation system on which the Common Stock is listed or quoted and the applicable laws of any foreign country or jurisdiction where Awards are, or will be, granted under the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means, individually or collectively, a grant under the Plan of Options, Stock Appreciation Rights, Restricted Stock, Restricted Stock Units, Performance Units, Performance Shares and other stock or cash awards as the Administrator may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means the written agreement setting forth the terms and provisions applicable to each Award granted under the Plan. The Award Agreement is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the occurrence of any of the following events after the Effective Date: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6"/>
        <w:gridCol w:w="9979"/>
      </w:tblGrid>
      <w:tr>
        <w:trPr/>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both"/>
              <w:rPr/>
            </w:pPr>
            <w:r>
              <w:rPr/>
              <w:t>(i)</w:t>
            </w:r>
          </w:p>
        </w:tc>
        <w:tc>
          <w:tcPr>
            <w:tcW w:w="9979" w:type="dxa"/>
            <w:tcBorders/>
            <w:vAlign w:val="center"/>
          </w:tcPr>
          <w:p>
            <w:pPr>
              <w:pStyle w:val="TableContents"/>
              <w:bidi w:val="0"/>
              <w:spacing w:before="0" w:after="283"/>
              <w:jc w:val="both"/>
              <w:rPr/>
            </w:pPr>
            <w:r>
              <w:rPr/>
              <w:t>A change in the ownership of the Company which occurs on the date that any one person, or more than one person acting as a group (“</w:t>
            </w:r>
            <w:r>
              <w:rPr>
                <w:u w:val="single"/>
              </w:rPr>
              <w:t>Person</w:t>
            </w:r>
            <w:r>
              <w:rPr/>
              <w:t>”), acquires ownership of stock in the Company that, together with the stock already held by such Person, constitutes more than 50% of the total voting power of the stock of the Company; provided, however, that for purposes of this subsection (i), the acquisition of additional stock by any Person who is considered to own more than 50% of the total voting power of the stock of the Company before the acquisition will not be considered a Change in Control; or</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180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8"/>
        <w:gridCol w:w="9867"/>
      </w:tblGrid>
      <w:tr>
        <w:trPr/>
        <w:tc>
          <w:tcPr>
            <w:tcW w:w="6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both"/>
              <w:rPr/>
            </w:pPr>
            <w:r>
              <w:rPr/>
              <w:t>(ii)</w:t>
            </w:r>
          </w:p>
        </w:tc>
        <w:tc>
          <w:tcPr>
            <w:tcW w:w="9867" w:type="dxa"/>
            <w:tcBorders/>
            <w:vAlign w:val="center"/>
          </w:tcPr>
          <w:p>
            <w:pPr>
              <w:pStyle w:val="TableContents"/>
              <w:bidi w:val="0"/>
              <w:spacing w:before="0" w:after="283"/>
              <w:jc w:val="both"/>
              <w:rPr/>
            </w:pPr>
            <w:r>
              <w:rPr/>
              <w:t>The individuals who constitute the members of the Board cease, by reason of a financing, merger, combination, acquisition, takeover or other non-ordinary course transaction affecting the Company, to constitute at least fifty-one percent (51%) of the members of the Board; or</w:t>
            </w:r>
          </w:p>
        </w:tc>
      </w:tr>
      <w:tr>
        <w:trPr/>
        <w:tc>
          <w:tcPr>
            <w:tcW w:w="6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both"/>
              <w:rPr/>
            </w:pPr>
            <w:r>
              <w:rPr/>
              <w:t> </w:t>
            </w:r>
          </w:p>
        </w:tc>
        <w:tc>
          <w:tcPr>
            <w:tcW w:w="986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both"/>
              <w:rPr/>
            </w:pPr>
            <w:r>
              <w:rPr/>
              <w:t>(iii)</w:t>
            </w:r>
          </w:p>
        </w:tc>
        <w:tc>
          <w:tcPr>
            <w:tcW w:w="9867" w:type="dxa"/>
            <w:tcBorders/>
            <w:vAlign w:val="center"/>
          </w:tcPr>
          <w:p>
            <w:pPr>
              <w:pStyle w:val="TableContents"/>
              <w:bidi w:val="0"/>
              <w:spacing w:before="0" w:after="283"/>
              <w:jc w:val="both"/>
              <w:rPr/>
            </w:pPr>
            <w:r>
              <w:rPr/>
              <w:t>The consummation of any of the following events: (A) 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or (B) a merger, consolidation or reorganization involving the Company, where either or both of the events described in clauses (i) or (ii) above would be the result. For purposes of this subsection (iii), the following will not constitute a change in the ownership of a substantial portion of the Company’s assets or a Change in Control: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equity or voting power of which is owned, directly or indirectly, by a Person described in subsection (iii)(B)(3) above. For purposes of this subsection (iii), gross fair market value means the value of the assets of the Company, or the value of the assets being disposed of, determined without regard to any liabilities associated with such assets.</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2(g), persons will be considered to be acting as a group if they are owners of a corporation or other entity that enters into a merger, consolidation, purchase or acquisition of stock, or similar business transaction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Any reference to a section of the Code herein will be a reference to any successor or amended section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a committee of Directors or of other individuals satisfying Applicable Laws appointed by the Board in accordance with Section 4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par value $0.001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i w:val="false"/>
          <w:caps w:val="false"/>
          <w:smallCaps w:val="false"/>
          <w:sz w:val="20"/>
        </w:rPr>
        <w:t>iPower Inc</w:t>
      </w:r>
      <w:r>
        <w:rPr>
          <w:rFonts w:ascii="Times New Roman;Times;Serif" w:hAnsi="Times New Roman;Times;Serif"/>
          <w:b w:val="false"/>
          <w:i w:val="false"/>
          <w:caps w:val="false"/>
          <w:smallCaps w:val="false"/>
          <w:sz w:val="20"/>
        </w:rPr>
        <w:t>., a Nevada corporation,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means any person, including an advisor, other than an Employee engaged by the Company or a Parent, Subsidiary or Affiliate to render services to such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means permanent and total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have the meaning set forth in Section 17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means any person, including Officers and Directors, other than a Consultant employed by the Company or any Parent, Subsidiary or Affiliate of the Company. Neither service as a Director nor payment of a director’s fee by the Company will be sufficient to constitute “employment”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Exchange Program</w:t>
      </w:r>
      <w:r>
        <w:rPr>
          <w:rFonts w:ascii="Times New Roman;Times;Serif" w:hAnsi="Times New Roman;Times;Serif"/>
          <w:b w:val="false"/>
          <w:i w:val="false"/>
          <w:caps w:val="false"/>
          <w:smallCaps w:val="false"/>
          <w:sz w:val="20"/>
        </w:rPr>
        <w:t>” means a program under which (i) outstanding Awards are surrendered or cancelled in exchange for Awards of the same type (which may have lower exercise prices and different terms), Awards of a different type, and/or cash, and/or (ii) the exercise price of an outstanding Award is reduced. The Administrator will determine the terms and conditions of any Exchange Program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means, as of any date, the value of the Common Stock as the Administrator may determine in good faith, by reference to the closing price of such stock on any established stock exchange or on a national market system on the day of determination, if the Common Stock is so listed on any established stock exchange or on a national market system. If the Common Stock is not listed on any established stock exchange or on a national market system, the value of the Common Stock will be determined as the Administrator may determine in good faith using (i) a valuation methodology set forth in Treasury Regulation 1.409A-1(b)(5)(iv)(B) or (ii) with respect to valuations applicable to Awards that are not subject to Code Section 409A, such other valuation methods as the Administrator may select.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means the fiscal year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means an Option that by its terms qualifies and is otherwise intended to qualify as an incentive stock option within the meaning of Section 422 of the Code and the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Nonstatutory Stock Option</w:t>
      </w:r>
      <w:r>
        <w:rPr>
          <w:rFonts w:ascii="Times New Roman;Times;Serif" w:hAnsi="Times New Roman;Times;Serif"/>
          <w:b w:val="false"/>
          <w:i w:val="false"/>
          <w:caps w:val="false"/>
          <w:smallCaps w:val="false"/>
          <w:sz w:val="20"/>
        </w:rPr>
        <w:t>” means an Option that by its terms does not qualify or expressly provides that it is not intended to qualify as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means a person who is an officer of the Company within the meaning of Section 16 of the Exchange Act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means a stock option granted pursuant to Section 6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means a “parent corporation,” whether now or hereafter existing, as defined in Section 424(e)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the holder of an outstanding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Performance Goals</w:t>
      </w:r>
      <w:r>
        <w:rPr>
          <w:rFonts w:ascii="Times New Roman;Times;Serif" w:hAnsi="Times New Roman;Times;Serif"/>
          <w:b w:val="false"/>
          <w:i w:val="false"/>
          <w:caps w:val="false"/>
          <w:smallCaps w:val="false"/>
          <w:sz w:val="20"/>
        </w:rPr>
        <w:t>” will have the meaning set forth in Section 11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Performance Period</w:t>
      </w:r>
      <w:r>
        <w:rPr>
          <w:rFonts w:ascii="Times New Roman;Times;Serif" w:hAnsi="Times New Roman;Times;Serif"/>
          <w:b w:val="false"/>
          <w:i w:val="false"/>
          <w:caps w:val="false"/>
          <w:smallCaps w:val="false"/>
          <w:sz w:val="20"/>
        </w:rPr>
        <w:t>” means any Fiscal Year of the Company or such other period as determined by the Administrator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Performance Share</w:t>
      </w:r>
      <w:r>
        <w:rPr>
          <w:rFonts w:ascii="Times New Roman;Times;Serif" w:hAnsi="Times New Roman;Times;Serif"/>
          <w:b w:val="false"/>
          <w:i w:val="false"/>
          <w:caps w:val="false"/>
          <w:smallCaps w:val="false"/>
          <w:sz w:val="20"/>
        </w:rPr>
        <w:t>” means an Award denominated in Shares which may be earned in whole or in part upon attainment of Performance Goals or other vesting criteria as the Administrator may determine pursuant to Section 10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Performance Unit</w:t>
      </w:r>
      <w:r>
        <w:rPr>
          <w:rFonts w:ascii="Times New Roman;Times;Serif" w:hAnsi="Times New Roman;Times;Serif"/>
          <w:b w:val="false"/>
          <w:i w:val="false"/>
          <w:caps w:val="false"/>
          <w:smallCaps w:val="false"/>
          <w:sz w:val="20"/>
        </w:rPr>
        <w:t>” means an Award which may be earned in whole or in part upon attainment of Performance Goals or other vesting criteria as the Administrator may determine and which may be settled for cash, Shares or other securities or a combination of the foregoing pursuant to Section 10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Period of Restriction</w:t>
      </w:r>
      <w:r>
        <w:rPr>
          <w:rFonts w:ascii="Times New Roman;Times;Serif" w:hAnsi="Times New Roman;Times;Serif"/>
          <w:b w:val="false"/>
          <w:i w:val="false"/>
          <w:caps w:val="false"/>
          <w:smallCaps w:val="false"/>
          <w:sz w:val="20"/>
        </w:rPr>
        <w:t>” means the period during which transfers of Shares of Restricted Stock are subject to restrictions and, therefore, the Shares are subject to a substantial risk of forfeiture. Such restrictions may be based on the passage of time, the achievement of target levels of performance, or the occurrence of other events specified in the applicable Award, as interpreted and construed by the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this Second Amended and Restated iPower Inc. 2020 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means Shares issued pursuant to an Award of Restricted Stock under Section 8 hereof, or issued pursuant to the early exercise of an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Restricted Stock Unit</w:t>
      </w:r>
      <w:r>
        <w:rPr>
          <w:rFonts w:ascii="Times New Roman;Times;Serif" w:hAnsi="Times New Roman;Times;Serif"/>
          <w:b w:val="false"/>
          <w:i w:val="false"/>
          <w:caps w:val="false"/>
          <w:smallCaps w:val="false"/>
          <w:sz w:val="20"/>
        </w:rPr>
        <w:t>” means a bookkeeping entry representing an amount equal to the Fair Market Value of one Share, granted pursuant to Section 9 hereof. Each Restricted Stock Unit represents an unfunded and unsecured obligation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means Rule 16b-3 of the Exchange Act or any successor to Rule 16b-3, as in effect when discretion is being exercised with respect to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means Section 16(b)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Service Provider</w:t>
      </w:r>
      <w:r>
        <w:rPr>
          <w:rFonts w:ascii="Times New Roman;Times;Serif" w:hAnsi="Times New Roman;Times;Serif"/>
          <w:b w:val="false"/>
          <w:i w:val="false"/>
          <w:caps w:val="false"/>
          <w:smallCaps w:val="false"/>
          <w:sz w:val="20"/>
        </w:rPr>
        <w:t>” means an Employee, Director, or Consultant.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means a share of the Common Stock, as adjusted in accordance with Section 14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Stock Appreciation Right</w:t>
      </w:r>
      <w:r>
        <w:rPr>
          <w:rFonts w:ascii="Times New Roman;Times;Serif" w:hAnsi="Times New Roman;Times;Serif"/>
          <w:b w:val="false"/>
          <w:i w:val="false"/>
          <w:caps w:val="false"/>
          <w:smallCaps w:val="false"/>
          <w:sz w:val="20"/>
        </w:rPr>
        <w:t>” means an Award, granted alone or in connection with an Option, that pursuant to Section 7 is designated as a Stock Appreciation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 “subsidiary corporation,” whether now or hereafter existing, as defined in Section 424(f)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Stock Subject to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Section 14 hereof, the maximum aggregate number of Shares that may be awarded and sold under the Plan is FIFTY MILLION (50,000,000) Shares. The Shares may be authorized, but unissued, or reacquired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Lapsed Awards</w:t>
      </w:r>
      <w:r>
        <w:rPr>
          <w:rFonts w:ascii="Times New Roman;Times;Serif" w:hAnsi="Times New Roman;Times;Serif"/>
          <w:b w:val="false"/>
          <w:i w:val="false"/>
          <w:caps w:val="false"/>
          <w:smallCaps w:val="false"/>
          <w:sz w:val="20"/>
        </w:rPr>
        <w:t>. If an Award expires or becomes unexercisable without having been exercised in full, or, with respect to Restricted Stock, Restricted Stock Units, Performance Shares or Performance Units, is forfeited to or repurchased by the Company, the unpurchased Shares (or for Awards other than Options and Stock Appreciation Rights, the forfeited or repurchased Shares) which were subject thereto will become available for future grant or sale under the Plan (unless the Plan has terminated). Upon exercise of a Stock Appreciation Right settled in Shares, the gross number of Shares covered by the portion of the Award so settled will cease to be available under the Plan. Shares that have actually been issued under the Plan under any Award will not be returned to the Plan and will not become available for future distribution under the Plan; provided, however, that if unvested Shares of Restricted Stock, Restricted Stock Units, Performance Shares or Performance Units are repurchased by the Company or are forfeited to the Company, such Shares will become available for future grant under the Plan. Shares subject to an Award that are transferred to or retained by the Company to pay the tax and/or exercise price of an Award will become available for future grant or sale under the Plan. To the extent an Award under the Plan is paid out in cash rather than Shares, such cash payment will not result in reducing the number of Shares available for issuance under the Plan and, for the elimination of doubt, the number of Shares of equal value to such cash payment shall become available for future grant or sale under the Plan. Notwithstanding the foregoing provisions of this Section 3(b), subject to adjustment provided in Section 14 hereof, the maximum number of Shares that may be issued upon the exercise of Incentive Stock Options will equal the aggregate Share number stated in Section 3(a) above, plus, to the extent allowable under Section 422 of the Code, any Shares that become available for issuance under the Plan under this Section 3(b).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Share Reserve</w:t>
      </w:r>
      <w:r>
        <w:rPr>
          <w:rFonts w:ascii="Times New Roman;Times;Serif" w:hAnsi="Times New Roman;Times;Serif"/>
          <w:b w:val="false"/>
          <w:i w:val="false"/>
          <w:caps w:val="false"/>
          <w:smallCaps w:val="false"/>
          <w:sz w:val="20"/>
        </w:rPr>
        <w:t>. The Company, during the term of this Plan, will at all times reserve and keep available such number of Shares as will be sufficient to satisfy the requirements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Evergreen Provision</w:t>
      </w:r>
      <w:r>
        <w:rPr>
          <w:rFonts w:ascii="Times New Roman;Times;Serif" w:hAnsi="Times New Roman;Times;Serif"/>
          <w:b w:val="false"/>
          <w:i w:val="false"/>
          <w:caps w:val="false"/>
          <w:smallCaps w:val="false"/>
          <w:sz w:val="20"/>
        </w:rPr>
        <w:t>. In addition to subpart (a) above, the number of shares of Common Stock in the Share Reserve and available for issuance under the Plan shall automatically increase on January 1st of each year for a period of ten years commencing on January 1, 2027 and ending on (and including) January 1, 2033, in an amount equal to five percent (5%) of the total number of shares of Common Stock outstanding on December 31st of the preceding calendar year. Notwithstanding the foregoing, the Board may act prior to the first day of any calendar year, to provide that there shall be no increase in the Share Reserve for such calendar year or that the increase in the Share Reserve for such calendar year shall be a lesser number of shares of Common Stock than would otherwise occur pursuant to the preceding sentence. For clarity, the Share Reserve in this Section 3(d) is a limitation on the number of shares of Common Stock that may be issued pursuant to the Plan. Accordingly, this Section 3(d) does not limit the granting of Stock Awards outside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Administration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8"/>
        <w:gridCol w:w="9847"/>
      </w:tblGrid>
      <w:tr>
        <w:trPr/>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both"/>
              <w:rPr/>
            </w:pPr>
            <w:r>
              <w:rPr/>
              <w:t>(i)</w:t>
            </w:r>
          </w:p>
        </w:tc>
        <w:tc>
          <w:tcPr>
            <w:tcW w:w="9847" w:type="dxa"/>
            <w:tcBorders/>
            <w:vAlign w:val="center"/>
          </w:tcPr>
          <w:p>
            <w:pPr>
              <w:pStyle w:val="TableContents"/>
              <w:bidi w:val="0"/>
              <w:spacing w:before="0" w:after="283"/>
              <w:jc w:val="both"/>
              <w:rPr/>
            </w:pPr>
            <w:r>
              <w:rPr>
                <w:u w:val="single"/>
              </w:rPr>
              <w:t>Multiple Administrative Bodies</w:t>
            </w:r>
            <w:r>
              <w:rPr/>
              <w:t>. Different Committees may be established with respect to different groups of Service Providers; in that event, the Committee established with respect to a group of Service Providers shall administer the Plan with respect to Awards granted to members of such group.</w:t>
            </w:r>
          </w:p>
        </w:tc>
      </w:tr>
      <w:tr>
        <w:trPr/>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both"/>
              <w:rPr/>
            </w:pPr>
            <w:r>
              <w:rPr/>
              <w:t> </w:t>
            </w:r>
          </w:p>
        </w:tc>
        <w:tc>
          <w:tcPr>
            <w:tcW w:w="984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both"/>
              <w:rPr/>
            </w:pPr>
            <w:r>
              <w:rPr/>
              <w:t>(ii)</w:t>
            </w:r>
          </w:p>
        </w:tc>
        <w:tc>
          <w:tcPr>
            <w:tcW w:w="9847" w:type="dxa"/>
            <w:tcBorders/>
            <w:vAlign w:val="center"/>
          </w:tcPr>
          <w:p>
            <w:pPr>
              <w:pStyle w:val="TableContents"/>
              <w:bidi w:val="0"/>
              <w:spacing w:before="0" w:after="283"/>
              <w:jc w:val="both"/>
              <w:rPr/>
            </w:pPr>
            <w:r>
              <w:rPr>
                <w:u w:val="single"/>
              </w:rPr>
              <w:t>Rule 16b-3</w:t>
            </w:r>
            <w:r>
              <w:rPr/>
              <w:t>. To the extent desirable to qualify transactions hereunder as exempt under Rule 16b-3, the transactions contemplated hereunder will be structured to satisfy the requirements for exemption under Rule 16b-3.</w:t>
            </w:r>
          </w:p>
        </w:tc>
      </w:tr>
      <w:tr>
        <w:trPr/>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both"/>
              <w:rPr/>
            </w:pPr>
            <w:r>
              <w:rPr/>
              <w:t> </w:t>
            </w:r>
          </w:p>
        </w:tc>
        <w:tc>
          <w:tcPr>
            <w:tcW w:w="984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both"/>
              <w:rPr/>
            </w:pPr>
            <w:r>
              <w:rPr/>
              <w:t>(iii)</w:t>
            </w:r>
          </w:p>
        </w:tc>
        <w:tc>
          <w:tcPr>
            <w:tcW w:w="9847" w:type="dxa"/>
            <w:tcBorders/>
            <w:vAlign w:val="center"/>
          </w:tcPr>
          <w:p>
            <w:pPr>
              <w:pStyle w:val="TableContents"/>
              <w:bidi w:val="0"/>
              <w:spacing w:before="0" w:after="283"/>
              <w:jc w:val="both"/>
              <w:rPr/>
            </w:pPr>
            <w:r>
              <w:rPr>
                <w:u w:val="single"/>
              </w:rPr>
              <w:t>Other Administration</w:t>
            </w:r>
            <w:r>
              <w:rPr/>
              <w:t>. Other than as provided above, the Plan will be administered by (A) the Board or (B) a Committee, which committee will be constituted to satisfy Applicable Laws.</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Powers of the Administrator</w:t>
      </w:r>
      <w:r>
        <w:rPr>
          <w:rFonts w:ascii="Times New Roman;Times;Serif" w:hAnsi="Times New Roman;Times;Serif"/>
          <w:b w:val="false"/>
          <w:i w:val="false"/>
          <w:caps w:val="false"/>
          <w:smallCaps w:val="false"/>
          <w:sz w:val="20"/>
        </w:rPr>
        <w:t>. Subject to the provisions of the Plan, and in the case of a Committee, subject to the specific duties delegated by the Board to such Committee, the Administrator will have the authority, in its discretion: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16"/>
        <w:gridCol w:w="9729"/>
      </w:tblGrid>
      <w:tr>
        <w:trPr/>
        <w:tc>
          <w:tcPr>
            <w:tcW w:w="6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both"/>
              <w:rPr/>
            </w:pPr>
            <w:r>
              <w:rPr/>
              <w:t>(i)</w:t>
            </w:r>
          </w:p>
        </w:tc>
        <w:tc>
          <w:tcPr>
            <w:tcW w:w="9729" w:type="dxa"/>
            <w:tcBorders/>
            <w:vAlign w:val="center"/>
          </w:tcPr>
          <w:p>
            <w:pPr>
              <w:pStyle w:val="TableContents"/>
              <w:bidi w:val="0"/>
              <w:spacing w:before="0" w:after="283"/>
              <w:jc w:val="both"/>
              <w:rPr/>
            </w:pPr>
            <w:r>
              <w:rPr/>
              <w:t>to determine Fair Market Value;</w:t>
            </w:r>
          </w:p>
        </w:tc>
      </w:tr>
      <w:tr>
        <w:trPr/>
        <w:tc>
          <w:tcPr>
            <w:tcW w:w="6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both"/>
              <w:rPr/>
            </w:pPr>
            <w:r>
              <w:rPr/>
              <w:t> </w:t>
            </w:r>
          </w:p>
        </w:tc>
        <w:tc>
          <w:tcPr>
            <w:tcW w:w="972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both"/>
              <w:rPr/>
            </w:pPr>
            <w:r>
              <w:rPr/>
              <w:t>(ii)</w:t>
            </w:r>
          </w:p>
        </w:tc>
        <w:tc>
          <w:tcPr>
            <w:tcW w:w="9729" w:type="dxa"/>
            <w:tcBorders/>
            <w:vAlign w:val="center"/>
          </w:tcPr>
          <w:p>
            <w:pPr>
              <w:pStyle w:val="TableContents"/>
              <w:bidi w:val="0"/>
              <w:spacing w:before="0" w:after="283"/>
              <w:jc w:val="both"/>
              <w:rPr/>
            </w:pPr>
            <w:r>
              <w:rPr/>
              <w:t>to select the Service Providers to whom Awards may be granted hereunder;</w:t>
            </w:r>
          </w:p>
        </w:tc>
      </w:tr>
      <w:tr>
        <w:trPr/>
        <w:tc>
          <w:tcPr>
            <w:tcW w:w="6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both"/>
              <w:rPr/>
            </w:pPr>
            <w:r>
              <w:rPr/>
              <w:t> </w:t>
            </w:r>
          </w:p>
        </w:tc>
        <w:tc>
          <w:tcPr>
            <w:tcW w:w="972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both"/>
              <w:rPr/>
            </w:pPr>
            <w:r>
              <w:rPr/>
              <w:t>(iii)</w:t>
            </w:r>
          </w:p>
        </w:tc>
        <w:tc>
          <w:tcPr>
            <w:tcW w:w="9729" w:type="dxa"/>
            <w:tcBorders/>
            <w:vAlign w:val="center"/>
          </w:tcPr>
          <w:p>
            <w:pPr>
              <w:pStyle w:val="TableContents"/>
              <w:bidi w:val="0"/>
              <w:spacing w:before="0" w:after="283"/>
              <w:jc w:val="both"/>
              <w:rPr/>
            </w:pPr>
            <w:r>
              <w:rPr/>
              <w:t>to determine the terms and condition, not inconsistent with the terms of the Plan, of any Award granted hereunder;</w:t>
            </w:r>
          </w:p>
        </w:tc>
      </w:tr>
      <w:tr>
        <w:trPr/>
        <w:tc>
          <w:tcPr>
            <w:tcW w:w="6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both"/>
              <w:rPr/>
            </w:pPr>
            <w:r>
              <w:rPr/>
              <w:t> </w:t>
            </w:r>
          </w:p>
        </w:tc>
        <w:tc>
          <w:tcPr>
            <w:tcW w:w="972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both"/>
              <w:rPr/>
            </w:pPr>
            <w:r>
              <w:rPr/>
              <w:t>(iv)</w:t>
            </w:r>
          </w:p>
        </w:tc>
        <w:tc>
          <w:tcPr>
            <w:tcW w:w="9729" w:type="dxa"/>
            <w:tcBorders/>
            <w:vAlign w:val="center"/>
          </w:tcPr>
          <w:p>
            <w:pPr>
              <w:pStyle w:val="TableContents"/>
              <w:bidi w:val="0"/>
              <w:spacing w:before="0" w:after="283"/>
              <w:jc w:val="both"/>
              <w:rPr/>
            </w:pPr>
            <w:r>
              <w:rPr/>
              <w:t>to institute an Exchange Program and to determine the terms and conditions, not inconsistent with the terms of the Plan, for (1) the surrender or cancellation of outstanding Awards in exchange for Awards of the same type, Awards of a different type, and/or cash, or (2) the reduction of the exercise price of outstanding Awards;</w:t>
            </w:r>
          </w:p>
        </w:tc>
      </w:tr>
      <w:tr>
        <w:trPr/>
        <w:tc>
          <w:tcPr>
            <w:tcW w:w="6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both"/>
              <w:rPr/>
            </w:pPr>
            <w:r>
              <w:rPr/>
              <w:t> </w:t>
            </w:r>
          </w:p>
        </w:tc>
        <w:tc>
          <w:tcPr>
            <w:tcW w:w="972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both"/>
              <w:rPr/>
            </w:pPr>
            <w:r>
              <w:rPr/>
              <w:t>(v)</w:t>
            </w:r>
          </w:p>
        </w:tc>
        <w:tc>
          <w:tcPr>
            <w:tcW w:w="9729" w:type="dxa"/>
            <w:tcBorders/>
            <w:vAlign w:val="center"/>
          </w:tcPr>
          <w:p>
            <w:pPr>
              <w:pStyle w:val="TableContents"/>
              <w:bidi w:val="0"/>
              <w:spacing w:before="0" w:after="283"/>
              <w:jc w:val="both"/>
              <w:rPr/>
            </w:pPr>
            <w:r>
              <w:rPr/>
              <w:t>to construe and interpret the terms of the Plan and Awards granted pursuant to the Plan;</w:t>
            </w:r>
          </w:p>
        </w:tc>
      </w:tr>
      <w:tr>
        <w:trPr/>
        <w:tc>
          <w:tcPr>
            <w:tcW w:w="6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both"/>
              <w:rPr/>
            </w:pPr>
            <w:r>
              <w:rPr/>
              <w:t> </w:t>
            </w:r>
          </w:p>
        </w:tc>
        <w:tc>
          <w:tcPr>
            <w:tcW w:w="972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both"/>
              <w:rPr/>
            </w:pPr>
            <w:r>
              <w:rPr/>
              <w:t>(vi)</w:t>
            </w:r>
          </w:p>
        </w:tc>
        <w:tc>
          <w:tcPr>
            <w:tcW w:w="9729" w:type="dxa"/>
            <w:tcBorders/>
            <w:vAlign w:val="center"/>
          </w:tcPr>
          <w:p>
            <w:pPr>
              <w:pStyle w:val="TableContents"/>
              <w:bidi w:val="0"/>
              <w:spacing w:before="0" w:after="283"/>
              <w:jc w:val="both"/>
              <w:rPr/>
            </w:pPr>
            <w:r>
              <w:rPr/>
              <w:t>to prescribe, amend and rescind rules and regulations relating to the Plan, including rules and regulations relating to sub-plans established for the purpose of satisfying applicable foreign laws;</w:t>
            </w:r>
          </w:p>
        </w:tc>
      </w:tr>
      <w:tr>
        <w:trPr/>
        <w:tc>
          <w:tcPr>
            <w:tcW w:w="6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both"/>
              <w:rPr/>
            </w:pPr>
            <w:r>
              <w:rPr/>
              <w:t> </w:t>
            </w:r>
          </w:p>
        </w:tc>
        <w:tc>
          <w:tcPr>
            <w:tcW w:w="972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both"/>
              <w:rPr/>
            </w:pPr>
            <w:r>
              <w:rPr/>
              <w:t>(vii)</w:t>
            </w:r>
          </w:p>
        </w:tc>
        <w:tc>
          <w:tcPr>
            <w:tcW w:w="9729" w:type="dxa"/>
            <w:tcBorders/>
            <w:vAlign w:val="center"/>
          </w:tcPr>
          <w:p>
            <w:pPr>
              <w:pStyle w:val="TableContents"/>
              <w:bidi w:val="0"/>
              <w:spacing w:before="0" w:after="283"/>
              <w:jc w:val="both"/>
              <w:rPr/>
            </w:pPr>
            <w:r>
              <w:rPr/>
              <w:t>to modify or amend each Award (subject to Section 19(c) hereof);</w:t>
            </w:r>
          </w:p>
        </w:tc>
      </w:tr>
      <w:tr>
        <w:trPr/>
        <w:tc>
          <w:tcPr>
            <w:tcW w:w="6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both"/>
              <w:rPr/>
            </w:pPr>
            <w:r>
              <w:rPr/>
              <w:t> </w:t>
            </w:r>
          </w:p>
        </w:tc>
        <w:tc>
          <w:tcPr>
            <w:tcW w:w="972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both"/>
              <w:rPr/>
            </w:pPr>
            <w:r>
              <w:rPr/>
              <w:t>(viii)</w:t>
            </w:r>
          </w:p>
        </w:tc>
        <w:tc>
          <w:tcPr>
            <w:tcW w:w="9729" w:type="dxa"/>
            <w:tcBorders/>
            <w:vAlign w:val="center"/>
          </w:tcPr>
          <w:p>
            <w:pPr>
              <w:pStyle w:val="TableContents"/>
              <w:bidi w:val="0"/>
              <w:spacing w:before="0" w:after="283"/>
              <w:jc w:val="both"/>
              <w:rPr/>
            </w:pPr>
            <w:r>
              <w:rPr/>
              <w:t>to authorize any person to execute on behalf of the Company any instrument required to reflect or implement the grant of an Award previously granted by the Administrator;</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180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6"/>
        <w:gridCol w:w="9849"/>
      </w:tblGrid>
      <w:tr>
        <w:trPr/>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both"/>
              <w:rPr/>
            </w:pPr>
            <w:r>
              <w:rPr/>
              <w:t>(ix)</w:t>
            </w:r>
          </w:p>
        </w:tc>
        <w:tc>
          <w:tcPr>
            <w:tcW w:w="9849" w:type="dxa"/>
            <w:tcBorders/>
            <w:vAlign w:val="center"/>
          </w:tcPr>
          <w:p>
            <w:pPr>
              <w:pStyle w:val="TableContents"/>
              <w:bidi w:val="0"/>
              <w:spacing w:before="0" w:after="283"/>
              <w:jc w:val="both"/>
              <w:rPr/>
            </w:pPr>
            <w:r>
              <w:rPr/>
              <w:t>to allow a Participant to defer the receipt of the payment of cash or the delivery of Shares that would otherwise be due to such Participant under an Award pursuant to such procedures as the Administrator may determine consistent with the requirements for compliance with or exemption from the provisions of Code Section 409A; and</w:t>
            </w:r>
          </w:p>
        </w:tc>
      </w:tr>
      <w:tr>
        <w:trPr/>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both"/>
              <w:rPr/>
            </w:pPr>
            <w:r>
              <w:rPr/>
              <w:t> </w:t>
            </w:r>
          </w:p>
        </w:tc>
        <w:tc>
          <w:tcPr>
            <w:tcW w:w="984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both"/>
              <w:rPr/>
            </w:pPr>
            <w:r>
              <w:rPr/>
              <w:t>(x)</w:t>
            </w:r>
          </w:p>
        </w:tc>
        <w:tc>
          <w:tcPr>
            <w:tcW w:w="9849" w:type="dxa"/>
            <w:tcBorders/>
            <w:vAlign w:val="center"/>
          </w:tcPr>
          <w:p>
            <w:pPr>
              <w:pStyle w:val="TableContents"/>
              <w:bidi w:val="0"/>
              <w:spacing w:before="0" w:after="283"/>
              <w:jc w:val="both"/>
              <w:rPr/>
            </w:pPr>
            <w:r>
              <w:rPr/>
              <w:t>to make all other determinations deemed necessary or advisable for administering the Plan.</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Effect of Administrator’s Decision</w:t>
      </w:r>
      <w:r>
        <w:rPr>
          <w:rFonts w:ascii="Times New Roman;Times;Serif" w:hAnsi="Times New Roman;Times;Serif"/>
          <w:b w:val="false"/>
          <w:i w:val="false"/>
          <w:caps w:val="false"/>
          <w:smallCaps w:val="false"/>
          <w:sz w:val="20"/>
        </w:rPr>
        <w:t>. The Administrator’s decisions, determinations, and interpretations will be final and binding on all Participants and any other holders of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Nonstatutory Stock Options, Restricted Stock, Restricted Stock Units, Stock Appreciation Rights, Performance Units, Performance Shares, and such other cash or stock awards as the Administrator determines may be granted to Service Providers. Incentive Stock Options may be granted only to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4"/>
        <w:gridCol w:w="9921"/>
      </w:tblGrid>
      <w:tr>
        <w:trPr/>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pPr>
            <w:r>
              <w:rPr/>
              <w:t>(i)</w:t>
            </w:r>
          </w:p>
        </w:tc>
        <w:tc>
          <w:tcPr>
            <w:tcW w:w="9921" w:type="dxa"/>
            <w:tcBorders/>
            <w:vAlign w:val="center"/>
          </w:tcPr>
          <w:p>
            <w:pPr>
              <w:pStyle w:val="TableContents"/>
              <w:bidi w:val="0"/>
              <w:spacing w:before="0" w:after="283"/>
              <w:jc w:val="both"/>
              <w:rPr/>
            </w:pPr>
            <w:r>
              <w:rPr/>
              <w:t>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(U.S.),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tc>
      </w:tr>
      <w:tr>
        <w:trPr/>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pPr>
            <w:r>
              <w:rPr/>
              <w:t> </w:t>
            </w:r>
          </w:p>
        </w:tc>
        <w:tc>
          <w:tcPr>
            <w:tcW w:w="992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pPr>
            <w:r>
              <w:rPr/>
              <w:t>(ii)</w:t>
            </w:r>
          </w:p>
        </w:tc>
        <w:tc>
          <w:tcPr>
            <w:tcW w:w="9921" w:type="dxa"/>
            <w:tcBorders/>
            <w:vAlign w:val="center"/>
          </w:tcPr>
          <w:p>
            <w:pPr>
              <w:pStyle w:val="TableContents"/>
              <w:bidi w:val="0"/>
              <w:spacing w:before="0" w:after="283"/>
              <w:jc w:val="both"/>
              <w:rPr/>
            </w:pPr>
            <w:r>
              <w:rPr/>
              <w:t>Subject to the limits set forth in Section 3, the Administrator will have complete discretion to determine the number of Shares subject to an Option granted to any Participant.</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 of Option</w:t>
      </w:r>
      <w:r>
        <w:rPr>
          <w:rFonts w:ascii="Times New Roman;Times;Serif" w:hAnsi="Times New Roman;Times;Serif"/>
          <w:b w:val="false"/>
          <w:i w:val="false"/>
          <w:caps w:val="false"/>
          <w:smallCaps w:val="false"/>
          <w:sz w:val="20"/>
        </w:rPr>
        <w:t>. The Administrator will determine the term of each Option in its sole discretion; provided, however, that the term will be no more than ten (10) years from the date of grant thereof in the case of Incentive Stock Options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will be five (5) years from the date of grant or such shorter term as may be provided in the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Option Exercise Price and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both"/>
              <w:rPr/>
            </w:pPr>
            <w:r>
              <w:rPr/>
              <w:t>(i)</w:t>
            </w:r>
          </w:p>
        </w:tc>
        <w:tc>
          <w:tcPr>
            <w:tcW w:w="9983" w:type="dxa"/>
            <w:tcBorders/>
            <w:vAlign w:val="center"/>
          </w:tcPr>
          <w:p>
            <w:pPr>
              <w:pStyle w:val="TableContents"/>
              <w:bidi w:val="0"/>
              <w:spacing w:before="0" w:after="283"/>
              <w:jc w:val="both"/>
              <w:rPr/>
            </w:pPr>
            <w:r>
              <w:rPr>
                <w:u w:val="single"/>
              </w:rPr>
              <w:t>Exercise Price</w:t>
            </w:r>
            <w:r>
              <w:rPr/>
              <w:t>. The per share exercise price for the Shares to be issued pursuant to exercise of an Option will be determined by the Administrator, but will be no less than 100% of the Fair Market Value per Share on the date of grant. In addition, in the case of an Incentive Stock Option granted to an Employee who, at the time the Incentive Stock Option is granted, owns stock representing more than 10% of the voting power of all classes of stock of the Company or any Parent or Subsidiary, the per Share exercise price will be no less than 110% of the Fair Market Value per Share on the date of grant. Notwithstanding the foregoing provisions of this Section 6(c), Options may be granted with a per Share exercise price of less than 100% of the Fair Market Value per Share on the date of grant pursuant to the issuance or assumption of an Option in a transaction to which Section 424(a) of the Code applies in a manner consistent with said Section 424(a).</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180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5"/>
        <w:gridCol w:w="9850"/>
      </w:tblGrid>
      <w:tr>
        <w:trPr/>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both"/>
              <w:rPr/>
            </w:pPr>
            <w:r>
              <w:rPr/>
              <w:t>(ii)</w:t>
            </w:r>
          </w:p>
        </w:tc>
        <w:tc>
          <w:tcPr>
            <w:tcW w:w="9850" w:type="dxa"/>
            <w:tcBorders/>
            <w:vAlign w:val="center"/>
          </w:tcPr>
          <w:p>
            <w:pPr>
              <w:pStyle w:val="TableContents"/>
              <w:bidi w:val="0"/>
              <w:spacing w:before="0" w:after="283"/>
              <w:jc w:val="both"/>
              <w:rPr/>
            </w:pPr>
            <w:r>
              <w:rPr>
                <w:u w:val="single"/>
              </w:rPr>
              <w:t>Waiting Period and Exercise Dates</w:t>
            </w:r>
            <w:r>
              <w:rPr/>
              <w:t>. At the time an Option is granted, the Administrator will fix the period within which the Option may be exercised and will determine any conditions that must be satisfied before the Option may be exercised.</w:t>
            </w:r>
          </w:p>
        </w:tc>
      </w:tr>
      <w:tr>
        <w:trPr/>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both"/>
              <w:rPr/>
            </w:pPr>
            <w:r>
              <w:rPr/>
              <w:t> </w:t>
            </w:r>
          </w:p>
        </w:tc>
        <w:tc>
          <w:tcPr>
            <w:tcW w:w="985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both"/>
              <w:rPr/>
            </w:pPr>
            <w:r>
              <w:rPr/>
              <w:t>(iii)</w:t>
            </w:r>
          </w:p>
        </w:tc>
        <w:tc>
          <w:tcPr>
            <w:tcW w:w="9850" w:type="dxa"/>
            <w:tcBorders/>
            <w:vAlign w:val="center"/>
          </w:tcPr>
          <w:p>
            <w:pPr>
              <w:pStyle w:val="TableContents"/>
              <w:bidi w:val="0"/>
              <w:spacing w:before="0" w:after="283"/>
              <w:jc w:val="both"/>
              <w:rPr/>
            </w:pPr>
            <w:r>
              <w:rPr>
                <w:u w:val="single"/>
              </w:rPr>
              <w:t>Form of Consideration</w:t>
            </w:r>
            <w:r>
              <w:rPr/>
              <w:t>. The Administrator will determine the acceptable form(s) of consideration for exercising an Option, including the method of payment, to the extent permitted by Applicable Laws including but not limited to tendering capital stock of the Company owned by a Participant, duly endorsed for transfer to the Company.</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Exercise of Option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0"/>
        <w:gridCol w:w="9865"/>
      </w:tblGrid>
      <w:tr>
        <w:trPr/>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both"/>
              <w:rPr/>
            </w:pPr>
            <w:r>
              <w:rPr/>
              <w:t>(i)</w:t>
            </w:r>
          </w:p>
        </w:tc>
        <w:tc>
          <w:tcPr>
            <w:tcW w:w="9865" w:type="dxa"/>
            <w:tcBorders/>
            <w:vAlign w:val="center"/>
          </w:tcPr>
          <w:p>
            <w:pPr>
              <w:pStyle w:val="TableContents"/>
              <w:bidi w:val="0"/>
              <w:spacing w:before="0" w:after="283"/>
              <w:jc w:val="both"/>
              <w:rPr/>
            </w:pPr>
            <w:r>
              <w:rPr>
                <w:u w:val="single"/>
              </w:rPr>
              <w:t>Procedure for Exercise; Rights as a Stockholder</w:t>
            </w:r>
            <w:r>
              <w:rPr/>
              <w:t>. Any Option granted hereunder will be exercisable according to the terms of the Plan and at such times and under such conditions as determined by the Administrator and set forth in the Award Agreement. An Option may not be exercised for a fraction of a Share.</w:t>
            </w:r>
          </w:p>
        </w:tc>
      </w:tr>
      <w:tr>
        <w:trPr/>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both"/>
              <w:rPr/>
            </w:pPr>
            <w:r>
              <w:rPr/>
              <w:t> </w:t>
            </w:r>
          </w:p>
        </w:tc>
        <w:tc>
          <w:tcPr>
            <w:tcW w:w="986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both"/>
              <w:rPr/>
            </w:pPr>
            <w:r>
              <w:rPr/>
              <w:t> </w:t>
            </w:r>
          </w:p>
        </w:tc>
        <w:tc>
          <w:tcPr>
            <w:tcW w:w="9865" w:type="dxa"/>
            <w:tcBorders/>
            <w:vAlign w:val="center"/>
          </w:tcPr>
          <w:p>
            <w:pPr>
              <w:pStyle w:val="TableContents"/>
              <w:bidi w:val="0"/>
              <w:spacing w:before="0" w:after="283"/>
              <w:jc w:val="both"/>
              <w:rPr/>
            </w:pPr>
            <w:r>
              <w:rPr/>
              <w:t>An Option will be deemed exercised when the Company receives: (i) notice of exercise (in such form as the Administrator specifies from time to time) from the person entitled to exercise the Option, and (ii) full payment for the Shares with respect to which the Option is exercised (together with any applicable withholding taxes). No adjustment will be made for a dividend or other right for which the record date is prior to the date the Shares are issued, except as provided in Section 14 hereof.</w:t>
            </w:r>
          </w:p>
        </w:tc>
      </w:tr>
      <w:tr>
        <w:trPr/>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both"/>
              <w:rPr/>
            </w:pPr>
            <w:r>
              <w:rPr/>
              <w:t> </w:t>
            </w:r>
          </w:p>
        </w:tc>
        <w:tc>
          <w:tcPr>
            <w:tcW w:w="986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both"/>
              <w:rPr/>
            </w:pPr>
            <w:r>
              <w:rPr/>
              <w:t>(ii)</w:t>
            </w:r>
          </w:p>
        </w:tc>
        <w:tc>
          <w:tcPr>
            <w:tcW w:w="9865" w:type="dxa"/>
            <w:tcBorders/>
            <w:vAlign w:val="center"/>
          </w:tcPr>
          <w:p>
            <w:pPr>
              <w:pStyle w:val="TableContents"/>
              <w:bidi w:val="0"/>
              <w:spacing w:before="0" w:after="283"/>
              <w:jc w:val="both"/>
              <w:rPr/>
            </w:pPr>
            <w:r>
              <w:rPr>
                <w:u w:val="single"/>
              </w:rPr>
              <w:t>Termination of Relationship as a Service Provider</w:t>
            </w:r>
            <w:r>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Award Agreement or by operation of this Section 6(d)(3), the Option will terminate, and the Shares covered by such Option will revert to the Plan.</w:t>
            </w:r>
          </w:p>
        </w:tc>
      </w:tr>
      <w:tr>
        <w:trPr/>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both"/>
              <w:rPr/>
            </w:pPr>
            <w:r>
              <w:rPr/>
              <w:t> </w:t>
            </w:r>
          </w:p>
        </w:tc>
        <w:tc>
          <w:tcPr>
            <w:tcW w:w="986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both"/>
              <w:rPr/>
            </w:pPr>
            <w:r>
              <w:rPr/>
              <w:t>(iii)</w:t>
            </w:r>
          </w:p>
        </w:tc>
        <w:tc>
          <w:tcPr>
            <w:tcW w:w="9865" w:type="dxa"/>
            <w:tcBorders/>
            <w:vAlign w:val="center"/>
          </w:tcPr>
          <w:p>
            <w:pPr>
              <w:pStyle w:val="TableContents"/>
              <w:bidi w:val="0"/>
              <w:spacing w:before="0" w:after="283"/>
              <w:jc w:val="both"/>
              <w:rPr/>
            </w:pPr>
            <w:r>
              <w:rPr>
                <w:u w:val="single"/>
              </w:rPr>
              <w:t>Disability of Participant</w:t>
            </w:r>
            <w:r>
              <w:rPr/>
              <w:t>. If a Participant ceases to be a Service Provider as a result of the Participant’s Disability, the Participant may exercise his or her Option within such period of time as is specified in the Award Agreement to the extent the Option is vested on the date of cessation (but in no event later than the expiration of the term of such Option as set forth in the Award Agreement). In the absence of a specified time in the Award Agreement, the Option will remain exercisable for six (6) months following the date the Participant ceases to be a Service Provider. Unless otherwise provided by the Administrator, if on the date of cessation the Participant is not vested as to his or her entire Option, the Shares covered by the unvested portion of the Option will revert to the Plan. If after cessation the Participant does not exercise his or her Option within the time specified herein, the Option will terminate, and the Shares covered by such Option will revert to the Plan.</w:t>
            </w:r>
          </w:p>
        </w:tc>
      </w:tr>
      <w:tr>
        <w:trPr/>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both"/>
              <w:rPr/>
            </w:pPr>
            <w:r>
              <w:rPr/>
              <w:t> </w:t>
            </w:r>
          </w:p>
        </w:tc>
        <w:tc>
          <w:tcPr>
            <w:tcW w:w="986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both"/>
              <w:rPr/>
            </w:pPr>
            <w:r>
              <w:rPr/>
              <w:t>(iv)</w:t>
            </w:r>
          </w:p>
        </w:tc>
        <w:tc>
          <w:tcPr>
            <w:tcW w:w="9865" w:type="dxa"/>
            <w:tcBorders/>
            <w:vAlign w:val="center"/>
          </w:tcPr>
          <w:p>
            <w:pPr>
              <w:pStyle w:val="TableContents"/>
              <w:bidi w:val="0"/>
              <w:spacing w:before="0" w:after="283"/>
              <w:jc w:val="both"/>
              <w:rPr/>
            </w:pPr>
            <w:r>
              <w:rPr>
                <w:u w:val="single"/>
              </w:rPr>
              <w:t>Death of Participant</w:t>
            </w:r>
            <w:r>
              <w:rPr/>
              <w:t>. If a Participant dies while a Service Provider, the Option may be exercised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six (6) months following Participant’s death. Unless otherwise provided by the Administrator, if at the time of death Participant is not vested as to his or her entire Option, the Shares covered by the unvested portion of the Option will continue to vest in accordance with the Award Agreement. If the Option is not so exercised within the time specified herein, the Option will terminate, and the Shares covered by such Option will revert to the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Stock Appreciation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Stock Appreciation Rights</w:t>
      </w:r>
      <w:r>
        <w:rPr>
          <w:rFonts w:ascii="Times New Roman;Times;Serif" w:hAnsi="Times New Roman;Times;Serif"/>
          <w:b w:val="false"/>
          <w:i w:val="false"/>
          <w:caps w:val="false"/>
          <w:smallCaps w:val="false"/>
          <w:sz w:val="20"/>
        </w:rPr>
        <w:t>. Subject to the terms and conditions of the Plan, a Stock Appreciation Right may be granted to Service Providers at any time and from time to time as will be determined by the Administrator,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Number of Shares</w:t>
      </w:r>
      <w:r>
        <w:rPr>
          <w:rFonts w:ascii="Times New Roman;Times;Serif" w:hAnsi="Times New Roman;Times;Serif"/>
          <w:b w:val="false"/>
          <w:i w:val="false"/>
          <w:caps w:val="false"/>
          <w:smallCaps w:val="false"/>
          <w:sz w:val="20"/>
        </w:rPr>
        <w:t>. The Administrator will have complete discretion to determine the number of Stock Appreciation Rights granted to any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Exercise Price and Other Terms</w:t>
      </w:r>
      <w:r>
        <w:rPr>
          <w:rFonts w:ascii="Times New Roman;Times;Serif" w:hAnsi="Times New Roman;Times;Serif"/>
          <w:b w:val="false"/>
          <w:i w:val="false"/>
          <w:caps w:val="false"/>
          <w:smallCaps w:val="false"/>
          <w:sz w:val="20"/>
        </w:rPr>
        <w:t>. The Administrator, subject to the provisions of the Plan, will have complete discretion to determine the terms and conditions of Stock Appreciation Rights granted under the Plan; provided, however, that the exercise price will be not less than 100% of the Fair Market Value of a Share on the date of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Stock Appreciation Rights Agreement</w:t>
      </w:r>
      <w:r>
        <w:rPr>
          <w:rFonts w:ascii="Times New Roman;Times;Serif" w:hAnsi="Times New Roman;Times;Serif"/>
          <w:b w:val="false"/>
          <w:i w:val="false"/>
          <w:caps w:val="false"/>
          <w:smallCaps w:val="false"/>
          <w:sz w:val="20"/>
        </w:rPr>
        <w:t>. Each Stock Appreciation Right grant will be evidenced by an Award Agreement that will specify the exercise price, the number of Shares with respect to which the Award is granted, the term of the Stock Appreciation Right, the conditions of exercise, and such other terms and conditions as the Administrator, in its sole discretion, will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Expiration of Stock Appreciation Rights</w:t>
      </w:r>
      <w:r>
        <w:rPr>
          <w:rFonts w:ascii="Times New Roman;Times;Serif" w:hAnsi="Times New Roman;Times;Serif"/>
          <w:b w:val="false"/>
          <w:i w:val="false"/>
          <w:caps w:val="false"/>
          <w:smallCaps w:val="false"/>
          <w:sz w:val="20"/>
        </w:rPr>
        <w:t>. A Stock Appreciation Right granted under the Plan will expire upon the date determined by the Administrator, in its sole discretion, and set forth in the Award Agreement; provided, however, that the term will be no more than ten (10) years from the date of grant thereof. Notwithstanding the foregoing, the rules of Section 6(d) above also will apply to Stock Appreciation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Payment of Stock Appreciation Right Amount</w:t>
      </w:r>
      <w:r>
        <w:rPr>
          <w:rFonts w:ascii="Times New Roman;Times;Serif" w:hAnsi="Times New Roman;Times;Serif"/>
          <w:b w:val="false"/>
          <w:i w:val="false"/>
          <w:caps w:val="false"/>
          <w:smallCaps w:val="false"/>
          <w:sz w:val="20"/>
        </w:rPr>
        <w:t>. Upon exercise of a Stock Appreciation Right, a Participant will be entitled to receive payment from the Company in an amount determined by multiplying: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9"/>
        <w:gridCol w:w="9906"/>
      </w:tblGrid>
      <w:tr>
        <w:trPr/>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both"/>
              <w:rPr/>
            </w:pPr>
            <w:r>
              <w:rPr/>
              <w:t>(i)</w:t>
            </w:r>
          </w:p>
        </w:tc>
        <w:tc>
          <w:tcPr>
            <w:tcW w:w="9906" w:type="dxa"/>
            <w:tcBorders/>
            <w:vAlign w:val="center"/>
          </w:tcPr>
          <w:p>
            <w:pPr>
              <w:pStyle w:val="TableContents"/>
              <w:bidi w:val="0"/>
              <w:spacing w:before="0" w:after="283"/>
              <w:jc w:val="both"/>
              <w:rPr/>
            </w:pPr>
            <w:r>
              <w:rPr/>
              <w:t xml:space="preserve">The difference between the Fair Market Value of a Share on the date of exercise over the “stock appreciation right exercise price,” as defined under Treasury Regulation Section 1.409A-1(b)(i)(B)(2), </w:t>
            </w:r>
            <w:r>
              <w:rPr>
                <w:u w:val="single"/>
              </w:rPr>
              <w:t>i.e.</w:t>
            </w:r>
            <w:r>
              <w:rPr/>
              <w:t>, the Fair Market Value of a Share on the date of grant of the Stock Appreciation Right; times</w:t>
            </w:r>
          </w:p>
        </w:tc>
      </w:tr>
      <w:tr>
        <w:trPr/>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both"/>
              <w:rPr/>
            </w:pPr>
            <w:r>
              <w:rPr/>
              <w:t> </w:t>
            </w:r>
          </w:p>
        </w:tc>
        <w:tc>
          <w:tcPr>
            <w:tcW w:w="990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both"/>
              <w:rPr/>
            </w:pPr>
            <w:r>
              <w:rPr/>
              <w:t>(ii)</w:t>
            </w:r>
          </w:p>
        </w:tc>
        <w:tc>
          <w:tcPr>
            <w:tcW w:w="9906" w:type="dxa"/>
            <w:tcBorders/>
            <w:vAlign w:val="center"/>
          </w:tcPr>
          <w:p>
            <w:pPr>
              <w:pStyle w:val="TableContents"/>
              <w:bidi w:val="0"/>
              <w:spacing w:before="0" w:after="283"/>
              <w:jc w:val="both"/>
              <w:rPr/>
            </w:pPr>
            <w:r>
              <w:rPr/>
              <w:t>The number of Shares with respect to which the Stock Appreciation Right is exercised.</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discretion of the Administrator, the payment upon Stock Appreciation Right exercise may be in cash, in Shares of equivalent value, or in some combination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Restricted Stock</w:t>
      </w:r>
      <w:r>
        <w:rPr>
          <w:rFonts w:ascii="Times New Roman;Times;Serif" w:hAnsi="Times New Roman;Times;Serif"/>
          <w:b w:val="false"/>
          <w:i w:val="false"/>
          <w:caps w:val="false"/>
          <w:smallCaps w:val="false"/>
          <w:sz w:val="20"/>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Restricted Stock Agreement</w:t>
      </w:r>
      <w:r>
        <w:rPr>
          <w:rFonts w:ascii="Times New Roman;Times;Serif" w:hAnsi="Times New Roman;Times;Serif"/>
          <w:b w:val="false"/>
          <w:i w:val="false"/>
          <w:caps w:val="false"/>
          <w:smallCaps w:val="false"/>
          <w:sz w:val="20"/>
        </w:rPr>
        <w:t>. Each Award of Restricted Stock will be evidenced by an Award Agreement that will specify the Period of Restriction, the number of Shares granted, and such other terms and conditions as the Administrator, in its sole discretion, will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Except as provided in this Section 8, Shares of Restricted Stock may not be sold, transferred, pledged, assigned, or otherwise alienated or hypothecated until such Shares become non-forfeitable at the end of the applicable Period of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Other Restrictions</w:t>
      </w:r>
      <w:r>
        <w:rPr>
          <w:rFonts w:ascii="Times New Roman;Times;Serif" w:hAnsi="Times New Roman;Times;Serif"/>
          <w:b w:val="false"/>
          <w:i w:val="false"/>
          <w:caps w:val="false"/>
          <w:smallCaps w:val="false"/>
          <w:sz w:val="20"/>
        </w:rPr>
        <w:t>. The Administrator, in its sole discretion, may impose such other restrictions on Shares of Restricted Stock as it may deem advisable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Removal of Restrictions</w:t>
      </w:r>
      <w:r>
        <w:rPr>
          <w:rFonts w:ascii="Times New Roman;Times;Serif" w:hAnsi="Times New Roman;Times;Serif"/>
          <w:b w:val="false"/>
          <w:i w:val="false"/>
          <w:caps w:val="false"/>
          <w:smallCaps w:val="false"/>
          <w:sz w:val="20"/>
        </w:rPr>
        <w:t>. Except as otherwise provided in this Section 8, Shares of Restricted Stock covered by each Restricted Stock grant made under the Plan will be released from escrow as soon as practicable after the last day of the Period of Restriction. The Administrator, in its discretion, may accelerate the time at which any restrictions will lapse or be removed.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During the Period of Restriction, Service Providers holding Shares of Restricted Stock granted hereunder may exercise full voting rights with respect to those Shares, unless the Administrator determines otherwise in a manner not prohibited by the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Dividends and Other Distributions</w:t>
      </w:r>
      <w:r>
        <w:rPr>
          <w:rFonts w:ascii="Times New Roman;Times;Serif" w:hAnsi="Times New Roman;Times;Serif"/>
          <w:b w:val="false"/>
          <w:i w:val="false"/>
          <w:caps w:val="false"/>
          <w:smallCaps w:val="false"/>
          <w:sz w:val="20"/>
        </w:rPr>
        <w:t>. During the Period of Restriction, Service Providers holding Shares of Restricted Stock will be entitled to receive all dividends and other distributions paid with respect to such Shares unless otherwise provided in the Award Agreement. If any such dividends or distributions are paid in Shares, the Shares will be subject to the same restrictions on transferability and provisions for forfeiture as the Shares of Restricted Stock with respect to which they were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Return of Restricted Stock to Company</w:t>
      </w:r>
      <w:r>
        <w:rPr>
          <w:rFonts w:ascii="Times New Roman;Times;Serif" w:hAnsi="Times New Roman;Times;Serif"/>
          <w:b w:val="false"/>
          <w:i w:val="false"/>
          <w:caps w:val="false"/>
          <w:smallCaps w:val="false"/>
          <w:sz w:val="20"/>
        </w:rPr>
        <w:t>. On the date set forth in the Award Agreement, the Restricted Stock for which restrictions have not lapsed will revert to the Company and again will become available for grant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Restricted Stock Units may be granted at any time and from time to time as determined by the Administrator. Each Restricted Stock Unit grant will be evidenced by an Award Agreement that will specify such other terms and conditions as the Administrator, in its sole discretion, will determine in accordance with the terms and conditions of the Plan, including all terms, conditions, and restrictions related to the grant, the number of Restricted Stock Units and the form of payout, which, subject to Section 9(d) hereof, may be left to the discretion of the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Vesting Criteria and Other Terms</w:t>
      </w:r>
      <w:r>
        <w:rPr>
          <w:rFonts w:ascii="Times New Roman;Times;Serif" w:hAnsi="Times New Roman;Times;Serif"/>
          <w:b w:val="false"/>
          <w:i w:val="false"/>
          <w:caps w:val="false"/>
          <w:smallCaps w:val="false"/>
          <w:sz w:val="20"/>
        </w:rPr>
        <w:t>. The Administrator will set vesting criteria in its discretion, which, depending on the extent to which the criteria are met, will determine the number of Restricted Stock Units that will be paid out to the Participant. After the grant of Restricted Stock Units, the Administrator, in its sole discretion, may reduce or waive any restrictions for such Restricted Stock Units. Each Award of Restricted Stock Units will be evidenced by an Award Agreement that will specify the vesting criteria, and such other terms and conditions as the Administrator, in its sole discretion will determine. The Administrator, in its discretion, may accelerate the time at which any restrictions will lapse or be removed, subject to the prohibition on acceleration of the timing of distribution of deferred compensation subject to Section 409A of the Code, to the extent applicable to the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Earning Restricted Stock Units</w:t>
      </w:r>
      <w:r>
        <w:rPr>
          <w:rFonts w:ascii="Times New Roman;Times;Serif" w:hAnsi="Times New Roman;Times;Serif"/>
          <w:b w:val="false"/>
          <w:i w:val="false"/>
          <w:caps w:val="false"/>
          <w:smallCaps w:val="false"/>
          <w:sz w:val="20"/>
        </w:rPr>
        <w:t>. Upon meeting the applicable vesting criteria, the Participant will be entitled to receive a payout as specified in the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Form and Timing of Payment</w:t>
      </w:r>
      <w:r>
        <w:rPr>
          <w:rFonts w:ascii="Times New Roman;Times;Serif" w:hAnsi="Times New Roman;Times;Serif"/>
          <w:b w:val="false"/>
          <w:i w:val="false"/>
          <w:caps w:val="false"/>
          <w:smallCaps w:val="false"/>
          <w:sz w:val="20"/>
        </w:rPr>
        <w:t>. Payment of earned Restricted Stock Units will be made as soon as practicable after the date(s) set forth in the Award Agreement, which shall satisfy the requirements of Section 409A of the Code, to the extent applicable to such Award. The Administrator, in its sole discretion, may pay earned Restricted Stock Units in cash, Shares, or a combination thereof. Shares represented by Restricted Stock Units that are fully paid in cash again will be available for grant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On the date set forth in the Award Agreement, all unearned Restricted Stock Units will be forfeited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Performance Units and Performance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Performance Units/Shares</w:t>
      </w:r>
      <w:r>
        <w:rPr>
          <w:rFonts w:ascii="Times New Roman;Times;Serif" w:hAnsi="Times New Roman;Times;Serif"/>
          <w:b w:val="false"/>
          <w:i w:val="false"/>
          <w:caps w:val="false"/>
          <w:smallCaps w:val="false"/>
          <w:sz w:val="20"/>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Units/Shares granted to each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Value of Performance Units/Shares</w:t>
      </w:r>
      <w:r>
        <w:rPr>
          <w:rFonts w:ascii="Times New Roman;Times;Serif" w:hAnsi="Times New Roman;Times;Serif"/>
          <w:b w:val="false"/>
          <w:i w:val="false"/>
          <w:caps w:val="false"/>
          <w:smallCaps w:val="false"/>
          <w:sz w:val="20"/>
        </w:rPr>
        <w:t>. Each Performance Unit will have an initial value that is established by the Administrator on or before the date of grant. Each Performance Share will have an initial value equal to the Fair Market Value of a Share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Performance Objectives and Other Terms</w:t>
      </w:r>
      <w:r>
        <w:rPr>
          <w:rFonts w:ascii="Times New Roman;Times;Serif" w:hAnsi="Times New Roman;Times;Serif"/>
          <w:b w:val="false"/>
          <w:i w:val="false"/>
          <w:caps w:val="false"/>
          <w:smallCaps w:val="false"/>
          <w:sz w:val="20"/>
        </w:rPr>
        <w:t>. The Administrator will set performance objectives or other vesting provisions. The Administrator may set vesting criteria based upon the achievement of Company-wide, business unit, or individual goals (including, but not limited to, continued employment), or any other basis determined by the Administrator in its discretion. Each Award of Performance Units/Shares will be evidenced by an Award Agreement that will specify the Performance Period, and such other terms and conditions as the Administrator, in its sole discretion, will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Earning of Performance Units/Shares</w:t>
      </w:r>
      <w:r>
        <w:rPr>
          <w:rFonts w:ascii="Times New Roman;Times;Serif" w:hAnsi="Times New Roman;Times;Serif"/>
          <w:b w:val="false"/>
          <w:i w:val="false"/>
          <w:caps w:val="false"/>
          <w:smallCaps w:val="false"/>
          <w:sz w:val="20"/>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Form and Timing of Payment of Performance Units/Shares</w:t>
      </w:r>
      <w:r>
        <w:rPr>
          <w:rFonts w:ascii="Times New Roman;Times;Serif" w:hAnsi="Times New Roman;Times;Serif"/>
          <w:b w:val="false"/>
          <w:i w:val="false"/>
          <w:caps w:val="false"/>
          <w:smallCaps w:val="false"/>
          <w:sz w:val="20"/>
        </w:rPr>
        <w:t>. Payment of earned Performance Units/Shares will be made as soon as practicable after the expiration of the applicable Performance Period or, if earlier, after the date on which a Participant’s interest in such Performance Units/Shares is no longer subject to a substantial risk of forfeiture, provided however, that in no event shall such payment be made after the later to occur of (i) December 31 of the year in which such risk of forfeiture lapses or (ii) two and one-half months after such risk of forfeiture lapses.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Cancellation of Performance Units/Shares</w:t>
      </w:r>
      <w:r>
        <w:rPr>
          <w:rFonts w:ascii="Times New Roman;Times;Serif" w:hAnsi="Times New Roman;Times;Serif"/>
          <w:b w:val="false"/>
          <w:i w:val="false"/>
          <w:caps w:val="false"/>
          <w:smallCaps w:val="false"/>
          <w:sz w:val="20"/>
        </w:rPr>
        <w:t>. On the date set forth in the Award Agreement, all unearned or unvested Performance Units/Shares will be forfeited to the Company, and again will be available for grant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Leaves of Absence</w:t>
      </w:r>
      <w:r>
        <w:rPr>
          <w:rFonts w:ascii="Times New Roman;Times;Serif" w:hAnsi="Times New Roman;Times;Serif"/>
          <w:b w:val="false"/>
          <w:i w:val="false"/>
          <w:caps w:val="false"/>
          <w:smallCaps w:val="false"/>
          <w:sz w:val="20"/>
        </w:rPr>
        <w:t>. Unless the Administrator provides otherwise, vesting of Awards granted hereunder will be suspended during any unpaid leave of absence. A Service Provider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and one day following the commencement of such leave any Incentive Stock Option held by the Participant will cease to be treated as an Incentive Stock Option and will be treated for tax purposes as a Nonstatutory 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Transferability of Awards</w:t>
      </w:r>
      <w:r>
        <w:rPr>
          <w:rFonts w:ascii="Times New Roman;Times;Serif" w:hAnsi="Times New Roman;Times;Serif"/>
          <w:b w:val="false"/>
          <w:i w:val="false"/>
          <w:caps w:val="false"/>
          <w:smallCaps w:val="false"/>
          <w:sz w:val="20"/>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may only be transferred (i) by will, (ii) by the laws of descent and distribution, (iii) to a revocable trust, or (iv) as permitted by Rule 701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Adjustments; Dissolution or Liquidation; Merger or Change in Control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set forth in Sections 3, 6, 7, 8, 9 and 10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Dissolution or Liquidation</w:t>
      </w:r>
      <w:r>
        <w:rPr>
          <w:rFonts w:ascii="Times New Roman;Times;Serif" w:hAnsi="Times New Roman;Times;Serif"/>
          <w:b w:val="false"/>
          <w:i w:val="false"/>
          <w:caps w:val="false"/>
          <w:smallCaps w:val="false"/>
          <w:sz w:val="20"/>
        </w:rPr>
        <w:t>. In the event of the proposed dissolution or liquidation of the Company, any corporate separation or division, including, but not limited to, a split-up, a split-off or a spin-off; a reverse merger in which the Company is the surviving entity, but the shares of Company stock outstanding immediately preceding the merger are converted by virtue of the merger into other property, whether in the form of securities, cash or otherwise; or the transfer of more than fifty percent (50%) of the then outstanding voting stock of the Company to another person or entity. the Administrator will notify each Participant as soon as practicable prior to the effective date of such proposed transaction. The Company, to the extent permitted by applicable law but otherwise in its sole discretion may provide for: (i) the continuation Awards by the Company (if the Company is surviving entity or its parent; (ii) the assumption of the Plan and such outstanding Awards by the surviving entity or its parent; (iii) the substitution by the surviving entity or its parent of rights with substantially the same terms for such outstanding Awards; or (iv) the cancellation of such outstanding Rights without payment of any consideration provided that in the case of this clause (iv), the Administrator will provide notice of its intention to cancel Award and offer a reasonable opportunity to exercise vested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In the event of a merger or Change in Control, each outstanding Award will be treated as the Administrator determines, including, without limitation, that each Award will be assumed or an equivalent option or right substituted by the successor corporation or a Parent or Subsidiary of the successor corporation (the “</w:t>
      </w:r>
      <w:r>
        <w:rPr>
          <w:rFonts w:ascii="Times New Roman;Times;Serif" w:hAnsi="Times New Roman;Times;Serif"/>
          <w:b w:val="false"/>
          <w:i w:val="false"/>
          <w:caps w:val="false"/>
          <w:smallCaps w:val="false"/>
          <w:sz w:val="20"/>
          <w:u w:val="single"/>
        </w:rPr>
        <w:t>Successor Corporation</w:t>
      </w:r>
      <w:r>
        <w:rPr>
          <w:rFonts w:ascii="Times New Roman;Times;Serif" w:hAnsi="Times New Roman;Times;Serif"/>
          <w:b w:val="false"/>
          <w:i w:val="false"/>
          <w:caps w:val="false"/>
          <w:smallCaps w:val="false"/>
          <w:sz w:val="20"/>
        </w:rPr>
        <w:t>”). The Administrator will not be required to treat all Awards similarly in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will lapse, and, with respect to Restricted Stock Units, Performance Shares and Performance Units, all Performance Goals or other vesting criteria will be deemed achieved at target levels and all other terms and conditions met. In addition, if an Option or Stock Appreciation Right is not assumed or substituted for in the event of a Change in Control, the Administrator will notify the Participant in writing or electronically that the Option or Stock Appreciation Right will be fully vested and exercisable for a period of time determined by the Administrator in its sole discretion, and the Option or Stock Appreciation Right will terminate upon the expiration of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or, in the case of a Stock Appreciation Right upon the exercise of which the Administrator determines to settle in cash or a Performance Share or Performance Unit which the Administrator can determine to settle in cash, the fair market value of the consideration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the Administrator may, with the consent of the Successor Corporation, provide for the consideration to be received upon the exercise of an Option or Stock Appreciation Right or upon the payout of a Performance Share or Performance Unit, for each Share subject to such Award (or in the case of Performance Units, the number of implied shares determined by dividing the value of the Performance Units by the per share consideration received by holders of Common Stock in the Change in Control), to be solely common stock of the Successor Corporation equal in fair market value to the per share consideration received by holders of Common Stock in the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Tax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Withholding Requirements</w:t>
      </w:r>
      <w:r>
        <w:rPr>
          <w:rFonts w:ascii="Times New Roman;Times;Serif" w:hAnsi="Times New Roman;Times;Serif"/>
          <w:b w:val="false"/>
          <w:i w:val="false"/>
          <w:caps w:val="false"/>
          <w:smallCaps w:val="false"/>
          <w:sz w:val="20"/>
        </w:rPr>
        <w:t>. At any time prior to or following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Withholding Arrangements</w:t>
      </w:r>
      <w:r>
        <w:rPr>
          <w:rFonts w:ascii="Times New Roman;Times;Serif" w:hAnsi="Times New Roman;Times;Serif"/>
          <w:b w:val="false"/>
          <w:i w:val="false"/>
          <w:caps w:val="false"/>
          <w:smallCaps w:val="false"/>
          <w:sz w:val="20"/>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equal to the minimum amount required to be withheld, (iii) delivering to the Company already-owned Shares having a Fair Market Value equal to the amount required to be withheld,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No Effect on Employment or Service</w:t>
      </w:r>
      <w:r>
        <w:rPr>
          <w:rFonts w:ascii="Times New Roman;Times;Serif" w:hAnsi="Times New Roman;Times;Serif"/>
          <w:b w:val="false"/>
          <w:i w:val="false"/>
          <w:caps w:val="false"/>
          <w:smallCaps w:val="false"/>
          <w:sz w:val="20"/>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Date of Grant</w:t>
      </w:r>
      <w:r>
        <w:rPr>
          <w:rFonts w:ascii="Times New Roman;Times;Serif" w:hAnsi="Times New Roman;Times;Serif"/>
          <w:b w:val="false"/>
          <w:i w:val="false"/>
          <w:caps w:val="false"/>
          <w:smallCaps w:val="false"/>
          <w:sz w:val="20"/>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Term of Plan</w:t>
      </w:r>
      <w:r>
        <w:rPr>
          <w:rFonts w:ascii="Times New Roman;Times;Serif" w:hAnsi="Times New Roman;Times;Serif"/>
          <w:b w:val="false"/>
          <w:i w:val="false"/>
          <w:caps w:val="false"/>
          <w:smallCaps w:val="false"/>
          <w:sz w:val="20"/>
        </w:rPr>
        <w:t>. Subject to Section 21 hereof, the Plan will become effective upon its adoption by the Board (the “Effective Date”). It will continue in effect for a term of ten (10) years unless terminated earlier under Section 18 hereof; provided, however, that such expiration shall not affect Awards then outstanding, and the terms and conditions of this Plan shall continue to apply to such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Amendment and Termination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Amendment and Termination</w:t>
      </w:r>
      <w:r>
        <w:rPr>
          <w:rFonts w:ascii="Times New Roman;Times;Serif" w:hAnsi="Times New Roman;Times;Serif"/>
          <w:b w:val="false"/>
          <w:i w:val="false"/>
          <w:caps w:val="false"/>
          <w:smallCaps w:val="false"/>
          <w:sz w:val="20"/>
        </w:rPr>
        <w:t>. The Administrator may at any time amend, alter, suspend or terminate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Subject to Section 21, the Company will obtain stockholder approval of the Plan and any Plan amendment to the extent necessary or desirable to comply with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Effect of Amendment or Termination</w:t>
      </w:r>
      <w:r>
        <w:rPr>
          <w:rFonts w:ascii="Times New Roman;Times;Serif" w:hAnsi="Times New Roman;Times;Serif"/>
          <w:b w:val="false"/>
          <w:i w:val="false"/>
          <w:caps w:val="false"/>
          <w:smallCaps w:val="false"/>
          <w:sz w:val="20"/>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Conditions Upon Issuance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Legal Compliance</w:t>
      </w:r>
      <w:r>
        <w:rPr>
          <w:rFonts w:ascii="Times New Roman;Times;Serif" w:hAnsi="Times New Roman;Times;Serif"/>
          <w:b w:val="false"/>
          <w:i w:val="false"/>
          <w:caps w:val="false"/>
          <w:smallCaps w:val="false"/>
          <w:sz w:val="20"/>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Investment Representations</w:t>
      </w:r>
      <w:r>
        <w:rPr>
          <w:rFonts w:ascii="Times New Roman;Times;Serif" w:hAnsi="Times New Roman;Times;Serif"/>
          <w:b w:val="false"/>
          <w:i w:val="false"/>
          <w:caps w:val="false"/>
          <w:smallCaps w:val="false"/>
          <w:sz w:val="20"/>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Restrictive Legends</w:t>
      </w:r>
      <w:r>
        <w:rPr>
          <w:rFonts w:ascii="Times New Roman;Times;Serif" w:hAnsi="Times New Roman;Times;Serif"/>
          <w:b w:val="false"/>
          <w:i w:val="false"/>
          <w:caps w:val="false"/>
          <w:smallCaps w:val="false"/>
          <w:sz w:val="20"/>
        </w:rPr>
        <w:t>. All Award Agreements and all securities of the Company issued pursuant thereto shall bear such legends regarding restrictions on transfer and such other legends as the appropriate officer of the Company shall determine to be necessary or advisable to comply with applicable securities and other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Inability to Obtain Authority</w:t>
      </w:r>
      <w:r>
        <w:rPr>
          <w:rFonts w:ascii="Times New Roman;Times;Serif" w:hAnsi="Times New Roman;Times;Serif"/>
          <w:b w:val="false"/>
          <w:i w:val="false"/>
          <w:caps w:val="false"/>
          <w:smallCaps w:val="false"/>
          <w:sz w:val="20"/>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xml:space="preserve">. The Plan will be subject to approval by the stockholders of the Company within twelve (12) months after the date the Plan is adopted by the Board. Such stockholder approval will be obtained in the manner and to the degree required under Applicable Laws, including without limitation Section 422 of the Code. In the event that stockholder approval is not obtained within twelve (12) months after the date the Plan is adopted by the Board, all Incentive Stock Options granted hereunder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effect. Notwithstanding any other provisions of the Plan, no Awards shall be exercisable until the date of such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Notification of Election Under Section 83 of the Code</w:t>
      </w:r>
      <w:r>
        <w:rPr>
          <w:rFonts w:ascii="Times New Roman;Times;Serif" w:hAnsi="Times New Roman;Times;Serif"/>
          <w:b w:val="false"/>
          <w:i w:val="false"/>
          <w:caps w:val="false"/>
          <w:smallCaps w:val="false"/>
          <w:sz w:val="20"/>
        </w:rPr>
        <w:t>. If any Service Provider shall, in connection with the acquisition of Shares under the Plan, make an election permitted under either Section 83(b) or Section 83(i) of the Code, such Service Provider shall notify the Company of such election within ten (10) days of filing notice of the election with the Internal Revenue Service and provide the Company with a copy thereof, in addition to any filing and a notification required pursuant to regulations issued under the authority of Sections 83(b) or 83(i) of the Code, as applicable. A Service Provider shall not be permitted to make a Section 83(b) election with respect to an Award of a Restricted Stock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Notification Upon Disqualifying Disposition Under Section 421(b) of the Code</w:t>
      </w:r>
      <w:r>
        <w:rPr>
          <w:rFonts w:ascii="Times New Roman;Times;Serif" w:hAnsi="Times New Roman;Times;Serif"/>
          <w:b w:val="false"/>
          <w:i w:val="false"/>
          <w:caps w:val="false"/>
          <w:smallCaps w:val="false"/>
          <w:sz w:val="20"/>
        </w:rPr>
        <w:t>. Each Service Provider shall notify the Company of any disposition of Shares issued pursuant to the exercise of an Incentive Stock Option under the circumstances described in Section 421(b) of the Code (relating to certain disqualifying dispositions), within ten (10) days of such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409A Timing Rule for Specified Employees</w:t>
      </w:r>
      <w:r>
        <w:rPr>
          <w:rFonts w:ascii="Times New Roman;Times;Serif" w:hAnsi="Times New Roman;Times;Serif"/>
          <w:b w:val="false"/>
          <w:i w:val="false"/>
          <w:caps w:val="false"/>
          <w:smallCaps w:val="false"/>
          <w:sz w:val="20"/>
        </w:rPr>
        <w:t>. If at the time of a Service Provider’s separation from service, such individual is considered a “specified employee” within the meaning of Section 409A(a)(2)(B)(i) of the Code, and if any payment that such Service Provider becomes entitled to under the Plan or any Award is deemed payable on account of such individual’s separation from service, then no such payment shall be made prior to the date that is the earlier of (i) six months and one day after the individual’s separation from service, or (ii) the individual’s death.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law of the State of Nevada shall govern all questions concerning the construction, validity and interpretation of this Plan, without regard to such state’s conflict of laws rules, subject to the Company’s intention that the Plan satisfy the requirements of jurisdictions outside of the United States of America with respect to Awards subject to such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w:t>
      </w:r>
      <w:r>
        <w:rPr>
          <w:rFonts w:ascii="Times New Roman;Times;Serif" w:hAnsi="Times New Roman;Times;Serif"/>
          <w:b w:val="false"/>
          <w:i w:val="false"/>
          <w:caps w:val="false"/>
          <w:smallCaps w:val="false"/>
          <w:sz w:val="20"/>
        </w:rPr>
        <w:t>. Except as specifically provided in this plan, a Participant or a transferee of an Award shall have no rights as a stockholder with respect to any shares covered by the Award until the date of the issuance of such shares to the Participant, and no adjustment shall be made for dividends (ordinary or extraordinary, whether in cash, securities or other property) or distributions of other rights for which the record date is prior to the date such Stock is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Other Compensation Arrangements.</w:t>
      </w:r>
      <w:r>
        <w:rPr>
          <w:rFonts w:ascii="Times New Roman;Times;Serif" w:hAnsi="Times New Roman;Times;Serif"/>
          <w:b w:val="false"/>
          <w:i w:val="false"/>
          <w:caps w:val="false"/>
          <w:smallCaps w:val="false"/>
          <w:sz w:val="20"/>
        </w:rPr>
        <w:t xml:space="preserve"> Nothing contained in this Plan shall prevent the Board from adopting other or additional compensation arrangements, subject to stockholder approval is required; and such arrangements may be either generally applicable or applicable only in specific cases.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Disqualifying Dispositions.</w:t>
      </w:r>
      <w:r>
        <w:rPr>
          <w:rFonts w:ascii="Times New Roman;Times;Serif" w:hAnsi="Times New Roman;Times;Serif"/>
          <w:b w:val="false"/>
          <w:i w:val="false"/>
          <w:caps w:val="false"/>
          <w:smallCaps w:val="false"/>
          <w:sz w:val="20"/>
        </w:rPr>
        <w:t xml:space="preserve"> Any participant who shall make a “disposition” (as defined in Section 424 of the Code) of all or any portion of an Incentive Stock Option within two (2) years from the date of grant of such Incentive Stock Option or within (1) year after the issuance of the shares of Stock acquired upon exercise of such Incentive Stock Option shall be required to immediately advise the Company in writing as to the occurrence of the sale and the price realized upon the sale of such shares of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Regulatory Matters</w:t>
      </w:r>
      <w:r>
        <w:rPr>
          <w:rFonts w:ascii="Times New Roman;Times;Serif" w:hAnsi="Times New Roman;Times;Serif"/>
          <w:b w:val="false"/>
          <w:i w:val="false"/>
          <w:caps w:val="false"/>
          <w:smallCaps w:val="false"/>
          <w:sz w:val="20"/>
        </w:rPr>
        <w:t xml:space="preserve"> Each Stock Option Agreement and Stock Purchase Agreement shall provide that no shares shall be purchased or sold thereunder unless and until (i) any then applicable requirements of state or federal laws and regulatory agencies shall have been fully compiled with to the satisfaction of the Company and its counsel and (ii) if required to do so by the Company, the Optionee or Offeree shall have executed and delivered to the Company a letter of investment intent in such form and containing such provisions as the Board or Committee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w:t>
      </w:r>
      <w:r>
        <w:rPr>
          <w:rFonts w:ascii="Times New Roman;Times;Serif" w:hAnsi="Times New Roman;Times;Serif"/>
          <w:b w:val="false"/>
          <w:i w:val="false"/>
          <w:caps w:val="false"/>
          <w:smallCaps w:val="false"/>
          <w:sz w:val="20"/>
        </w:rPr>
        <w:t>. Upon exercise of an Award granted under this Plan, the Company shall issue Stock or pay any amounts due within a reasonable period of time thereafter. Subject to any statutory obligations the Company may otherwise have, for purposes of this Plan, thirty days shall be considered a reasonable period of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 The Stock Option Agreements and Stock Purchase Agreements authorized under the Plan may contain such other provisions not inconsistent with this Plan, including, without limitation, restrictions upon the exercise of the Rights, as the Administrator may deem advisable.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Awards under the Plan are intended either to be exempt from the rules of Section 409A of the Code or to satisfy those rules, and the Plan and such awards shall be construed accordingly. Granted rights may be modified at any time, in the Administrator’s direction, so as to increase the likelihood of exemption from or compliance with the rules of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9574</Words>
  <Characters>49173</Characters>
  <CharactersWithSpaces>58873</CharactersWithSpaces>
  <Paragraphs>712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