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March 26, 2026</w:t>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iPower Inc.</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08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8"/>
              </w:rPr>
              <w:t>Nevada</w:t>
            </w:r>
          </w:p>
        </w:tc>
        <w:tc>
          <w:tcPr>
            <w:tcW w:w="4360" w:type="dxa"/>
            <w:vAlign w:val="bottom"/>
            <w:gridSpan w:val="3"/>
          </w:tcPr>
          <w:p>
            <w:pPr>
              <w:jc w:val="center"/>
              <w:ind w:left="650"/>
              <w:spacing w:after="0"/>
              <w:rPr>
                <w:sz w:val="20"/>
                <w:szCs w:val="20"/>
                <w:color w:val="auto"/>
              </w:rPr>
            </w:pPr>
            <w:r>
              <w:rPr>
                <w:rFonts w:ascii="Times New Roman" w:cs="Times New Roman" w:eastAsia="Times New Roman" w:hAnsi="Times New Roman"/>
                <w:sz w:val="18"/>
                <w:szCs w:val="18"/>
                <w:color w:val="auto"/>
                <w:w w:val="99"/>
              </w:rPr>
              <w:t>001-40391</w:t>
            </w: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92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rPr>
              <w:t>82-5144171</w:t>
            </w:r>
          </w:p>
        </w:tc>
      </w:tr>
      <w:tr>
        <w:trPr>
          <w:trHeight w:val="191"/>
        </w:trPr>
        <w:tc>
          <w:tcPr>
            <w:tcW w:w="3080" w:type="dxa"/>
            <w:vAlign w:val="bottom"/>
            <w:tcBorders>
              <w:top w:val="single" w:sz="8" w:color="auto"/>
            </w:tcBorders>
          </w:tcPr>
          <w:p>
            <w:pPr>
              <w:jc w:val="center"/>
              <w:ind w:left="450"/>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5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920" w:type="dxa"/>
            <w:vAlign w:val="bottom"/>
            <w:tcBorders>
              <w:top w:val="single" w:sz="8" w:color="auto"/>
            </w:tcBorders>
          </w:tcPr>
          <w:p>
            <w:pPr>
              <w:jc w:val="center"/>
              <w:ind w:right="570"/>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08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92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4"/>
        </w:trPr>
        <w:tc>
          <w:tcPr>
            <w:tcW w:w="3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8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color w:val="auto"/>
                <w:w w:val="99"/>
              </w:rPr>
              <w:t>8798 9th Street</w:t>
            </w:r>
          </w:p>
        </w:tc>
        <w:tc>
          <w:tcPr>
            <w:tcW w:w="2920" w:type="dxa"/>
            <w:vAlign w:val="bottom"/>
          </w:tcPr>
          <w:p>
            <w:pPr>
              <w:spacing w:after="0"/>
              <w:rPr>
                <w:sz w:val="24"/>
                <w:szCs w:val="24"/>
                <w:color w:val="auto"/>
              </w:rPr>
            </w:pPr>
          </w:p>
        </w:tc>
      </w:tr>
      <w:tr>
        <w:trPr>
          <w:trHeight w:val="216"/>
        </w:trPr>
        <w:tc>
          <w:tcPr>
            <w:tcW w:w="3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8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color w:val="auto"/>
                <w:w w:val="99"/>
              </w:rPr>
              <w:t>Rancho Cucamonga, CA 91730</w:t>
            </w:r>
          </w:p>
        </w:tc>
        <w:tc>
          <w:tcPr>
            <w:tcW w:w="2920" w:type="dxa"/>
            <w:vAlign w:val="bottom"/>
          </w:tcPr>
          <w:p>
            <w:pPr>
              <w:spacing w:after="0"/>
              <w:rPr>
                <w:sz w:val="18"/>
                <w:szCs w:val="18"/>
                <w:color w:val="auto"/>
              </w:rPr>
            </w:pPr>
          </w:p>
        </w:tc>
      </w:tr>
      <w:tr>
        <w:trPr>
          <w:trHeight w:val="234"/>
        </w:trPr>
        <w:tc>
          <w:tcPr>
            <w:tcW w:w="3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700" w:type="dxa"/>
            <w:vAlign w:val="bottom"/>
            <w:gridSpan w:val="4"/>
          </w:tcPr>
          <w:p>
            <w:pPr>
              <w:jc w:val="center"/>
              <w:ind w:right="68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2920" w:type="dxa"/>
            <w:vAlign w:val="bottom"/>
          </w:tcPr>
          <w:p>
            <w:pPr>
              <w:spacing w:after="0"/>
              <w:rPr>
                <w:sz w:val="20"/>
                <w:szCs w:val="20"/>
                <w:color w:val="auto"/>
              </w:rPr>
            </w:pPr>
          </w:p>
        </w:tc>
      </w:tr>
      <w:tr>
        <w:trPr>
          <w:trHeight w:val="414"/>
        </w:trPr>
        <w:tc>
          <w:tcPr>
            <w:tcW w:w="3080" w:type="dxa"/>
            <w:vAlign w:val="bottom"/>
          </w:tcPr>
          <w:p>
            <w:pPr>
              <w:spacing w:after="0"/>
              <w:rPr>
                <w:sz w:val="24"/>
                <w:szCs w:val="24"/>
                <w:color w:val="auto"/>
              </w:rPr>
            </w:pPr>
          </w:p>
        </w:tc>
        <w:tc>
          <w:tcPr>
            <w:tcW w:w="4360" w:type="dxa"/>
            <w:vAlign w:val="bottom"/>
            <w:gridSpan w:val="3"/>
          </w:tcPr>
          <w:p>
            <w:pPr>
              <w:jc w:val="right"/>
              <w:ind w:right="1170"/>
              <w:spacing w:after="0"/>
              <w:rPr>
                <w:sz w:val="20"/>
                <w:szCs w:val="20"/>
                <w:color w:val="auto"/>
              </w:rPr>
            </w:pPr>
            <w:r>
              <w:rPr>
                <w:rFonts w:ascii="Times New Roman" w:cs="Times New Roman" w:eastAsia="Times New Roman" w:hAnsi="Times New Roman"/>
                <w:sz w:val="18"/>
                <w:szCs w:val="18"/>
                <w:color w:val="auto"/>
              </w:rPr>
              <w:t>(626) 863-7344</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234"/>
        </w:trPr>
        <w:tc>
          <w:tcPr>
            <w:tcW w:w="3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700" w:type="dxa"/>
            <w:vAlign w:val="bottom"/>
            <w:gridSpan w:val="4"/>
          </w:tcPr>
          <w:p>
            <w:pPr>
              <w:jc w:val="center"/>
              <w:ind w:right="70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2920" w:type="dxa"/>
            <w:vAlign w:val="bottom"/>
          </w:tcPr>
          <w:p>
            <w:pPr>
              <w:spacing w:after="0"/>
              <w:rPr>
                <w:sz w:val="20"/>
                <w:szCs w:val="20"/>
                <w:color w:val="auto"/>
              </w:rPr>
            </w:pPr>
          </w:p>
        </w:tc>
      </w:tr>
      <w:tr>
        <w:trPr>
          <w:trHeight w:val="414"/>
        </w:trPr>
        <w:tc>
          <w:tcPr>
            <w:tcW w:w="3080" w:type="dxa"/>
            <w:vAlign w:val="bottom"/>
          </w:tcPr>
          <w:p>
            <w:pPr>
              <w:spacing w:after="0"/>
              <w:rPr>
                <w:sz w:val="24"/>
                <w:szCs w:val="24"/>
                <w:color w:val="auto"/>
              </w:rPr>
            </w:pPr>
          </w:p>
        </w:tc>
        <w:tc>
          <w:tcPr>
            <w:tcW w:w="4360" w:type="dxa"/>
            <w:vAlign w:val="bottom"/>
            <w:gridSpan w:val="3"/>
          </w:tcPr>
          <w:p>
            <w:pPr>
              <w:jc w:val="right"/>
              <w:ind w:right="510"/>
              <w:spacing w:after="0"/>
              <w:rPr>
                <w:sz w:val="20"/>
                <w:szCs w:val="20"/>
                <w:color w:val="auto"/>
              </w:rPr>
            </w:pPr>
            <w:r>
              <w:rPr>
                <w:rFonts w:ascii="Times New Roman" w:cs="Times New Roman" w:eastAsia="Times New Roman" w:hAnsi="Times New Roman"/>
                <w:sz w:val="18"/>
                <w:szCs w:val="18"/>
                <w:color w:val="auto"/>
              </w:rPr>
              <w:t>___________________________</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234"/>
        </w:trPr>
        <w:tc>
          <w:tcPr>
            <w:tcW w:w="3080" w:type="dxa"/>
            <w:vAlign w:val="bottom"/>
          </w:tcPr>
          <w:p>
            <w:pPr>
              <w:spacing w:after="0"/>
              <w:rPr>
                <w:sz w:val="20"/>
                <w:szCs w:val="20"/>
                <w:color w:val="auto"/>
              </w:rPr>
            </w:pPr>
          </w:p>
        </w:tc>
        <w:tc>
          <w:tcPr>
            <w:tcW w:w="524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tc>
        <w:tc>
          <w:tcPr>
            <w:tcW w:w="2920" w:type="dxa"/>
            <w:vAlign w:val="bottom"/>
          </w:tcPr>
          <w:p>
            <w:pPr>
              <w:spacing w:after="0"/>
              <w:rPr>
                <w:sz w:val="20"/>
                <w:szCs w:val="20"/>
                <w:color w:val="auto"/>
              </w:rPr>
            </w:pP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0"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per share</w:t>
            </w:r>
          </w:p>
        </w:tc>
        <w:tc>
          <w:tcPr>
            <w:tcW w:w="24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IPW</w:t>
            </w:r>
          </w:p>
        </w:tc>
        <w:tc>
          <w:tcPr>
            <w:tcW w:w="2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previously disclosed, on February 1, 2026, iPower Inc, a Nevada corporation (“iPower” or the “Company”), entered into a software asset transfer agreement with its then-wholly owned subsidiary, Global Product Marketing, Inc., a Nevada corporation (“GPM”). Thereafter, on February 1, 2026, the Company entered into a stock purchase agreement with ETTS AI Investment LLC, a Nevada limited liability company (“ETTS AI”), pursuant to which the Company sold its equity interest in GPM and its underlying entities to ETTS AI in exchange for a $2.3 million promissory note (the “Promissory Note”).</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On March 26, 2026, the Company and ETTS AI entered into an amendment to the Promissory Note (the “Amendment”). The Amendment amends and restates Section 8 of the Promissory Note, expanding the definition of a “Change of Control” of iPower to include,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(i) any material change in the composition of the Company’s executive management or board of directors, (ii) any material change in the Company’s business model, core operations, or strategic direction that materially and adversely affects the Company’s ability to continue to uphold its existing obligations towards and relationship with GPM, and (iii) disposition of any material portion of the Company’s supply chain that materially impacts the Company’s ability to supply products or services in the ordinary course of business. The Amendment does not amend any other sections of the Promissory Note, and all other terms and provisions of the Promissory Note remain unchanged and in full force and effect.</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Amendment does not purport to be complete and is qualified in its entirety by reference to the full text of the Amendment, which is filed as Exhibit 10.1 to this Current Report on Form 8-K and incorporated herein by reference.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852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Financial Statement and Exhibits.</w:t>
            </w:r>
          </w:p>
        </w:tc>
      </w:tr>
      <w:tr>
        <w:trPr>
          <w:trHeight w:val="432"/>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0" w:type="dxa"/>
            <w:vAlign w:val="bottom"/>
          </w:tcPr>
          <w:p>
            <w:pPr>
              <w:spacing w:after="0"/>
              <w:rPr>
                <w:sz w:val="24"/>
                <w:szCs w:val="24"/>
                <w:color w:val="auto"/>
              </w:rPr>
            </w:pPr>
          </w:p>
        </w:tc>
      </w:tr>
      <w:tr>
        <w:trPr>
          <w:trHeight w:val="392"/>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20" w:type="dxa"/>
            <w:vAlign w:val="bottom"/>
          </w:tcPr>
          <w:p>
            <w:pPr>
              <w:spacing w:after="0"/>
              <w:rPr>
                <w:sz w:val="24"/>
                <w:szCs w:val="24"/>
                <w:color w:val="auto"/>
              </w:rPr>
            </w:pPr>
          </w:p>
        </w:tc>
        <w:tc>
          <w:tcPr>
            <w:tcW w:w="83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300" w:type="dxa"/>
            <w:vAlign w:val="bottom"/>
            <w:tcBorders>
              <w:bottom w:val="single" w:sz="8" w:color="0000EE"/>
            </w:tcBorders>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Addendum to Promissory Note, by and between iPower Inc. and ETTS AI Investment LLC, dated March 26, 2026.</w:t>
            </w:r>
          </w:p>
        </w:tc>
      </w:tr>
      <w:tr>
        <w:trPr>
          <w:trHeight w:val="23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IPOWER,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31, 2026</w:t>
      </w:r>
    </w:p>
    <w:p>
      <w:pPr>
        <w:spacing w:after="0" w:line="9" w:lineRule="exact"/>
        <w:rPr>
          <w:sz w:val="20"/>
          <w:szCs w:val="20"/>
          <w:color w:val="auto"/>
        </w:rPr>
      </w:pPr>
    </w:p>
    <w:p>
      <w:pPr>
        <w:ind w:left="5640"/>
        <w:spacing w:after="0"/>
        <w:tabs>
          <w:tab w:leader="none" w:pos="62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Chenlong 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5715</wp:posOffset>
            </wp:positionV>
            <wp:extent cx="31375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ind w:left="5640"/>
        <w:spacing w:after="0"/>
        <w:tabs>
          <w:tab w:leader="none" w:pos="628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Chenlong Tan</w:t>
      </w:r>
    </w:p>
    <w:p>
      <w:pPr>
        <w:spacing w:after="0" w:line="23" w:lineRule="exact"/>
        <w:rPr>
          <w:sz w:val="20"/>
          <w:szCs w:val="20"/>
          <w:color w:val="auto"/>
        </w:rPr>
      </w:pPr>
    </w:p>
    <w:p>
      <w:pPr>
        <w:ind w:left="5640"/>
        <w:spacing w:after="0"/>
        <w:tabs>
          <w:tab w:leader="none" w:pos="62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4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ADDENDUM TO PROMISSORY NOTE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This Amendment (the “Amendment”) is entered into as of March 26, 2026, by and between ETTS AI Investment LLC, a Nevada limited liability company (the “Borrower” or “ETTS”), and iPower Inc., a Nevada corporation (the “Holder” or “IPW”). This Amendment amends Section 8 of the Promissory Note dated February 1, 2026 titled </w:t>
      </w:r>
      <w:r>
        <w:rPr>
          <w:rFonts w:ascii="Times New Roman" w:cs="Times New Roman" w:eastAsia="Times New Roman" w:hAnsi="Times New Roman"/>
          <w:sz w:val="18"/>
          <w:szCs w:val="18"/>
          <w:b w:val="1"/>
          <w:bCs w:val="1"/>
          <w:color w:val="auto"/>
        </w:rPr>
        <w:t>“Change of Control.”</w:t>
      </w:r>
    </w:p>
    <w:p>
      <w:pPr>
        <w:spacing w:after="0" w:line="172" w:lineRule="exact"/>
        <w:rPr>
          <w:sz w:val="20"/>
          <w:szCs w:val="20"/>
          <w:color w:val="auto"/>
        </w:rPr>
      </w:pPr>
    </w:p>
    <w:p>
      <w:pPr>
        <w:ind w:left="340" w:hanging="319"/>
        <w:spacing w:after="0"/>
        <w:tabs>
          <w:tab w:leader="none" w:pos="34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 to Section 8 – Change of Control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8 of the Note is hereby amended and restated in its entirety as follows:</w:t>
      </w:r>
    </w:p>
    <w:p>
      <w:pPr>
        <w:spacing w:after="0" w:line="221" w:lineRule="exact"/>
        <w:rPr>
          <w:sz w:val="20"/>
          <w:szCs w:val="20"/>
          <w:color w:val="auto"/>
        </w:rPr>
      </w:pPr>
    </w:p>
    <w:p>
      <w:pPr>
        <w:ind w:right="20" w:firstLine="656"/>
        <w:spacing w:after="0" w:line="286" w:lineRule="auto"/>
        <w:tabs>
          <w:tab w:leader="none" w:pos="958"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CHANGE OF CONTROL.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the occurrence of any Change of Control of IPW, this Note shall automatically become void and of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further force or effect, and no further amounts shall be due or payable by any party under the Note as of the closing of such Change of Control.</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For purposes of this Section 8, </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xml:space="preserve"> shall mean the occurrence of any of the following events:</w:t>
      </w:r>
    </w:p>
    <w:p>
      <w:pPr>
        <w:spacing w:after="0" w:line="229" w:lineRule="exact"/>
        <w:rPr>
          <w:sz w:val="20"/>
          <w:szCs w:val="20"/>
          <w:color w:val="auto"/>
        </w:rPr>
      </w:pPr>
    </w:p>
    <w:p>
      <w:pPr>
        <w:ind w:left="660" w:firstLine="644"/>
        <w:spacing w:after="0" w:line="282" w:lineRule="auto"/>
        <w:tabs>
          <w:tab w:leader="none" w:pos="1597"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by any person or group, directly or indirectly, of more than fifty percent (50%) of the voting power of IPW, or the sale, transfer, or other disposition of all or substantially all of IPW’s assets;</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733"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change in the composition of IPW’s executive management or board of directors, including the replacement of a majority of the members of the board of directors or senior executive officers, that results in a change in control, governance, or operational oversight of IPW;</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696"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change in IPW’s business model, core operations, or strategic direction that materially and adversely affects IPW’s ability to perform its obligations or continue its existing supply relationship with Global Product Marketing, Inc., a company owned by ETTS; notwithstanding which any additions or expansions to IPW’s existing operations shall not be considered a material change;</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77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spin-off, carve-out, sale, transfer, outsourcing, assignment, or other disposition of any material portion of IPW’s supply chain, including but not limited to manufacturing, sourcing, procurement, logistics, or supplier relationships, that materially impacts IPW’s ability to supply products or services in the ordinary course of business.</w:t>
      </w:r>
    </w:p>
    <w:p>
      <w:pPr>
        <w:spacing w:after="0" w:line="171" w:lineRule="exact"/>
        <w:rPr>
          <w:rFonts w:ascii="Times New Roman" w:cs="Times New Roman" w:eastAsia="Times New Roman" w:hAnsi="Times New Roman"/>
          <w:sz w:val="18"/>
          <w:szCs w:val="18"/>
          <w:color w:val="auto"/>
        </w:rPr>
      </w:pPr>
    </w:p>
    <w:p>
      <w:pPr>
        <w:ind w:left="340" w:hanging="319"/>
        <w:spacing w:after="0"/>
        <w:tabs>
          <w:tab w:leader="none" w:pos="3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Effect of Amendment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as expressly amended by this Amendment, all other terms and provisions of the Note shall remain unchanged and in full force and effect.</w:t>
      </w:r>
    </w:p>
    <w:p>
      <w:pPr>
        <w:spacing w:after="0" w:line="221" w:lineRule="exact"/>
        <w:rPr>
          <w:sz w:val="20"/>
          <w:szCs w:val="20"/>
          <w:color w:val="auto"/>
        </w:rPr>
      </w:pPr>
    </w:p>
    <w:p>
      <w:pPr>
        <w:ind w:left="340" w:hanging="319"/>
        <w:spacing w:after="0"/>
        <w:tabs>
          <w:tab w:leader="none" w:pos="3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Counterparts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This Amendment may be executed in counterparts, each of which shall be deemed an original, and all of which together shall constitute one and the same instrument.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parties have executed this Amendment as of the date first written above.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ETTS AI Investment LLC</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Stanley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-7620</wp:posOffset>
            </wp:positionV>
            <wp:extent cx="15824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8242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Stanley Wu</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Member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iPower Inc.</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Chenlong 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-7620</wp:posOffset>
            </wp:positionV>
            <wp:extent cx="1550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5003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Chenlong Tan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Chief Executive Officer</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8"/>
    </w:lvl>
  </w:abstractNum>
  <w:abstractNum w:abstractNumId="3">
    <w:nsid w:val="46E87CCD"/>
    <w:multiLevelType w:val="hybridMultilevel"/>
    <w:lvl w:ilvl="0">
      <w:lvlJc w:val="left"/>
      <w:lvlText w:val="%1"/>
      <w:numFmt w:val="decimal"/>
      <w:start w:val="1"/>
    </w:lvl>
    <w:lvl w:ilvl="1">
      <w:lvlJc w:val="left"/>
      <w:lvlText w:val="(%2)"/>
      <w:numFmt w:val="lowerLetter"/>
      <w:start w:val="1"/>
    </w:lvl>
  </w:abstractNum>
  <w:abstractNum w:abstractNumId="4">
    <w:nsid w:val="3D1B58BA"/>
    <w:multiLevelType w:val="hybridMultilevel"/>
    <w:lvl w:ilvl="0">
      <w:lvlJc w:val="left"/>
      <w:lvlText w:val="%1."/>
      <w:numFmt w:val="decimal"/>
      <w:start w:val="2"/>
    </w:lvl>
    <w:lvl w:ilvl="1">
      <w:lvlJc w:val="left"/>
      <w:lvlText w:val="%2"/>
      <w:numFmt w:val="lowerLetter"/>
      <w:start w:val="1"/>
    </w:lvl>
  </w:abstractNum>
  <w:abstractNum w:abstractNumId="5">
    <w:nsid w:val="507ED7A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2026-03-31T15:12:44Z</dcterms:created>
  <dcterms:modified xsi:type="dcterms:W3CDTF">2026-03-31T15:12:44Z</dcterms:modified>
</cp:coreProperties>
</file>