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5" w:lineRule="exact"/>
        <w:rPr>
          <w:sz w:val="24"/>
          <w:szCs w:val="24"/>
          <w:color w:val="auto"/>
        </w:rPr>
      </w:pPr>
    </w:p>
    <w:p>
      <w:pPr>
        <w:ind w:left="4100" w:right="2520" w:hanging="3768"/>
        <w:spacing w:after="0" w:line="500" w:lineRule="auto"/>
        <w:tabs>
          <w:tab w:leader="none" w:pos="6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UNDER SECTION 13 OR 15(d) OF THE SECURITIES EXCHANGE ACT OF 1934 For the quarter ended September 30, 2021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160" w:right="2500" w:hanging="2828"/>
        <w:spacing w:after="0" w:line="530" w:lineRule="auto"/>
        <w:tabs>
          <w:tab w:leader="none" w:pos="65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UNDER SECTION 13 OR 15(d) OF THE SECURITIES EXCHANGE ACT OF 1934 For the transition period from ______________ to ______________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iPower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Nevada</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5200</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82-5144171</w:t>
            </w:r>
          </w:p>
        </w:tc>
      </w:tr>
      <w:tr>
        <w:trPr>
          <w:trHeight w:val="202"/>
        </w:trPr>
        <w:tc>
          <w:tcPr>
            <w:tcW w:w="36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(State or other jurisdiction of</w:t>
            </w: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(Primary Standard Industrial</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incorporation or organization)</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Classification Code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2399 Bateman Avenue,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Duarte, CA 91010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the registrant’s principal executive offices)</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IPW</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the registrant’s common stock on November 15, 2021 was 26,493,181.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iPower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392"/>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60" w:type="dxa"/>
            <w:vAlign w:val="bottom"/>
            <w:gridSpan w:val="13"/>
          </w:tcPr>
          <w:p>
            <w:pPr>
              <w:jc w:val="center"/>
              <w:ind w:right="358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Financial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95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Financial Statements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Balance Sheets as of September 30, 2021 and June 30, 2021</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Unaudited Condensed Consolidated Statements of Operations for the three months ended September 30, 2021 and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Condensed Consolidated Statements of Changes in Stockholders’ Equity for the three months ended September 30, 2021</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50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and 2020</w:t>
              </w:r>
            </w:hyperlink>
          </w:p>
        </w:tc>
        <w:tc>
          <w:tcPr>
            <w:tcW w:w="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Unaudited Condensed Consolidated Statements of Cash Flows for the three months ended September 30, 2021 and 2020</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48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Unaudited Condensed Consolidated Financial Statements</w:t>
              </w:r>
            </w:hyperlink>
          </w:p>
        </w:tc>
        <w:tc>
          <w:tcPr>
            <w:tcW w:w="3880" w:type="dxa"/>
            <w:vAlign w:val="bottom"/>
            <w:tcBorders>
              <w:top w:val="single" w:sz="8" w:color="0000EE"/>
            </w:tcBorders>
            <w:gridSpan w:val="6"/>
          </w:tcPr>
          <w:p>
            <w:pPr>
              <w:spacing w:after="0"/>
              <w:rPr>
                <w:sz w:val="24"/>
                <w:szCs w:val="24"/>
                <w:color w:val="auto"/>
              </w:rPr>
            </w:pPr>
          </w:p>
        </w:tc>
        <w:tc>
          <w:tcPr>
            <w:tcW w:w="860" w:type="dxa"/>
            <w:vAlign w:val="bottom"/>
            <w:gridSpan w:val="2"/>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540" w:type="dxa"/>
            <w:vAlign w:val="bottom"/>
            <w:gridSpan w:val="22"/>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6460" w:type="dxa"/>
            <w:vAlign w:val="bottom"/>
            <w:tcBorders>
              <w:top w:val="single" w:sz="8" w:color="0000EE"/>
            </w:tcBorders>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30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4360" w:type="dxa"/>
            <w:vAlign w:val="bottom"/>
            <w:tcBorders>
              <w:top w:val="single" w:sz="8" w:color="0000EE"/>
            </w:tcBorders>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&amp; Procedures</w:t>
              </w:r>
            </w:hyperlink>
          </w:p>
        </w:tc>
        <w:tc>
          <w:tcPr>
            <w:tcW w:w="518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Borders>
              <w:bottom w:val="single" w:sz="8" w:color="0000EE"/>
            </w:tcBorders>
            <w:gridSpan w:val="5"/>
          </w:tcPr>
          <w:p>
            <w:pPr>
              <w:jc w:val="center"/>
              <w:spacing w:after="0"/>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PART II. Other Information</w:t>
              </w:r>
            </w:hyperlink>
          </w:p>
        </w:tc>
        <w:tc>
          <w:tcPr>
            <w:tcW w:w="36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Legal Proceedings</w:t>
              </w:r>
            </w:hyperlink>
          </w:p>
        </w:tc>
        <w:tc>
          <w:tcPr>
            <w:tcW w:w="8200" w:type="dxa"/>
            <w:vAlign w:val="bottom"/>
            <w:gridSpan w:val="17"/>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54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Arial" w:cs="Arial" w:eastAsia="Arial" w:hAnsi="Arial"/>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Unregistered Sale of Equity Securities and Use of Proceeds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280" w:type="dxa"/>
            <w:vAlign w:val="bottom"/>
            <w:tcBorders>
              <w:top w:val="single" w:sz="8" w:color="0000EE"/>
            </w:tcBorders>
            <w:gridSpan w:val="1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Defaults Upon Senior Securities</w:t>
              </w:r>
            </w:hyperlink>
          </w:p>
        </w:tc>
        <w:tc>
          <w:tcPr>
            <w:tcW w:w="52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Mine Safety Disclosures</w:t>
              </w:r>
            </w:hyperlink>
          </w:p>
        </w:tc>
        <w:tc>
          <w:tcPr>
            <w:tcW w:w="540" w:type="dxa"/>
            <w:vAlign w:val="bottom"/>
            <w:tcBorders>
              <w:top w:val="single" w:sz="8" w:color="0000EE"/>
            </w:tcBorders>
          </w:tcPr>
          <w:p>
            <w:pPr>
              <w:spacing w:after="0"/>
              <w:rPr>
                <w:sz w:val="24"/>
                <w:szCs w:val="24"/>
                <w:color w:val="auto"/>
              </w:rPr>
            </w:pPr>
          </w:p>
        </w:tc>
        <w:tc>
          <w:tcPr>
            <w:tcW w:w="72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Other Information</w:t>
              </w:r>
            </w:hyperlink>
          </w:p>
        </w:tc>
        <w:tc>
          <w:tcPr>
            <w:tcW w:w="822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540" w:type="dxa"/>
            <w:vAlign w:val="bottom"/>
            <w:gridSpan w:val="22"/>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2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Signatures</w:t>
              </w:r>
            </w:hyperlink>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of September 30, 2021 and June 30,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30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color w:val="auto"/>
              </w:rPr>
              <w:t>June 30,</w:t>
            </w:r>
          </w:p>
        </w:tc>
      </w:tr>
      <w:tr>
        <w:trPr>
          <w:trHeight w:val="230"/>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2021</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Arial" w:cs="Arial" w:eastAsia="Arial" w:hAnsi="Arial"/>
                <w:sz w:val="18"/>
                <w:szCs w:val="18"/>
                <w:color w:val="auto"/>
                <w:w w:val="90"/>
              </w:rPr>
              <w:t>ASSETS</w:t>
            </w:r>
          </w:p>
        </w:tc>
        <w:tc>
          <w:tcPr>
            <w:tcW w:w="6880" w:type="dxa"/>
            <w:vAlign w:val="bottom"/>
            <w:tcBorders>
              <w:bottom w:val="single" w:sz="8" w:color="EEEEEE"/>
            </w:tcBorders>
            <w:gridSpan w:val="2"/>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180" w:type="dxa"/>
            <w:vAlign w:val="bottom"/>
            <w:tcBorders>
              <w:bottom w:val="single" w:sz="8" w:color="EEEEEE"/>
            </w:tcBorders>
            <w:shd w:val="clear" w:color="auto" w:fill="EEEEEE"/>
          </w:tcPr>
          <w:p>
            <w:pPr>
              <w:spacing w:after="0"/>
              <w:rPr>
                <w:sz w:val="17"/>
                <w:szCs w:val="17"/>
                <w:color w:val="auto"/>
              </w:rPr>
            </w:pPr>
          </w:p>
        </w:tc>
        <w:tc>
          <w:tcPr>
            <w:tcW w:w="140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Cash and cash equivalent</w:t>
            </w:r>
          </w:p>
        </w:tc>
        <w:tc>
          <w:tcPr>
            <w:tcW w:w="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1,219,580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6,651,705</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13,083,946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7,896,347</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14,594,078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13,065,741</w:t>
            </w:r>
          </w:p>
        </w:tc>
      </w:tr>
      <w:tr>
        <w:trPr>
          <w:trHeight w:val="229"/>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Prepayments and other current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6,243,929</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4,693,000</w:t>
            </w: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35,141,533</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32,306,793</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Non-current assets</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Right of use - non-current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1,648,133</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1,819,421</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102,026</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55,659</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Non-current prepayments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1,249,375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1,357,292</w:t>
            </w:r>
          </w:p>
        </w:tc>
      </w:tr>
      <w:tr>
        <w:trPr>
          <w:trHeight w:val="230"/>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328,643</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99,645</w:t>
            </w:r>
          </w:p>
        </w:tc>
      </w:tr>
      <w:tr>
        <w:trPr>
          <w:trHeight w:val="209"/>
        </w:trPr>
        <w:tc>
          <w:tcPr>
            <w:tcW w:w="7540" w:type="dxa"/>
            <w:vAlign w:val="bottom"/>
            <w:tcBorders>
              <w:bottom w:val="single" w:sz="8" w:color="EEEEEE"/>
            </w:tcBorders>
            <w:gridSpan w:val="3"/>
          </w:tcPr>
          <w:p>
            <w:pPr>
              <w:ind w:left="360"/>
              <w:spacing w:after="0"/>
              <w:rPr>
                <w:sz w:val="20"/>
                <w:szCs w:val="20"/>
                <w:color w:val="auto"/>
              </w:rPr>
            </w:pPr>
            <w:r>
              <w:rPr>
                <w:rFonts w:ascii="Arial" w:cs="Arial" w:eastAsia="Arial" w:hAnsi="Arial"/>
                <w:sz w:val="18"/>
                <w:szCs w:val="18"/>
                <w:color w:val="auto"/>
              </w:rPr>
              <w:t>Total non-current assets</w:t>
            </w:r>
          </w:p>
        </w:tc>
        <w:tc>
          <w:tcPr>
            <w:tcW w:w="1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3,328,177</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3,332,017</w:t>
            </w:r>
          </w:p>
        </w:tc>
        <w:tc>
          <w:tcPr>
            <w:tcW w:w="10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38,469,710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35,638,810</w:t>
            </w:r>
          </w:p>
        </w:tc>
      </w:tr>
      <w:tr>
        <w:trPr>
          <w:trHeight w:val="197"/>
        </w:trPr>
        <w:tc>
          <w:tcPr>
            <w:tcW w:w="660" w:type="dxa"/>
            <w:vAlign w:val="bottom"/>
            <w:tcBorders>
              <w:top w:val="single" w:sz="8" w:color="EEEEEE"/>
            </w:tcBorders>
            <w:shd w:val="clear" w:color="auto" w:fill="EEEEEE"/>
          </w:tcPr>
          <w:p>
            <w:pPr>
              <w:spacing w:after="0"/>
              <w:rPr>
                <w:sz w:val="17"/>
                <w:szCs w:val="17"/>
                <w:color w:val="auto"/>
              </w:rPr>
            </w:pPr>
          </w:p>
        </w:tc>
        <w:tc>
          <w:tcPr>
            <w:tcW w:w="1520" w:type="dxa"/>
            <w:vAlign w:val="bottom"/>
            <w:tcBorders>
              <w:top w:val="single" w:sz="8" w:color="EEEEEE"/>
            </w:tcBorders>
            <w:shd w:val="clear" w:color="auto" w:fill="EEEEEE"/>
          </w:tcPr>
          <w:p>
            <w:pPr>
              <w:spacing w:after="0"/>
              <w:rPr>
                <w:sz w:val="17"/>
                <w:szCs w:val="17"/>
                <w:color w:val="auto"/>
              </w:rPr>
            </w:pPr>
          </w:p>
        </w:tc>
        <w:tc>
          <w:tcPr>
            <w:tcW w:w="53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auto"/>
            </w:tcBorders>
            <w:shd w:val="clear" w:color="auto" w:fill="EEEEEE"/>
          </w:tcPr>
          <w:p>
            <w:pPr>
              <w:spacing w:after="0"/>
              <w:rPr>
                <w:sz w:val="17"/>
                <w:szCs w:val="17"/>
                <w:color w:val="auto"/>
              </w:rPr>
            </w:pPr>
          </w:p>
        </w:tc>
        <w:tc>
          <w:tcPr>
            <w:tcW w:w="140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175"/>
        </w:trPr>
        <w:tc>
          <w:tcPr>
            <w:tcW w:w="7540" w:type="dxa"/>
            <w:vAlign w:val="bottom"/>
            <w:gridSpan w:val="3"/>
          </w:tcPr>
          <w:p>
            <w:pPr>
              <w:spacing w:after="0" w:line="176" w:lineRule="exact"/>
              <w:rPr>
                <w:sz w:val="20"/>
                <w:szCs w:val="20"/>
                <w:color w:val="auto"/>
              </w:rPr>
            </w:pPr>
            <w:r>
              <w:rPr>
                <w:rFonts w:ascii="Arial" w:cs="Arial" w:eastAsia="Arial" w:hAnsi="Arial"/>
                <w:sz w:val="18"/>
                <w:szCs w:val="18"/>
                <w:color w:val="auto"/>
              </w:rPr>
              <w:t>LIABILITIES AND EQUITY</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6,186,446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3,940,963</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Credit cards payable</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787,176</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584,311</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Customer deposit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248,384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297,407</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Other payables and accrued liabilities</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2,690,163</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2,487,441</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Short-term loans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162,769</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Lease liability - current</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749,132</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731,944</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Long-term loan payable -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29,244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29,244</w:t>
            </w:r>
          </w:p>
        </w:tc>
      </w:tr>
      <w:tr>
        <w:trPr>
          <w:trHeight w:val="230"/>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377,145</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790,823</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11,067,690</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9,024,902</w:t>
            </w:r>
          </w:p>
        </w:tc>
        <w:tc>
          <w:tcPr>
            <w:tcW w:w="10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Long-term loan payable</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448,823</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458,571</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Lease liability - non-current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976,830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1,169,552</w:t>
            </w:r>
          </w:p>
        </w:tc>
      </w:tr>
      <w:tr>
        <w:trPr>
          <w:trHeight w:val="229"/>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Total non-current liabilities</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1,425,653</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1,628,123</w:t>
            </w: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12,493,343</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10,653,025</w:t>
            </w: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Commitments and contingency</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54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540" w:type="dxa"/>
            <w:vAlign w:val="bottom"/>
            <w:gridSpan w:val="3"/>
            <w:shd w:val="clear" w:color="auto" w:fill="EEEEEE"/>
          </w:tcPr>
          <w:p>
            <w:pPr>
              <w:ind w:left="180"/>
              <w:spacing w:after="0" w:line="201" w:lineRule="exact"/>
              <w:rPr>
                <w:sz w:val="20"/>
                <w:szCs w:val="20"/>
                <w:color w:val="auto"/>
              </w:rPr>
            </w:pPr>
            <w:r>
              <w:rPr>
                <w:rFonts w:ascii="Arial" w:cs="Arial" w:eastAsia="Arial" w:hAnsi="Arial"/>
                <w:sz w:val="18"/>
                <w:szCs w:val="18"/>
                <w:color w:val="auto"/>
                <w:w w:val="91"/>
              </w:rPr>
              <w:t>Preferred stock, $0.001 par value; 20,000,000 shares authorized; 0 shares issued and outstanding at</w:t>
            </w: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0"/>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September 30, 2021 and June 30, 2021</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54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90"/>
              </w:rPr>
              <w:t>Common stock, $0.001 par value; 180,000,000 shares authorized; 26,448,663 and 26,448,663 shares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540" w:type="dxa"/>
            <w:vAlign w:val="bottom"/>
            <w:gridSpan w:val="3"/>
          </w:tcPr>
          <w:p>
            <w:pPr>
              <w:ind w:left="360"/>
              <w:spacing w:after="0"/>
              <w:rPr>
                <w:sz w:val="20"/>
                <w:szCs w:val="20"/>
                <w:color w:val="auto"/>
              </w:rPr>
            </w:pPr>
            <w:r>
              <w:rPr>
                <w:rFonts w:ascii="Arial" w:cs="Arial" w:eastAsia="Arial" w:hAnsi="Arial"/>
                <w:sz w:val="18"/>
                <w:szCs w:val="18"/>
                <w:color w:val="auto"/>
              </w:rPr>
              <w:t>issued and outstanding at September 30, 2021 and June 30, 2021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26,449</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26,449</w:t>
            </w:r>
          </w:p>
        </w:tc>
      </w:tr>
      <w:tr>
        <w:trPr>
          <w:trHeight w:val="216"/>
        </w:trPr>
        <w:tc>
          <w:tcPr>
            <w:tcW w:w="75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23,317,317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23,214,263</w:t>
            </w:r>
          </w:p>
        </w:tc>
      </w:tr>
      <w:tr>
        <w:trPr>
          <w:trHeight w:val="216"/>
        </w:trPr>
        <w:tc>
          <w:tcPr>
            <w:tcW w:w="7540" w:type="dxa"/>
            <w:vAlign w:val="bottom"/>
            <w:gridSpan w:val="3"/>
          </w:tcPr>
          <w:p>
            <w:pPr>
              <w:ind w:left="18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320"/>
              <w:spacing w:after="0"/>
              <w:rPr>
                <w:sz w:val="20"/>
                <w:szCs w:val="20"/>
                <w:color w:val="auto"/>
              </w:rPr>
            </w:pPr>
            <w:r>
              <w:rPr>
                <w:rFonts w:ascii="Arial" w:cs="Arial" w:eastAsia="Arial" w:hAnsi="Arial"/>
                <w:sz w:val="18"/>
                <w:szCs w:val="18"/>
                <w:color w:val="auto"/>
              </w:rPr>
              <w:t>2,632,601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1,745,073</w:t>
            </w:r>
          </w:p>
        </w:tc>
      </w:tr>
      <w:tr>
        <w:trPr>
          <w:trHeight w:val="229"/>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25,976,367</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24,985,785</w:t>
            </w:r>
          </w:p>
        </w:tc>
      </w:tr>
      <w:tr>
        <w:trPr>
          <w:trHeight w:val="210"/>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75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Total liabilities and equity</w:t>
            </w:r>
          </w:p>
        </w:tc>
        <w:tc>
          <w:tcPr>
            <w:tcW w:w="3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38,469,710</w:t>
            </w: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35,638,810</w:t>
            </w:r>
          </w:p>
        </w:tc>
      </w:tr>
      <w:tr>
        <w:trPr>
          <w:trHeight w:val="20"/>
        </w:trPr>
        <w:tc>
          <w:tcPr>
            <w:tcW w:w="660" w:type="dxa"/>
            <w:vAlign w:val="bottom"/>
            <w:tcBorders>
              <w:top w:val="single" w:sz="8" w:color="EEEEEE"/>
            </w:tcBorders>
          </w:tcPr>
          <w:p>
            <w:pPr>
              <w:spacing w:after="0" w:line="20" w:lineRule="exact"/>
              <w:rPr>
                <w:sz w:val="1"/>
                <w:szCs w:val="1"/>
                <w:color w:val="auto"/>
              </w:rPr>
            </w:pPr>
          </w:p>
        </w:tc>
        <w:tc>
          <w:tcPr>
            <w:tcW w:w="1520" w:type="dxa"/>
            <w:vAlign w:val="bottom"/>
            <w:tcBorders>
              <w:top w:val="single" w:sz="8" w:color="EEEEEE"/>
            </w:tcBorders>
          </w:tcPr>
          <w:p>
            <w:pPr>
              <w:spacing w:after="0" w:line="20" w:lineRule="exact"/>
              <w:rPr>
                <w:sz w:val="1"/>
                <w:szCs w:val="1"/>
                <w:color w:val="auto"/>
              </w:rPr>
            </w:pPr>
          </w:p>
        </w:tc>
        <w:tc>
          <w:tcPr>
            <w:tcW w:w="53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159"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5"/>
          </w:tcPr>
          <w:p>
            <w:pPr>
              <w:ind w:left="40"/>
              <w:spacing w:after="0"/>
              <w:rPr>
                <w:sz w:val="20"/>
                <w:szCs w:val="20"/>
                <w:color w:val="auto"/>
              </w:rPr>
            </w:pPr>
            <w:r>
              <w:rPr>
                <w:rFonts w:ascii="Arial" w:cs="Arial" w:eastAsia="Arial" w:hAnsi="Arial"/>
                <w:sz w:val="18"/>
                <w:szCs w:val="18"/>
                <w:color w:val="auto"/>
                <w:w w:val="96"/>
              </w:rPr>
              <w:t>For the Three Months Ended September 30,</w:t>
            </w:r>
          </w:p>
        </w:tc>
      </w:tr>
      <w:tr>
        <w:trPr>
          <w:trHeight w:val="230"/>
        </w:trPr>
        <w:tc>
          <w:tcPr>
            <w:tcW w:w="50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r>
      <w:tr>
        <w:trPr>
          <w:trHeight w:val="224"/>
        </w:trPr>
        <w:tc>
          <w:tcPr>
            <w:tcW w:w="50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r>
      <w:tr>
        <w:trPr>
          <w:trHeight w:val="202"/>
        </w:trPr>
        <w:tc>
          <w:tcPr>
            <w:tcW w:w="50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27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17,366,765</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14,959,935</w:t>
            </w:r>
          </w:p>
        </w:tc>
      </w:tr>
      <w:tr>
        <w:trPr>
          <w:trHeight w:val="210"/>
        </w:trPr>
        <w:tc>
          <w:tcPr>
            <w:tcW w:w="5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2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17,366,765</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14,959,935</w:t>
            </w:r>
          </w:p>
        </w:tc>
      </w:tr>
      <w:tr>
        <w:trPr>
          <w:trHeight w:val="216"/>
        </w:trPr>
        <w:tc>
          <w:tcPr>
            <w:tcW w:w="5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COST OF REVENUES</w:t>
            </w:r>
          </w:p>
        </w:tc>
        <w:tc>
          <w:tcPr>
            <w:tcW w:w="2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10,053,063</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9,397,147</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GROSS PROFIT</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7,313,702</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5,562,788</w:t>
            </w:r>
          </w:p>
        </w:tc>
      </w:tr>
      <w:tr>
        <w:trPr>
          <w:trHeight w:val="209"/>
        </w:trPr>
        <w:tc>
          <w:tcPr>
            <w:tcW w:w="5040" w:type="dxa"/>
            <w:vAlign w:val="bottom"/>
            <w:tcBorders>
              <w:top w:val="single" w:sz="8" w:color="EEEEEE"/>
            </w:tcBorders>
            <w:shd w:val="clear" w:color="auto" w:fill="EEEEEE"/>
          </w:tcPr>
          <w:p>
            <w:pPr>
              <w:spacing w:after="0"/>
              <w:rPr>
                <w:sz w:val="18"/>
                <w:szCs w:val="18"/>
                <w:color w:val="auto"/>
              </w:rPr>
            </w:pPr>
          </w:p>
        </w:tc>
        <w:tc>
          <w:tcPr>
            <w:tcW w:w="26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Selling and fulfillment</w:t>
            </w:r>
          </w:p>
        </w:tc>
        <w:tc>
          <w:tcPr>
            <w:tcW w:w="26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3,665,921</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3,213,674</w:t>
            </w:r>
          </w:p>
        </w:tc>
      </w:tr>
      <w:tr>
        <w:trPr>
          <w:trHeight w:val="230"/>
        </w:trPr>
        <w:tc>
          <w:tcPr>
            <w:tcW w:w="50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2,357,466</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1,272,741</w:t>
            </w:r>
          </w:p>
        </w:tc>
      </w:tr>
      <w:tr>
        <w:trPr>
          <w:trHeight w:val="209"/>
        </w:trPr>
        <w:tc>
          <w:tcPr>
            <w:tcW w:w="504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operating expenses</w:t>
            </w:r>
          </w:p>
        </w:tc>
        <w:tc>
          <w:tcPr>
            <w:tcW w:w="26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bottom w:val="single" w:sz="8" w:color="auto"/>
            </w:tcBorders>
            <w:shd w:val="clear" w:color="auto" w:fill="EEEEEE"/>
          </w:tcPr>
          <w:p>
            <w:pPr>
              <w:spacing w:after="0"/>
              <w:rPr>
                <w:sz w:val="18"/>
                <w:szCs w:val="18"/>
                <w:color w:val="auto"/>
              </w:rPr>
            </w:pPr>
          </w:p>
        </w:tc>
        <w:tc>
          <w:tcPr>
            <w:tcW w:w="14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6,023,387</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bottom w:val="single" w:sz="8" w:color="auto"/>
            </w:tcBorders>
            <w:shd w:val="clear" w:color="auto" w:fill="EEEEEE"/>
          </w:tcPr>
          <w:p>
            <w:pPr>
              <w:spacing w:after="0"/>
              <w:rPr>
                <w:sz w:val="18"/>
                <w:szCs w:val="18"/>
                <w:color w:val="auto"/>
              </w:rPr>
            </w:pPr>
          </w:p>
        </w:tc>
        <w:tc>
          <w:tcPr>
            <w:tcW w:w="1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4,486,415</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5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40" w:type="dxa"/>
            <w:vAlign w:val="bottom"/>
            <w:shd w:val="clear" w:color="auto" w:fill="EEEEEE"/>
          </w:tcPr>
          <w:p>
            <w:pPr>
              <w:spacing w:after="0"/>
              <w:rPr>
                <w:sz w:val="20"/>
                <w:szCs w:val="20"/>
                <w:color w:val="auto"/>
              </w:rPr>
            </w:pPr>
            <w:r>
              <w:rPr>
                <w:rFonts w:ascii="Arial" w:cs="Arial" w:eastAsia="Arial" w:hAnsi="Arial"/>
                <w:sz w:val="18"/>
                <w:szCs w:val="18"/>
                <w:color w:val="auto"/>
              </w:rPr>
              <w:t>INCOME FROM OPERATIONS</w:t>
            </w:r>
          </w:p>
        </w:tc>
        <w:tc>
          <w:tcPr>
            <w:tcW w:w="26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1,290,315</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1,076,373</w:t>
            </w:r>
          </w:p>
        </w:tc>
      </w:tr>
      <w:tr>
        <w:trPr>
          <w:trHeight w:val="20"/>
        </w:trPr>
        <w:tc>
          <w:tcPr>
            <w:tcW w:w="5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00" w:right="3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income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financing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non-operating income (expense)</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Total other (expenses), net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(25,830)</w:t>
            </w:r>
          </w:p>
        </w:tc>
      </w:tr>
      <w:tr>
        <w:trPr>
          <w:trHeight w:val="216"/>
        </w:trPr>
        <w:tc>
          <w:tcPr>
            <w:tcW w:w="480" w:type="dxa"/>
            <w:vAlign w:val="bottom"/>
          </w:tcPr>
          <w:p>
            <w:pPr>
              <w:spacing w:after="0"/>
              <w:rPr>
                <w:sz w:val="18"/>
                <w:szCs w:val="18"/>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(59,000)</w:t>
            </w:r>
          </w:p>
        </w:tc>
        <w:tc>
          <w:tcPr>
            <w:tcW w:w="4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44"/>
        </w:trPr>
        <w:tc>
          <w:tcPr>
            <w:tcW w:w="480" w:type="dxa"/>
            <w:vAlign w:val="bottom"/>
          </w:tcPr>
          <w:p>
            <w:pPr>
              <w:spacing w:after="0"/>
              <w:rPr>
                <w:sz w:val="21"/>
                <w:szCs w:val="21"/>
                <w:color w:val="auto"/>
              </w:rPr>
            </w:pPr>
          </w:p>
        </w:tc>
        <w:tc>
          <w:tcPr>
            <w:tcW w:w="1420" w:type="dxa"/>
            <w:vAlign w:val="bottom"/>
            <w:gridSpan w:val="2"/>
          </w:tcPr>
          <w:p>
            <w:pPr>
              <w:jc w:val="right"/>
              <w:ind w:right="181"/>
              <w:spacing w:after="0"/>
              <w:rPr>
                <w:sz w:val="20"/>
                <w:szCs w:val="20"/>
                <w:color w:val="auto"/>
              </w:rPr>
            </w:pPr>
            <w:r>
              <w:rPr>
                <w:rFonts w:ascii="Arial" w:cs="Arial" w:eastAsia="Arial" w:hAnsi="Arial"/>
                <w:sz w:val="18"/>
                <w:szCs w:val="18"/>
                <w:color w:val="auto"/>
              </w:rPr>
              <w:t>(812)</w:t>
            </w:r>
          </w:p>
        </w:tc>
        <w:tc>
          <w:tcPr>
            <w:tcW w:w="4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7,397</w:t>
            </w:r>
          </w:p>
        </w:tc>
        <w:tc>
          <w:tcPr>
            <w:tcW w:w="60" w:type="dxa"/>
            <w:vAlign w:val="bottom"/>
          </w:tcPr>
          <w:p>
            <w:pPr>
              <w:spacing w:after="0"/>
              <w:rPr>
                <w:sz w:val="21"/>
                <w:szCs w:val="21"/>
                <w:color w:val="auto"/>
              </w:rPr>
            </w:pP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(59,812</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426"/>
        </w:trPr>
        <w:tc>
          <w:tcPr>
            <w:tcW w:w="480" w:type="dxa"/>
            <w:vAlign w:val="bottom"/>
          </w:tcPr>
          <w:p>
            <w:pPr>
              <w:spacing w:after="0"/>
              <w:rPr>
                <w:sz w:val="24"/>
                <w:szCs w:val="24"/>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1,230,503</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1,057,940</w:t>
            </w:r>
          </w:p>
        </w:tc>
        <w:tc>
          <w:tcPr>
            <w:tcW w:w="60" w:type="dxa"/>
            <w:vAlign w:val="bottom"/>
          </w:tcPr>
          <w:p>
            <w:pPr>
              <w:spacing w:after="0"/>
              <w:rPr>
                <w:sz w:val="24"/>
                <w:szCs w:val="24"/>
                <w:color w:val="auto"/>
              </w:rPr>
            </w:pPr>
          </w:p>
        </w:tc>
      </w:tr>
      <w:tr>
        <w:trPr>
          <w:trHeight w:val="445"/>
        </w:trPr>
        <w:tc>
          <w:tcPr>
            <w:tcW w:w="480" w:type="dxa"/>
            <w:vAlign w:val="bottom"/>
          </w:tcPr>
          <w:p>
            <w:pPr>
              <w:spacing w:after="0"/>
              <w:rPr>
                <w:sz w:val="24"/>
                <w:szCs w:val="24"/>
                <w:color w:val="auto"/>
              </w:rPr>
            </w:pP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342,975</w:t>
            </w:r>
          </w:p>
        </w:tc>
        <w:tc>
          <w:tcPr>
            <w:tcW w:w="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295,944</w:t>
            </w:r>
          </w:p>
        </w:tc>
        <w:tc>
          <w:tcPr>
            <w:tcW w:w="60" w:type="dxa"/>
            <w:vAlign w:val="bottom"/>
          </w:tcPr>
          <w:p>
            <w:pPr>
              <w:spacing w:after="0"/>
              <w:rPr>
                <w:sz w:val="24"/>
                <w:szCs w:val="24"/>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41"/>
              <w:spacing w:after="0"/>
              <w:rPr>
                <w:sz w:val="20"/>
                <w:szCs w:val="20"/>
                <w:color w:val="auto"/>
              </w:rPr>
            </w:pPr>
            <w:r>
              <w:rPr>
                <w:rFonts w:ascii="Arial" w:cs="Arial" w:eastAsia="Arial" w:hAnsi="Arial"/>
                <w:sz w:val="18"/>
                <w:szCs w:val="18"/>
                <w:color w:val="auto"/>
              </w:rPr>
              <w:t>887,528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761,996</w:t>
            </w:r>
          </w:p>
        </w:tc>
        <w:tc>
          <w:tcPr>
            <w:tcW w:w="60" w:type="dxa"/>
            <w:vAlign w:val="bottom"/>
          </w:tcPr>
          <w:p>
            <w:pPr>
              <w:spacing w:after="0"/>
              <w:rPr>
                <w:sz w:val="24"/>
                <w:szCs w:val="24"/>
                <w:color w:val="auto"/>
              </w:rPr>
            </w:pP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-1593850</wp:posOffset>
            </wp:positionV>
            <wp:extent cx="713232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-1319530</wp:posOffset>
            </wp:positionV>
            <wp:extent cx="71323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-1036320</wp:posOffset>
            </wp:positionV>
            <wp:extent cx="71323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-744855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-470535</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80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NUMBER OF COMMON STOCK</w:t>
            </w:r>
          </w:p>
        </w:tc>
        <w:tc>
          <w:tcPr>
            <w:tcW w:w="1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040" w:type="dxa"/>
            <w:vAlign w:val="bottom"/>
          </w:tcPr>
          <w:p>
            <w:pPr>
              <w:ind w:left="180"/>
              <w:spacing w:after="0"/>
              <w:rPr>
                <w:sz w:val="20"/>
                <w:szCs w:val="20"/>
                <w:color w:val="auto"/>
              </w:rPr>
            </w:pPr>
            <w:r>
              <w:rPr>
                <w:rFonts w:ascii="Arial" w:cs="Arial" w:eastAsia="Arial" w:hAnsi="Arial"/>
                <w:sz w:val="18"/>
                <w:szCs w:val="18"/>
                <w:color w:val="auto"/>
              </w:rPr>
              <w:t>Basic</w:t>
            </w:r>
          </w:p>
        </w:tc>
        <w:tc>
          <w:tcPr>
            <w:tcW w:w="1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26,484,528</w:t>
            </w:r>
          </w:p>
        </w:tc>
        <w:tc>
          <w:tcPr>
            <w:tcW w:w="42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20,204,496</w:t>
            </w:r>
          </w:p>
        </w:tc>
      </w:tr>
      <w:tr>
        <w:trPr>
          <w:trHeight w:val="197"/>
        </w:trPr>
        <w:tc>
          <w:tcPr>
            <w:tcW w:w="604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Diluted</w:t>
            </w:r>
          </w:p>
        </w:tc>
        <w:tc>
          <w:tcPr>
            <w:tcW w:w="1620" w:type="dxa"/>
            <w:vAlign w:val="bottom"/>
            <w:tcBorders>
              <w:top w:val="single" w:sz="8" w:color="EEEEEE"/>
              <w:bottom w:val="single" w:sz="8" w:color="EEEEEE"/>
            </w:tcBorders>
            <w:shd w:val="clear" w:color="auto" w:fill="EEEEEE"/>
          </w:tcPr>
          <w:p>
            <w:pPr>
              <w:spacing w:after="0"/>
              <w:rPr>
                <w:sz w:val="17"/>
                <w:szCs w:val="17"/>
                <w:color w:val="auto"/>
              </w:rPr>
            </w:pPr>
          </w:p>
        </w:tc>
        <w:tc>
          <w:tcPr>
            <w:tcW w:w="440" w:type="dxa"/>
            <w:vAlign w:val="bottom"/>
            <w:tcBorders>
              <w:top w:val="single" w:sz="8" w:color="auto"/>
              <w:bottom w:val="single" w:sz="8" w:color="auto"/>
            </w:tcBorders>
            <w:shd w:val="clear" w:color="auto" w:fill="EEEEEE"/>
          </w:tcPr>
          <w:p>
            <w:pPr>
              <w:spacing w:after="0"/>
              <w:rPr>
                <w:sz w:val="17"/>
                <w:szCs w:val="17"/>
                <w:color w:val="auto"/>
              </w:rPr>
            </w:pPr>
          </w:p>
        </w:tc>
        <w:tc>
          <w:tcPr>
            <w:tcW w:w="11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26,495,420</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420" w:type="dxa"/>
            <w:vAlign w:val="bottom"/>
            <w:tcBorders>
              <w:top w:val="single" w:sz="8" w:color="auto"/>
              <w:bottom w:val="single" w:sz="8" w:color="auto"/>
            </w:tcBorders>
            <w:shd w:val="clear" w:color="auto" w:fill="EEEEEE"/>
          </w:tcPr>
          <w:p>
            <w:pPr>
              <w:spacing w:after="0"/>
              <w:rPr>
                <w:sz w:val="17"/>
                <w:szCs w:val="17"/>
                <w:color w:val="auto"/>
              </w:rPr>
            </w:pPr>
          </w:p>
        </w:tc>
        <w:tc>
          <w:tcPr>
            <w:tcW w:w="11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20,204,496</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40" w:type="dxa"/>
            <w:vAlign w:val="bottom"/>
            <w:shd w:val="clear" w:color="auto" w:fill="EEEEEE"/>
          </w:tcPr>
          <w:p>
            <w:pPr>
              <w:spacing w:after="0"/>
              <w:rPr>
                <w:sz w:val="20"/>
                <w:szCs w:val="20"/>
                <w:color w:val="auto"/>
              </w:rPr>
            </w:pPr>
            <w:r>
              <w:rPr>
                <w:rFonts w:ascii="Arial" w:cs="Arial" w:eastAsia="Arial" w:hAnsi="Arial"/>
                <w:sz w:val="18"/>
                <w:szCs w:val="18"/>
                <w:color w:val="auto"/>
              </w:rPr>
              <w:t>EARNINGS PER SHARE</w:t>
            </w:r>
          </w:p>
        </w:tc>
        <w:tc>
          <w:tcPr>
            <w:tcW w:w="1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6040" w:type="dxa"/>
            <w:vAlign w:val="bottom"/>
          </w:tcPr>
          <w:p>
            <w:pPr>
              <w:ind w:left="180"/>
              <w:spacing w:after="0"/>
              <w:rPr>
                <w:sz w:val="20"/>
                <w:szCs w:val="20"/>
                <w:color w:val="auto"/>
              </w:rPr>
            </w:pPr>
            <w:r>
              <w:rPr>
                <w:rFonts w:ascii="Arial" w:cs="Arial" w:eastAsia="Arial" w:hAnsi="Arial"/>
                <w:sz w:val="18"/>
                <w:szCs w:val="18"/>
                <w:color w:val="auto"/>
              </w:rPr>
              <w:t>Basic</w:t>
            </w:r>
          </w:p>
        </w:tc>
        <w:tc>
          <w:tcPr>
            <w:tcW w:w="206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0.03</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r>
      <w:tr>
        <w:trPr>
          <w:trHeight w:val="196"/>
        </w:trPr>
        <w:tc>
          <w:tcPr>
            <w:tcW w:w="6040" w:type="dxa"/>
            <w:vAlign w:val="bottom"/>
            <w:tcBorders>
              <w:top w:val="single" w:sz="8" w:color="EEEEEE"/>
              <w:bottom w:val="single" w:sz="8" w:color="EEEEEE"/>
            </w:tcBorders>
            <w:shd w:val="clear" w:color="auto" w:fill="EEEEEE"/>
          </w:tcPr>
          <w:p>
            <w:pPr>
              <w:ind w:left="180"/>
              <w:spacing w:after="0" w:line="190" w:lineRule="exact"/>
              <w:rPr>
                <w:sz w:val="20"/>
                <w:szCs w:val="20"/>
                <w:color w:val="auto"/>
              </w:rPr>
            </w:pPr>
            <w:r>
              <w:rPr>
                <w:rFonts w:ascii="Arial" w:cs="Arial" w:eastAsia="Arial" w:hAnsi="Arial"/>
                <w:sz w:val="18"/>
                <w:szCs w:val="18"/>
                <w:color w:val="auto"/>
              </w:rPr>
              <w:t>Diluted</w:t>
            </w:r>
          </w:p>
        </w:tc>
        <w:tc>
          <w:tcPr>
            <w:tcW w:w="1620" w:type="dxa"/>
            <w:vAlign w:val="bottom"/>
            <w:tcBorders>
              <w:top w:val="single" w:sz="8" w:color="EEEEEE"/>
              <w:bottom w:val="single" w:sz="8" w:color="EEEEEE"/>
            </w:tcBorders>
            <w:shd w:val="clear" w:color="auto" w:fill="EEEEEE"/>
          </w:tcPr>
          <w:p>
            <w:pPr>
              <w:spacing w:after="0"/>
              <w:rPr>
                <w:sz w:val="17"/>
                <w:szCs w:val="17"/>
                <w:color w:val="auto"/>
              </w:rPr>
            </w:pPr>
          </w:p>
        </w:tc>
        <w:tc>
          <w:tcPr>
            <w:tcW w:w="440" w:type="dxa"/>
            <w:vAlign w:val="bottom"/>
            <w:tcBorders>
              <w:top w:val="single" w:sz="8" w:color="auto"/>
              <w:bottom w:val="single" w:sz="8" w:color="auto"/>
            </w:tcBorders>
            <w:shd w:val="clear" w:color="auto" w:fill="EEEEEE"/>
          </w:tcPr>
          <w:p>
            <w:pPr>
              <w:jc w:val="right"/>
              <w:ind w:right="2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0.03</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420" w:type="dxa"/>
            <w:vAlign w:val="bottom"/>
            <w:tcBorders>
              <w:top w:val="single" w:sz="8" w:color="auto"/>
              <w:bottom w:val="single" w:sz="8" w:color="auto"/>
            </w:tcBorders>
            <w:shd w:val="clear" w:color="auto" w:fill="EEEEEE"/>
          </w:tcPr>
          <w:p>
            <w:pPr>
              <w:jc w:val="right"/>
              <w:ind w:right="2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0.04</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60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2021 and 2020</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15"/>
                <w:szCs w:val="15"/>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color w:val="auto"/>
              </w:rPr>
              <w:t>Common Stock *</w:t>
            </w:r>
          </w:p>
        </w:tc>
        <w:tc>
          <w:tcPr>
            <w:tcW w:w="2220" w:type="dxa"/>
            <w:vAlign w:val="bottom"/>
            <w:gridSpan w:val="5"/>
          </w:tcPr>
          <w:p>
            <w:pPr>
              <w:ind w:left="260"/>
              <w:spacing w:after="0"/>
              <w:rPr>
                <w:sz w:val="20"/>
                <w:szCs w:val="20"/>
                <w:color w:val="auto"/>
              </w:rPr>
            </w:pPr>
            <w:r>
              <w:rPr>
                <w:rFonts w:ascii="Arial" w:cs="Arial" w:eastAsia="Arial" w:hAnsi="Arial"/>
                <w:sz w:val="14"/>
                <w:szCs w:val="14"/>
                <w:color w:val="auto"/>
              </w:rPr>
              <w:t>Class B Common Stock *</w:t>
            </w:r>
          </w:p>
        </w:tc>
        <w:tc>
          <w:tcPr>
            <w:tcW w:w="80" w:type="dxa"/>
            <w:vAlign w:val="bottom"/>
          </w:tcPr>
          <w:p>
            <w:pPr>
              <w:spacing w:after="0"/>
              <w:rPr>
                <w:sz w:val="15"/>
                <w:szCs w:val="15"/>
                <w:color w:val="auto"/>
              </w:rPr>
            </w:pPr>
          </w:p>
        </w:tc>
        <w:tc>
          <w:tcPr>
            <w:tcW w:w="1020" w:type="dxa"/>
            <w:vAlign w:val="bottom"/>
            <w:gridSpan w:val="2"/>
          </w:tcPr>
          <w:p>
            <w:pPr>
              <w:jc w:val="right"/>
              <w:ind w:right="259"/>
              <w:spacing w:after="0"/>
              <w:rPr>
                <w:sz w:val="20"/>
                <w:szCs w:val="20"/>
                <w:color w:val="auto"/>
              </w:rPr>
            </w:pPr>
            <w:r>
              <w:rPr>
                <w:rFonts w:ascii="Arial" w:cs="Arial" w:eastAsia="Arial" w:hAnsi="Arial"/>
                <w:sz w:val="14"/>
                <w:szCs w:val="14"/>
                <w:color w:val="auto"/>
                <w:w w:val="90"/>
              </w:rPr>
              <w:t>Subscription</w:t>
            </w:r>
          </w:p>
        </w:tc>
        <w:tc>
          <w:tcPr>
            <w:tcW w:w="120" w:type="dxa"/>
            <w:vAlign w:val="bottom"/>
          </w:tcPr>
          <w:p>
            <w:pPr>
              <w:spacing w:after="0"/>
              <w:rPr>
                <w:sz w:val="15"/>
                <w:szCs w:val="15"/>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rPr>
              <w:t>Additional</w:t>
            </w: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color w:val="auto"/>
                <w:w w:val="99"/>
              </w:rPr>
              <w:t>Retained</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5"/>
        </w:trPr>
        <w:tc>
          <w:tcPr>
            <w:tcW w:w="2380" w:type="dxa"/>
            <w:vAlign w:val="bottom"/>
          </w:tcPr>
          <w:p>
            <w:pPr>
              <w:spacing w:after="0"/>
              <w:rPr>
                <w:sz w:val="13"/>
                <w:szCs w:val="13"/>
                <w:color w:val="auto"/>
              </w:rPr>
            </w:pPr>
          </w:p>
        </w:tc>
        <w:tc>
          <w:tcPr>
            <w:tcW w:w="1160" w:type="dxa"/>
            <w:vAlign w:val="bottom"/>
            <w:tcBorders>
              <w:top w:val="single" w:sz="8" w:color="auto"/>
            </w:tcBorders>
            <w:gridSpan w:val="2"/>
          </w:tcPr>
          <w:p>
            <w:pPr>
              <w:jc w:val="right"/>
              <w:ind w:right="500"/>
              <w:spacing w:after="0" w:line="155" w:lineRule="exact"/>
              <w:rPr>
                <w:sz w:val="20"/>
                <w:szCs w:val="20"/>
                <w:color w:val="auto"/>
              </w:rPr>
            </w:pPr>
            <w:r>
              <w:rPr>
                <w:rFonts w:ascii="Arial" w:cs="Arial" w:eastAsia="Arial" w:hAnsi="Arial"/>
                <w:sz w:val="14"/>
                <w:szCs w:val="14"/>
                <w:color w:val="auto"/>
              </w:rPr>
              <w:t>Shares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color w:val="auto"/>
              </w:rPr>
              <w:t>Amount</w:t>
            </w: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color w:val="auto"/>
              </w:rPr>
              <w:t>Shares</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21"/>
              <w:spacing w:after="0" w:line="155" w:lineRule="exact"/>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299"/>
              <w:spacing w:after="0" w:line="155" w:lineRule="exact"/>
              <w:rPr>
                <w:sz w:val="20"/>
                <w:szCs w:val="20"/>
                <w:color w:val="auto"/>
              </w:rPr>
            </w:pPr>
            <w:r>
              <w:rPr>
                <w:rFonts w:ascii="Arial" w:cs="Arial" w:eastAsia="Arial" w:hAnsi="Arial"/>
                <w:sz w:val="14"/>
                <w:szCs w:val="14"/>
                <w:color w:val="auto"/>
                <w:w w:val="95"/>
              </w:rPr>
              <w:t>Receivable</w:t>
            </w:r>
          </w:p>
        </w:tc>
        <w:tc>
          <w:tcPr>
            <w:tcW w:w="1120" w:type="dxa"/>
            <w:vAlign w:val="bottom"/>
            <w:gridSpan w:val="3"/>
          </w:tcPr>
          <w:p>
            <w:pPr>
              <w:jc w:val="center"/>
              <w:ind w:right="220"/>
              <w:spacing w:after="0" w:line="155" w:lineRule="exact"/>
              <w:rPr>
                <w:sz w:val="20"/>
                <w:szCs w:val="20"/>
                <w:color w:val="auto"/>
              </w:rPr>
            </w:pPr>
            <w:r>
              <w:rPr>
                <w:rFonts w:ascii="Arial" w:cs="Arial" w:eastAsia="Arial" w:hAnsi="Arial"/>
                <w:sz w:val="14"/>
                <w:szCs w:val="14"/>
                <w:color w:val="auto"/>
                <w:w w:val="95"/>
              </w:rPr>
              <w:t>Paid in Capital</w:t>
            </w:r>
          </w:p>
        </w:tc>
        <w:tc>
          <w:tcPr>
            <w:tcW w:w="12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color w:val="auto"/>
              </w:rPr>
              <w:t>Earnings</w:t>
            </w:r>
          </w:p>
        </w:tc>
        <w:tc>
          <w:tcPr>
            <w:tcW w:w="160" w:type="dxa"/>
            <w:vAlign w:val="bottom"/>
          </w:tcPr>
          <w:p>
            <w:pPr>
              <w:spacing w:after="0"/>
              <w:rPr>
                <w:sz w:val="13"/>
                <w:szCs w:val="13"/>
                <w:color w:val="auto"/>
              </w:rPr>
            </w:pPr>
          </w:p>
        </w:tc>
        <w:tc>
          <w:tcPr>
            <w:tcW w:w="840" w:type="dxa"/>
            <w:vAlign w:val="bottom"/>
            <w:gridSpan w:val="3"/>
          </w:tcPr>
          <w:p>
            <w:pPr>
              <w:ind w:left="140"/>
              <w:spacing w:after="0" w:line="155" w:lineRule="exact"/>
              <w:rPr>
                <w:sz w:val="20"/>
                <w:szCs w:val="20"/>
                <w:color w:val="auto"/>
              </w:rPr>
            </w:pPr>
            <w:r>
              <w:rPr>
                <w:rFonts w:ascii="Arial" w:cs="Arial" w:eastAsia="Arial" w:hAnsi="Arial"/>
                <w:sz w:val="14"/>
                <w:szCs w:val="14"/>
                <w:color w:val="auto"/>
              </w:rPr>
              <w:t>Total</w:t>
            </w:r>
          </w:p>
        </w:tc>
      </w:tr>
      <w:tr>
        <w:trPr>
          <w:trHeight w:val="142"/>
        </w:trPr>
        <w:tc>
          <w:tcPr>
            <w:tcW w:w="2380" w:type="dxa"/>
            <w:vAlign w:val="bottom"/>
            <w:tcBorders>
              <w:top w:val="single" w:sz="8" w:color="EEEEEE"/>
            </w:tcBorders>
            <w:shd w:val="clear" w:color="auto" w:fill="EEEEEE"/>
          </w:tcPr>
          <w:p>
            <w:pPr>
              <w:spacing w:after="0" w:line="142" w:lineRule="exact"/>
              <w:rPr>
                <w:sz w:val="20"/>
                <w:szCs w:val="20"/>
                <w:color w:val="auto"/>
              </w:rPr>
            </w:pPr>
            <w:r>
              <w:rPr>
                <w:rFonts w:ascii="Arial" w:cs="Arial" w:eastAsia="Arial" w:hAnsi="Arial"/>
                <w:sz w:val="14"/>
                <w:szCs w:val="14"/>
                <w:color w:val="auto"/>
              </w:rPr>
              <w:t>Balance, June 30, 2021</w:t>
            </w: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26,448,663</w:t>
            </w:r>
          </w:p>
        </w:tc>
        <w:tc>
          <w:tcPr>
            <w:tcW w:w="24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26,449</w:t>
            </w:r>
          </w:p>
        </w:tc>
        <w:tc>
          <w:tcPr>
            <w:tcW w:w="240" w:type="dxa"/>
            <w:vAlign w:val="bottom"/>
            <w:tcBorders>
              <w:top w:val="single" w:sz="8" w:color="EEEEEE"/>
            </w:tcBorders>
            <w:shd w:val="clear" w:color="auto" w:fill="EEEEEE"/>
          </w:tcPr>
          <w:p>
            <w:pPr>
              <w:spacing w:after="0"/>
              <w:rPr>
                <w:sz w:val="12"/>
                <w:szCs w:val="12"/>
                <w:color w:val="auto"/>
              </w:rPr>
            </w:pPr>
          </w:p>
        </w:tc>
        <w:tc>
          <w:tcPr>
            <w:tcW w:w="90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23,214,263</w:t>
            </w:r>
          </w:p>
        </w:tc>
        <w:tc>
          <w:tcPr>
            <w:tcW w:w="220" w:type="dxa"/>
            <w:vAlign w:val="bottom"/>
            <w:tcBorders>
              <w:top w:val="single" w:sz="8" w:color="EEEEEE"/>
            </w:tcBorders>
            <w:shd w:val="clear" w:color="auto" w:fill="EEEEEE"/>
          </w:tcPr>
          <w:p>
            <w:pPr>
              <w:spacing w:after="0"/>
              <w:rPr>
                <w:sz w:val="12"/>
                <w:szCs w:val="12"/>
                <w:color w:val="auto"/>
              </w:rPr>
            </w:pPr>
          </w:p>
        </w:tc>
        <w:tc>
          <w:tcPr>
            <w:tcW w:w="120" w:type="dxa"/>
            <w:vAlign w:val="bottom"/>
            <w:tcBorders>
              <w:top w:val="single" w:sz="8" w:color="auto"/>
            </w:tcBorders>
            <w:shd w:val="clear" w:color="auto" w:fill="EEEEEE"/>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1,745,073</w:t>
            </w:r>
          </w:p>
        </w:tc>
        <w:tc>
          <w:tcPr>
            <w:tcW w:w="2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24,985,785</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4"/>
                <w:szCs w:val="14"/>
                <w:color w:val="auto"/>
              </w:rPr>
              <w:t>Net income</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887,528</w:t>
            </w:r>
          </w:p>
        </w:tc>
        <w:tc>
          <w:tcPr>
            <w:tcW w:w="16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887,528</w:t>
            </w: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4"/>
                <w:szCs w:val="14"/>
                <w:color w:val="auto"/>
              </w:rPr>
              <w:t>Restricted stock units vested</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99"/>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103,054</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100"/>
              <w:spacing w:after="0"/>
              <w:rPr>
                <w:sz w:val="20"/>
                <w:szCs w:val="20"/>
                <w:color w:val="auto"/>
              </w:rPr>
            </w:pPr>
            <w:r>
              <w:rPr>
                <w:rFonts w:ascii="Arial" w:cs="Arial" w:eastAsia="Arial" w:hAnsi="Arial"/>
                <w:sz w:val="14"/>
                <w:szCs w:val="14"/>
                <w:color w:val="auto"/>
              </w:rPr>
              <w:t>103,054</w:t>
            </w:r>
          </w:p>
        </w:tc>
      </w:tr>
      <w:tr>
        <w:trPr>
          <w:trHeight w:val="110"/>
        </w:trPr>
        <w:tc>
          <w:tcPr>
            <w:tcW w:w="2380" w:type="dxa"/>
            <w:vAlign w:val="bottom"/>
          </w:tcPr>
          <w:p>
            <w:pPr>
              <w:spacing w:after="0" w:line="110" w:lineRule="exact"/>
              <w:rPr>
                <w:sz w:val="20"/>
                <w:szCs w:val="20"/>
                <w:color w:val="auto"/>
              </w:rPr>
            </w:pPr>
            <w:r>
              <w:rPr>
                <w:rFonts w:ascii="Arial" w:cs="Arial" w:eastAsia="Arial" w:hAnsi="Arial"/>
                <w:sz w:val="12"/>
                <w:szCs w:val="12"/>
                <w:color w:val="auto"/>
              </w:rPr>
              <w:t>Balance, September 30, 2021,</w:t>
            </w: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34"/>
        </w:trPr>
        <w:tc>
          <w:tcPr>
            <w:tcW w:w="2380" w:type="dxa"/>
            <w:vAlign w:val="bottom"/>
          </w:tcPr>
          <w:p>
            <w:pPr>
              <w:ind w:left="100"/>
              <w:spacing w:after="0"/>
              <w:rPr>
                <w:sz w:val="20"/>
                <w:szCs w:val="20"/>
                <w:color w:val="auto"/>
              </w:rPr>
            </w:pPr>
            <w:r>
              <w:rPr>
                <w:rFonts w:ascii="Arial" w:cs="Arial" w:eastAsia="Arial" w:hAnsi="Arial"/>
                <w:sz w:val="14"/>
                <w:szCs w:val="14"/>
                <w:color w:val="auto"/>
              </w:rPr>
              <w:t>unaudited</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26,448,663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26,449</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23,317,317</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2,632,601</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25,976,367</w:t>
            </w:r>
          </w:p>
        </w:tc>
        <w:tc>
          <w:tcPr>
            <w:tcW w:w="80" w:type="dxa"/>
            <w:vAlign w:val="bottom"/>
          </w:tcPr>
          <w:p>
            <w:pPr>
              <w:spacing w:after="0"/>
              <w:rPr>
                <w:sz w:val="20"/>
                <w:szCs w:val="20"/>
                <w:color w:val="auto"/>
              </w:rPr>
            </w:pPr>
          </w:p>
        </w:tc>
      </w:tr>
      <w:tr>
        <w:trPr>
          <w:trHeight w:val="129"/>
        </w:trPr>
        <w:tc>
          <w:tcPr>
            <w:tcW w:w="2380" w:type="dxa"/>
            <w:vAlign w:val="bottom"/>
            <w:tcBorders>
              <w:top w:val="single" w:sz="8" w:color="EEEEEE"/>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24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auto"/>
            </w:tcBorders>
            <w:shd w:val="clear" w:color="auto" w:fill="EEEEEE"/>
          </w:tcPr>
          <w:p>
            <w:pPr>
              <w:spacing w:after="0"/>
              <w:rPr>
                <w:sz w:val="11"/>
                <w:szCs w:val="11"/>
                <w:color w:val="auto"/>
              </w:rPr>
            </w:pPr>
          </w:p>
        </w:tc>
        <w:tc>
          <w:tcPr>
            <w:tcW w:w="760" w:type="dxa"/>
            <w:vAlign w:val="bottom"/>
            <w:tcBorders>
              <w:top w:val="single" w:sz="8" w:color="auto"/>
            </w:tcBorders>
            <w:shd w:val="clear" w:color="auto" w:fill="EEEEEE"/>
          </w:tcPr>
          <w:p>
            <w:pPr>
              <w:spacing w:after="0"/>
              <w:rPr>
                <w:sz w:val="11"/>
                <w:szCs w:val="11"/>
                <w:color w:val="auto"/>
              </w:rPr>
            </w:pPr>
          </w:p>
        </w:tc>
        <w:tc>
          <w:tcPr>
            <w:tcW w:w="240" w:type="dxa"/>
            <w:vAlign w:val="bottom"/>
            <w:tcBorders>
              <w:top w:val="single" w:sz="8" w:color="EEEEEE"/>
            </w:tcBorders>
            <w:shd w:val="clear" w:color="auto" w:fill="EEEEEE"/>
          </w:tcPr>
          <w:p>
            <w:pPr>
              <w:spacing w:after="0"/>
              <w:rPr>
                <w:sz w:val="11"/>
                <w:szCs w:val="11"/>
                <w:color w:val="auto"/>
              </w:rPr>
            </w:pPr>
          </w:p>
        </w:tc>
        <w:tc>
          <w:tcPr>
            <w:tcW w:w="90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40" w:type="dxa"/>
            <w:vAlign w:val="bottom"/>
            <w:tcBorders>
              <w:top w:val="single" w:sz="8" w:color="auto"/>
            </w:tcBorders>
            <w:shd w:val="clear" w:color="auto" w:fill="EEEEEE"/>
          </w:tcPr>
          <w:p>
            <w:pPr>
              <w:spacing w:after="0"/>
              <w:rPr>
                <w:sz w:val="11"/>
                <w:szCs w:val="11"/>
                <w:color w:val="auto"/>
              </w:rPr>
            </w:pPr>
          </w:p>
        </w:tc>
        <w:tc>
          <w:tcPr>
            <w:tcW w:w="74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80" w:type="dxa"/>
            <w:vAlign w:val="bottom"/>
            <w:tcBorders>
              <w:top w:val="single" w:sz="8" w:color="auto"/>
            </w:tcBorders>
            <w:shd w:val="clear" w:color="auto" w:fill="EEEEEE"/>
          </w:tcPr>
          <w:p>
            <w:pPr>
              <w:spacing w:after="0"/>
              <w:rPr>
                <w:sz w:val="11"/>
                <w:szCs w:val="11"/>
                <w:color w:val="auto"/>
              </w:rPr>
            </w:pPr>
          </w:p>
        </w:tc>
        <w:tc>
          <w:tcPr>
            <w:tcW w:w="820" w:type="dxa"/>
            <w:vAlign w:val="bottom"/>
            <w:tcBorders>
              <w:top w:val="single" w:sz="8" w:color="auto"/>
            </w:tcBorders>
            <w:shd w:val="clear" w:color="auto" w:fill="EEEEEE"/>
          </w:tcPr>
          <w:p>
            <w:pPr>
              <w:spacing w:after="0"/>
              <w:rPr>
                <w:sz w:val="11"/>
                <w:szCs w:val="11"/>
                <w:color w:val="auto"/>
              </w:rPr>
            </w:pPr>
          </w:p>
        </w:tc>
        <w:tc>
          <w:tcPr>
            <w:tcW w:w="20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auto"/>
            </w:tcBorders>
            <w:shd w:val="clear" w:color="auto" w:fill="EEEEEE"/>
          </w:tcPr>
          <w:p>
            <w:pPr>
              <w:spacing w:after="0"/>
              <w:rPr>
                <w:sz w:val="11"/>
                <w:szCs w:val="11"/>
                <w:color w:val="auto"/>
              </w:rPr>
            </w:pPr>
          </w:p>
        </w:tc>
        <w:tc>
          <w:tcPr>
            <w:tcW w:w="78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20" w:type="dxa"/>
            <w:vAlign w:val="bottom"/>
            <w:tcBorders>
              <w:top w:val="single" w:sz="8" w:color="auto"/>
            </w:tcBorders>
            <w:shd w:val="clear" w:color="auto" w:fill="EEEEEE"/>
          </w:tcPr>
          <w:p>
            <w:pPr>
              <w:spacing w:after="0"/>
              <w:rPr>
                <w:sz w:val="11"/>
                <w:szCs w:val="11"/>
                <w:color w:val="auto"/>
              </w:rPr>
            </w:pPr>
          </w:p>
        </w:tc>
        <w:tc>
          <w:tcPr>
            <w:tcW w:w="760" w:type="dxa"/>
            <w:vAlign w:val="bottom"/>
            <w:tcBorders>
              <w:top w:val="single" w:sz="8" w:color="auto"/>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60" w:type="dxa"/>
            <w:vAlign w:val="bottom"/>
            <w:tcBorders>
              <w:top w:val="single" w:sz="8" w:color="auto"/>
            </w:tcBorders>
            <w:shd w:val="clear" w:color="auto" w:fill="EEEEEE"/>
          </w:tcPr>
          <w:p>
            <w:pPr>
              <w:spacing w:after="0"/>
              <w:rPr>
                <w:sz w:val="11"/>
                <w:szCs w:val="11"/>
                <w:color w:val="auto"/>
              </w:rPr>
            </w:pPr>
          </w:p>
        </w:tc>
        <w:tc>
          <w:tcPr>
            <w:tcW w:w="740" w:type="dxa"/>
            <w:vAlign w:val="bottom"/>
            <w:tcBorders>
              <w:top w:val="single" w:sz="8" w:color="auto"/>
            </w:tcBorders>
            <w:shd w:val="clear" w:color="auto" w:fill="EEEEEE"/>
          </w:tcPr>
          <w:p>
            <w:pPr>
              <w:spacing w:after="0"/>
              <w:rPr>
                <w:sz w:val="11"/>
                <w:szCs w:val="11"/>
                <w:color w:val="auto"/>
              </w:rPr>
            </w:pPr>
          </w:p>
        </w:tc>
        <w:tc>
          <w:tcPr>
            <w:tcW w:w="20" w:type="dxa"/>
            <w:vAlign w:val="bottom"/>
            <w:tcBorders>
              <w:top w:val="single" w:sz="8" w:color="EEEEEE"/>
            </w:tcBorders>
            <w:shd w:val="clear" w:color="auto" w:fill="EEEEEE"/>
          </w:tcPr>
          <w:p>
            <w:pPr>
              <w:spacing w:after="0"/>
              <w:rPr>
                <w:sz w:val="11"/>
                <w:szCs w:val="11"/>
                <w:color w:val="auto"/>
              </w:rPr>
            </w:pPr>
          </w:p>
        </w:tc>
        <w:tc>
          <w:tcPr>
            <w:tcW w:w="80" w:type="dxa"/>
            <w:vAlign w:val="bottom"/>
            <w:tcBorders>
              <w:top w:val="single" w:sz="8" w:color="EEEEEE"/>
            </w:tcBorders>
            <w:shd w:val="clear" w:color="auto" w:fill="EEEEEE"/>
          </w:tcPr>
          <w:p>
            <w:pPr>
              <w:spacing w:after="0"/>
              <w:rPr>
                <w:sz w:val="11"/>
                <w:szCs w:val="11"/>
                <w:color w:val="auto"/>
              </w:rPr>
            </w:pPr>
          </w:p>
        </w:tc>
      </w:tr>
      <w:tr>
        <w:trPr>
          <w:trHeight w:val="148"/>
        </w:trPr>
        <w:tc>
          <w:tcPr>
            <w:tcW w:w="2380" w:type="dxa"/>
            <w:vAlign w:val="bottom"/>
          </w:tcPr>
          <w:p>
            <w:pPr>
              <w:spacing w:after="0" w:line="149" w:lineRule="exact"/>
              <w:rPr>
                <w:sz w:val="20"/>
                <w:szCs w:val="20"/>
                <w:color w:val="auto"/>
              </w:rPr>
            </w:pPr>
            <w:r>
              <w:rPr>
                <w:rFonts w:ascii="Arial" w:cs="Arial" w:eastAsia="Arial" w:hAnsi="Arial"/>
                <w:sz w:val="14"/>
                <w:szCs w:val="14"/>
                <w:color w:val="auto"/>
              </w:rPr>
              <w:t>Balance, June 30, 2020</w:t>
            </w: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20,204,496</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20,204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14,000,000</w:t>
            </w: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14,000</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(14,000)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389,490</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2,520,822</w:t>
            </w: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2,930,516</w:t>
            </w:r>
          </w:p>
        </w:tc>
        <w:tc>
          <w:tcPr>
            <w:tcW w:w="80" w:type="dxa"/>
            <w:vAlign w:val="bottom"/>
          </w:tcPr>
          <w:p>
            <w:pPr>
              <w:spacing w:after="0"/>
              <w:rPr>
                <w:sz w:val="12"/>
                <w:szCs w:val="12"/>
                <w:color w:val="auto"/>
              </w:rPr>
            </w:pPr>
          </w:p>
        </w:tc>
      </w:tr>
      <w:tr>
        <w:trPr>
          <w:trHeight w:val="216"/>
        </w:trPr>
        <w:tc>
          <w:tcPr>
            <w:tcW w:w="2380" w:type="dxa"/>
            <w:vAlign w:val="bottom"/>
            <w:shd w:val="clear" w:color="auto" w:fill="EEEEEE"/>
          </w:tcPr>
          <w:p>
            <w:pPr>
              <w:spacing w:after="0"/>
              <w:rPr>
                <w:sz w:val="20"/>
                <w:szCs w:val="20"/>
                <w:color w:val="auto"/>
              </w:rPr>
            </w:pPr>
            <w:r>
              <w:rPr>
                <w:rFonts w:ascii="Arial" w:cs="Arial" w:eastAsia="Arial" w:hAnsi="Arial"/>
                <w:sz w:val="14"/>
                <w:szCs w:val="14"/>
                <w:color w:val="auto"/>
              </w:rPr>
              <w:t>Net income</w:t>
            </w:r>
          </w:p>
        </w:tc>
        <w:tc>
          <w:tcPr>
            <w:tcW w:w="11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59"/>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4"/>
                <w:szCs w:val="14"/>
                <w:color w:val="auto"/>
              </w:rPr>
              <w:t>761,996</w:t>
            </w:r>
          </w:p>
        </w:tc>
        <w:tc>
          <w:tcPr>
            <w:tcW w:w="160" w:type="dxa"/>
            <w:vAlign w:val="bottom"/>
            <w:shd w:val="clear" w:color="auto" w:fill="EEEEEE"/>
          </w:tcPr>
          <w:p>
            <w:pPr>
              <w:spacing w:after="0"/>
              <w:rPr>
                <w:sz w:val="18"/>
                <w:szCs w:val="18"/>
                <w:color w:val="auto"/>
              </w:rPr>
            </w:pPr>
          </w:p>
        </w:tc>
        <w:tc>
          <w:tcPr>
            <w:tcW w:w="840" w:type="dxa"/>
            <w:vAlign w:val="bottom"/>
            <w:gridSpan w:val="3"/>
            <w:shd w:val="clear" w:color="auto" w:fill="EEEEEE"/>
          </w:tcPr>
          <w:p>
            <w:pPr>
              <w:jc w:val="right"/>
              <w:ind w:right="100"/>
              <w:spacing w:after="0"/>
              <w:rPr>
                <w:sz w:val="20"/>
                <w:szCs w:val="20"/>
                <w:color w:val="auto"/>
              </w:rPr>
            </w:pPr>
            <w:r>
              <w:rPr>
                <w:rFonts w:ascii="Arial" w:cs="Arial" w:eastAsia="Arial" w:hAnsi="Arial"/>
                <w:sz w:val="14"/>
                <w:szCs w:val="14"/>
                <w:color w:val="auto"/>
              </w:rPr>
              <w:t>761,996</w:t>
            </w:r>
          </w:p>
        </w:tc>
      </w:tr>
      <w:tr>
        <w:trPr>
          <w:trHeight w:val="155"/>
        </w:trPr>
        <w:tc>
          <w:tcPr>
            <w:tcW w:w="2380" w:type="dxa"/>
            <w:vAlign w:val="bottom"/>
          </w:tcPr>
          <w:p>
            <w:pPr>
              <w:spacing w:after="0" w:line="155" w:lineRule="exact"/>
              <w:rPr>
                <w:sz w:val="20"/>
                <w:szCs w:val="20"/>
                <w:color w:val="auto"/>
              </w:rPr>
            </w:pPr>
            <w:r>
              <w:rPr>
                <w:rFonts w:ascii="Arial" w:cs="Arial" w:eastAsia="Arial" w:hAnsi="Arial"/>
                <w:sz w:val="14"/>
                <w:szCs w:val="14"/>
                <w:color w:val="auto"/>
              </w:rPr>
              <w:t>Balance, September 30, 2020</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20,204,496</w:t>
            </w:r>
          </w:p>
        </w:tc>
        <w:tc>
          <w:tcPr>
            <w:tcW w:w="2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20,204</w:t>
            </w:r>
          </w:p>
        </w:tc>
        <w:tc>
          <w:tcPr>
            <w:tcW w:w="2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14,000,000</w:t>
            </w:r>
          </w:p>
        </w:tc>
        <w:tc>
          <w:tcPr>
            <w:tcW w:w="2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14,000</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(14,000</w:t>
            </w:r>
          </w:p>
        </w:tc>
        <w:tc>
          <w:tcPr>
            <w:tcW w:w="200" w:type="dxa"/>
            <w:vAlign w:val="bottom"/>
          </w:tcPr>
          <w:p>
            <w:pPr>
              <w:jc w:val="right"/>
              <w:ind w:right="11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389,490</w:t>
            </w:r>
          </w:p>
        </w:tc>
        <w:tc>
          <w:tcPr>
            <w:tcW w:w="22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3,282,818</w:t>
            </w:r>
          </w:p>
        </w:tc>
        <w:tc>
          <w:tcPr>
            <w:tcW w:w="2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3,692,512</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20"/>
        </w:trPr>
        <w:tc>
          <w:tcPr>
            <w:tcW w:w="2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520" w:right="340" w:hanging="51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and combined financial statements have been retroactively adjusted.</w:t>
      </w:r>
    </w:p>
    <w:p>
      <w:pPr>
        <w:spacing w:after="0" w:line="183" w:lineRule="exact"/>
        <w:rPr>
          <w:rFonts w:ascii="Arial" w:cs="Arial" w:eastAsia="Arial" w:hAnsi="Arial"/>
          <w:sz w:val="18"/>
          <w:szCs w:val="18"/>
          <w:color w:val="auto"/>
        </w:rPr>
      </w:pPr>
    </w:p>
    <w:p>
      <w:pPr>
        <w:ind w:left="520" w:right="120" w:hanging="512"/>
        <w:spacing w:after="0" w:line="263"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iPower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Three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60" w:type="dxa"/>
            <w:vAlign w:val="bottom"/>
            <w:gridSpan w:val="5"/>
          </w:tcPr>
          <w:p>
            <w:pPr>
              <w:jc w:val="right"/>
              <w:ind w:right="260"/>
              <w:spacing w:after="0"/>
              <w:rPr>
                <w:sz w:val="20"/>
                <w:szCs w:val="20"/>
                <w:color w:val="auto"/>
              </w:rPr>
            </w:pPr>
            <w:r>
              <w:rPr>
                <w:rFonts w:ascii="Arial" w:cs="Arial" w:eastAsia="Arial" w:hAnsi="Arial"/>
                <w:sz w:val="18"/>
                <w:szCs w:val="18"/>
                <w:color w:val="auto"/>
                <w:w w:val="90"/>
              </w:rPr>
              <w:t>For the Three Months Ended September 30,</w:t>
            </w: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70"/>
              <w:spacing w:after="0"/>
              <w:rPr>
                <w:sz w:val="20"/>
                <w:szCs w:val="20"/>
                <w:color w:val="auto"/>
              </w:rPr>
            </w:pPr>
            <w:r>
              <w:rPr>
                <w:rFonts w:ascii="Arial" w:cs="Arial" w:eastAsia="Arial" w:hAnsi="Arial"/>
                <w:sz w:val="18"/>
                <w:szCs w:val="18"/>
                <w:color w:val="auto"/>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20"/>
                <w:szCs w:val="20"/>
                <w:color w:val="auto"/>
              </w:rPr>
            </w:pPr>
            <w:r>
              <w:rPr>
                <w:rFonts w:ascii="Arial" w:cs="Arial" w:eastAsia="Arial" w:hAnsi="Arial"/>
                <w:sz w:val="18"/>
                <w:szCs w:val="18"/>
                <w:color w:val="auto"/>
              </w:rPr>
              <w:t>CASH FLOWS FROM OPERATING ACTIVITIES: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887,528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761,996</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Depreciation expense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4,056</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Stock-based compensation expense</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103,054</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Non-cash operating lease expense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(4,246)</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Change in operating assets and liabilities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(5,187,599)</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(1,128,723)</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Inventories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(1,528,337)</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(1,985,870)</w:t>
            </w:r>
          </w:p>
        </w:tc>
        <w:tc>
          <w:tcPr>
            <w:tcW w:w="0" w:type="dxa"/>
            <w:vAlign w:val="bottom"/>
          </w:tcPr>
          <w:p>
            <w:pPr>
              <w:spacing w:after="0"/>
              <w:rPr>
                <w:sz w:val="1"/>
                <w:szCs w:val="1"/>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Prepayments and other current assets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(1,550,930)</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(110,322)</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Non-current prepayments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107,917</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Other non-current assets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(228,998)</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(96,930)</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Accounts payable</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2,245,483</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2,111,317</w:t>
            </w:r>
          </w:p>
        </w:tc>
        <w:tc>
          <w:tcPr>
            <w:tcW w:w="0" w:type="dxa"/>
            <w:vAlign w:val="bottom"/>
          </w:tcPr>
          <w:p>
            <w:pPr>
              <w:spacing w:after="0"/>
              <w:rPr>
                <w:sz w:val="1"/>
                <w:szCs w:val="1"/>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Credit cards payable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202,865</w:t>
            </w: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50,155</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Customer deposit</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(49,023)</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(4,262)</w:t>
            </w:r>
          </w:p>
        </w:tc>
        <w:tc>
          <w:tcPr>
            <w:tcW w:w="0" w:type="dxa"/>
            <w:vAlign w:val="bottom"/>
          </w:tcPr>
          <w:p>
            <w:pPr>
              <w:spacing w:after="0"/>
              <w:rPr>
                <w:sz w:val="1"/>
                <w:szCs w:val="1"/>
                <w:color w:val="auto"/>
              </w:rPr>
            </w:pPr>
          </w:p>
        </w:tc>
      </w:tr>
      <w:tr>
        <w:trPr>
          <w:trHeight w:val="216"/>
        </w:trPr>
        <w:tc>
          <w:tcPr>
            <w:tcW w:w="6700" w:type="dxa"/>
            <w:vAlign w:val="bottom"/>
          </w:tcPr>
          <w:p>
            <w:pPr>
              <w:ind w:left="540"/>
              <w:spacing w:after="0"/>
              <w:rPr>
                <w:sz w:val="20"/>
                <w:szCs w:val="20"/>
                <w:color w:val="auto"/>
              </w:rPr>
            </w:pPr>
            <w:r>
              <w:rPr>
                <w:rFonts w:ascii="Arial" w:cs="Arial" w:eastAsia="Arial" w:hAnsi="Arial"/>
                <w:sz w:val="18"/>
                <w:szCs w:val="18"/>
                <w:color w:val="auto"/>
              </w:rPr>
              <w:t>Other payables and accrued 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202,723</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(626,386)</w:t>
            </w:r>
          </w:p>
        </w:tc>
        <w:tc>
          <w:tcPr>
            <w:tcW w:w="0" w:type="dxa"/>
            <w:vAlign w:val="bottom"/>
          </w:tcPr>
          <w:p>
            <w:pPr>
              <w:spacing w:after="0"/>
              <w:rPr>
                <w:sz w:val="1"/>
                <w:szCs w:val="1"/>
                <w:color w:val="auto"/>
              </w:rPr>
            </w:pPr>
          </w:p>
        </w:tc>
      </w:tr>
      <w:tr>
        <w:trPr>
          <w:trHeight w:val="229"/>
        </w:trPr>
        <w:tc>
          <w:tcPr>
            <w:tcW w:w="670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Income taxes payable</w:t>
            </w: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(413,678)</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295,341</w:t>
            </w:r>
          </w:p>
        </w:tc>
        <w:tc>
          <w:tcPr>
            <w:tcW w:w="0" w:type="dxa"/>
            <w:vAlign w:val="bottom"/>
          </w:tcPr>
          <w:p>
            <w:pPr>
              <w:spacing w:after="0"/>
              <w:rPr>
                <w:sz w:val="1"/>
                <w:szCs w:val="1"/>
                <w:color w:val="auto"/>
              </w:rPr>
            </w:pPr>
          </w:p>
        </w:tc>
      </w:tr>
      <w:tr>
        <w:trPr>
          <w:trHeight w:val="210"/>
        </w:trPr>
        <w:tc>
          <w:tcPr>
            <w:tcW w:w="6700" w:type="dxa"/>
            <w:vAlign w:val="bottom"/>
          </w:tcPr>
          <w:p>
            <w:pPr>
              <w:ind w:left="540"/>
              <w:spacing w:after="0"/>
              <w:rPr>
                <w:sz w:val="20"/>
                <w:szCs w:val="20"/>
                <w:color w:val="auto"/>
              </w:rPr>
            </w:pPr>
            <w:r>
              <w:rPr>
                <w:rFonts w:ascii="Arial" w:cs="Arial" w:eastAsia="Arial" w:hAnsi="Arial"/>
                <w:sz w:val="18"/>
                <w:szCs w:val="18"/>
                <w:color w:val="auto"/>
              </w:rPr>
              <w:t>Net cash (used in) operating activities</w:t>
            </w: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(5,209,185)</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(731,948)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Purchase of equipment</w:t>
            </w: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(50,423)</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(49,585)</w:t>
            </w:r>
          </w:p>
        </w:tc>
        <w:tc>
          <w:tcPr>
            <w:tcW w:w="0" w:type="dxa"/>
            <w:vAlign w:val="bottom"/>
          </w:tcPr>
          <w:p>
            <w:pPr>
              <w:spacing w:after="0"/>
              <w:rPr>
                <w:sz w:val="1"/>
                <w:szCs w:val="1"/>
                <w:color w:val="auto"/>
              </w:rPr>
            </w:pPr>
          </w:p>
        </w:tc>
      </w:tr>
      <w:tr>
        <w:trPr>
          <w:trHeight w:val="209"/>
        </w:trPr>
        <w:tc>
          <w:tcPr>
            <w:tcW w:w="670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(50,423)</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(49,585)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related parties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133,577</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Payments to related parties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Proceeds from short-term loans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1,604,292</w:t>
            </w:r>
          </w:p>
        </w:tc>
        <w:tc>
          <w:tcPr>
            <w:tcW w:w="22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8,215,831</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Arial" w:cs="Arial" w:eastAsia="Arial" w:hAnsi="Arial"/>
                <w:sz w:val="18"/>
                <w:szCs w:val="18"/>
                <w:color w:val="auto"/>
              </w:rPr>
              <w:t>Payments on short-term loans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(1,767,061)</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(7,734,599)</w:t>
            </w:r>
          </w:p>
        </w:tc>
        <w:tc>
          <w:tcPr>
            <w:tcW w:w="0" w:type="dxa"/>
            <w:vAlign w:val="bottom"/>
          </w:tcPr>
          <w:p>
            <w:pPr>
              <w:spacing w:after="0"/>
              <w:rPr>
                <w:sz w:val="1"/>
                <w:szCs w:val="1"/>
                <w:color w:val="auto"/>
              </w:rPr>
            </w:pPr>
          </w:p>
        </w:tc>
      </w:tr>
      <w:tr>
        <w:trPr>
          <w:trHeight w:val="229"/>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Payments on long-term loans</w:t>
            </w: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(9,748)</w:t>
            </w:r>
          </w:p>
        </w:tc>
        <w:tc>
          <w:tcPr>
            <w:tcW w:w="22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0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9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(172,517)</w:t>
            </w:r>
          </w:p>
        </w:tc>
        <w:tc>
          <w:tcPr>
            <w:tcW w:w="3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CHANGES IN CASH</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(5,432,125)</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(256,724)</w:t>
            </w:r>
          </w:p>
        </w:tc>
        <w:tc>
          <w:tcPr>
            <w:tcW w:w="0" w:type="dxa"/>
            <w:vAlign w:val="bottom"/>
          </w:tcPr>
          <w:p>
            <w:pPr>
              <w:spacing w:after="0"/>
              <w:rPr>
                <w:sz w:val="1"/>
                <w:szCs w:val="1"/>
                <w:color w:val="auto"/>
              </w:rPr>
            </w:pPr>
          </w:p>
        </w:tc>
      </w:tr>
      <w:tr>
        <w:trPr>
          <w:trHeight w:val="216"/>
        </w:trPr>
        <w:tc>
          <w:tcPr>
            <w:tcW w:w="670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CASH AND CASH EQUIVALENT, beginning of year</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6,651,705</w:t>
            </w:r>
          </w:p>
        </w:tc>
        <w:tc>
          <w:tcPr>
            <w:tcW w:w="220" w:type="dxa"/>
            <w:vAlign w:val="bottom"/>
          </w:tcPr>
          <w:p>
            <w:pPr>
              <w:spacing w:after="0"/>
              <w:rPr>
                <w:sz w:val="19"/>
                <w:szCs w:val="19"/>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977,635</w:t>
            </w:r>
          </w:p>
        </w:tc>
        <w:tc>
          <w:tcPr>
            <w:tcW w:w="0" w:type="dxa"/>
            <w:vAlign w:val="bottom"/>
          </w:tcPr>
          <w:p>
            <w:pPr>
              <w:spacing w:after="0"/>
              <w:rPr>
                <w:sz w:val="1"/>
                <w:szCs w:val="1"/>
                <w:color w:val="auto"/>
              </w:rPr>
            </w:pPr>
          </w:p>
        </w:tc>
      </w:tr>
      <w:tr>
        <w:trPr>
          <w:trHeight w:val="210"/>
        </w:trPr>
        <w:tc>
          <w:tcPr>
            <w:tcW w:w="6700" w:type="dxa"/>
            <w:vAlign w:val="bottom"/>
            <w:tcBorders>
              <w:top w:val="single" w:sz="8" w:color="EEEEEE"/>
            </w:tcBorders>
            <w:shd w:val="clear" w:color="auto" w:fill="EEEEEE"/>
          </w:tcPr>
          <w:p>
            <w:pPr>
              <w:spacing w:after="0"/>
              <w:rPr>
                <w:sz w:val="18"/>
                <w:szCs w:val="18"/>
                <w:color w:val="auto"/>
              </w:rPr>
            </w:pPr>
          </w:p>
        </w:tc>
        <w:tc>
          <w:tcPr>
            <w:tcW w:w="9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36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700" w:type="dxa"/>
            <w:vAlign w:val="bottom"/>
          </w:tcPr>
          <w:p>
            <w:pPr>
              <w:spacing w:after="0"/>
              <w:rPr>
                <w:sz w:val="20"/>
                <w:szCs w:val="20"/>
                <w:color w:val="auto"/>
              </w:rPr>
            </w:pPr>
            <w:r>
              <w:rPr>
                <w:rFonts w:ascii="Arial" w:cs="Arial" w:eastAsia="Arial" w:hAnsi="Arial"/>
                <w:sz w:val="18"/>
                <w:szCs w:val="18"/>
                <w:color w:val="auto"/>
              </w:rPr>
              <w:t>CASH AND CASH EQUIVALENT, end of year</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320"/>
              <w:spacing w:after="0"/>
              <w:rPr>
                <w:sz w:val="20"/>
                <w:szCs w:val="20"/>
                <w:color w:val="auto"/>
              </w:rPr>
            </w:pPr>
            <w:r>
              <w:rPr>
                <w:rFonts w:ascii="Arial" w:cs="Arial" w:eastAsia="Arial" w:hAnsi="Arial"/>
                <w:sz w:val="18"/>
                <w:szCs w:val="18"/>
                <w:color w:val="auto"/>
              </w:rPr>
              <w:t>1,219,580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720,911</w:t>
            </w:r>
          </w:p>
        </w:tc>
        <w:tc>
          <w:tcPr>
            <w:tcW w:w="0" w:type="dxa"/>
            <w:vAlign w:val="bottom"/>
          </w:tcPr>
          <w:p>
            <w:pPr>
              <w:spacing w:after="0"/>
              <w:rPr>
                <w:sz w:val="1"/>
                <w:szCs w:val="1"/>
                <w:color w:val="auto"/>
              </w:rPr>
            </w:pPr>
          </w:p>
        </w:tc>
      </w:tr>
      <w:tr>
        <w:trPr>
          <w:trHeight w:val="196"/>
        </w:trPr>
        <w:tc>
          <w:tcPr>
            <w:tcW w:w="6700" w:type="dxa"/>
            <w:vAlign w:val="bottom"/>
            <w:tcBorders>
              <w:top w:val="single" w:sz="8" w:color="EEEEEE"/>
            </w:tcBorders>
            <w:shd w:val="clear" w:color="auto" w:fill="EEEEEE"/>
          </w:tcPr>
          <w:p>
            <w:pPr>
              <w:spacing w:after="0"/>
              <w:rPr>
                <w:sz w:val="17"/>
                <w:szCs w:val="17"/>
                <w:color w:val="auto"/>
              </w:rPr>
            </w:pPr>
          </w:p>
        </w:tc>
        <w:tc>
          <w:tcPr>
            <w:tcW w:w="9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auto"/>
            </w:tcBorders>
            <w:shd w:val="clear" w:color="auto" w:fill="EEEEEE"/>
          </w:tcPr>
          <w:p>
            <w:pPr>
              <w:spacing w:after="0"/>
              <w:rPr>
                <w:sz w:val="17"/>
                <w:szCs w:val="17"/>
                <w:color w:val="auto"/>
              </w:rPr>
            </w:pPr>
          </w:p>
        </w:tc>
        <w:tc>
          <w:tcPr>
            <w:tcW w:w="14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3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paid for income tax</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756,653</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00" w:type="dxa"/>
            <w:vAlign w:val="bottom"/>
            <w:tcBorders>
              <w:top w:val="single" w:sz="8" w:color="EEEEEE"/>
              <w:bottom w:val="single" w:sz="8" w:color="EEEEEE"/>
            </w:tcBorders>
            <w:vMerge w:val="restart"/>
          </w:tcPr>
          <w:p>
            <w:pPr>
              <w:ind w:left="180"/>
              <w:spacing w:after="0"/>
              <w:rPr>
                <w:sz w:val="20"/>
                <w:szCs w:val="20"/>
                <w:color w:val="auto"/>
              </w:rPr>
            </w:pPr>
            <w:r>
              <w:rPr>
                <w:rFonts w:ascii="Arial" w:cs="Arial" w:eastAsia="Arial" w:hAnsi="Arial"/>
                <w:sz w:val="18"/>
                <w:szCs w:val="18"/>
                <w:color w:val="auto"/>
              </w:rPr>
              <w:t>Cash paid for interest</w:t>
            </w:r>
          </w:p>
        </w:tc>
        <w:tc>
          <w:tcPr>
            <w:tcW w:w="960" w:type="dxa"/>
            <w:vAlign w:val="bottom"/>
            <w:tcBorders>
              <w:top w:val="single" w:sz="8" w:color="EEEEEE"/>
              <w:bottom w:val="single" w:sz="8" w:color="EEEEEE"/>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00" w:type="dxa"/>
            <w:vAlign w:val="bottom"/>
            <w:tcBorders>
              <w:bottom w:val="single" w:sz="8" w:color="EEEEEE"/>
            </w:tcBorders>
            <w:vMerge w:val="continue"/>
          </w:tcPr>
          <w:p>
            <w:pPr>
              <w:spacing w:after="0"/>
              <w:rPr>
                <w:sz w:val="20"/>
                <w:szCs w:val="20"/>
                <w:color w:val="auto"/>
              </w:rPr>
            </w:pPr>
          </w:p>
        </w:tc>
        <w:tc>
          <w:tcPr>
            <w:tcW w:w="960" w:type="dxa"/>
            <w:vAlign w:val="bottom"/>
            <w:tcBorders>
              <w:bottom w:val="single" w:sz="8" w:color="EEEEEE"/>
            </w:tcBorders>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tcBorders>
              <w:bottom w:val="single" w:sz="8" w:color="EEEEEE"/>
            </w:tcBorders>
            <w:vMerge w:val="continue"/>
          </w:tcPr>
          <w:p>
            <w:pPr>
              <w:spacing w:after="0"/>
              <w:rPr>
                <w:sz w:val="20"/>
                <w:szCs w:val="20"/>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25,830</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0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3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SUPPLEMENTAL DISCLOSURE OF NON-CASH TRANSACTIONS: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Right of use assets acquired under new operating leases</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2,346,200</w:t>
            </w:r>
          </w:p>
        </w:tc>
        <w:tc>
          <w:tcPr>
            <w:tcW w:w="0" w:type="dxa"/>
            <w:vAlign w:val="bottom"/>
          </w:tcPr>
          <w:p>
            <w:pPr>
              <w:spacing w:after="0"/>
              <w:rPr>
                <w:sz w:val="1"/>
                <w:szCs w:val="1"/>
                <w:color w:val="auto"/>
              </w:rPr>
            </w:pPr>
          </w:p>
        </w:tc>
      </w:tr>
      <w:tr>
        <w:trPr>
          <w:trHeight w:val="20"/>
        </w:trPr>
        <w:tc>
          <w:tcPr>
            <w:tcW w:w="670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iPower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2021 and June 30, 2021 and for the Three Months Ended September 30, 2021 and 2020</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business and organization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iPower Inc., formerly known as BZRTH Inc., a Nevada corporation (the “Company”), was incorporated on April 11, 2018. The Company is principally engaged in the marketing and sale of advanced indoor and greenhouse lighting, ventilation systems, nutrients, growing media, grow tents, trimming machines, pumps and accessories in the United States.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agreed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was considered a variable interest entity (“VIE”). On May 18, 2021, the Company acquired 100% equity ownership of E Marketing. As a result, E Marketing has become the Company’s wholly owned subsidiary.</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GPM was considered a VIE. On May 18, 2021, the Company acquired 100% equity ownership of GPM. As a result, GPM has become the Company’s wholly owned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unaudited condensed consolidated financial statements include the accounts of the Company and its subsidiaries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2022, or for any other interim period or for any other future year. All intercompany balances and transactions have been eliminated in consolidation.</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These unaudited condensed consolidated financial statements should be read in conjunction with the Company’s audited consolidated financial statements and the notes thereto included in the Annual Report for the year ended June 30, 2021, which are included in Form 10-K filed on September 28, 2021.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subsidiaries, E Marketing Solution Inc. and Global Product Marketing Inc. All inter-company balances and transactions have been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Prior period reclassification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prior period expense accounts have been reclassified in conformity with current period presentation including reclassification of $0.57 million from general administrative expenses to selling and fulfillment expenses. The reclassification had no effect to the company’s unaudited condensed consolidated statements of operations, statements of cash flow or statements of changes in stockholders’ equity.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 and assumptions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Actual results could differ from these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 of amounts held as cash on hand and bank deposits.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the Company may maintain bank balances in interest bearing accounts in excess of the $250,000 currently insured by the Federal Deposit Insurance Corporation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fails to comply with its payment schedule;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is in serious financial difficulty;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dispute with the customer has occurred regarding job progress or other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customer breaches any of its contractual obligations;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 w:name="page9"/>
    <w:bookmarkEnd w:id="8"/>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customer appears to be financially distressed due to economic or legal factors;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between the customer and the Company is not active;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assets and liabilities approximate fair values due to their short-term nature.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 Unobservable inputs that are significant to the measurement of the fair value of the assets or liabilities that are supported by little or no market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has adopted Accounting Standards Codification (“ASC”) 606 since its inception on April 11, 2018 and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received prior to the delivery of goods to customers are recorded as customer deposits.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costs are expensed as incurred. Total advertising and promotional costs included in selling and fulfillment expenses for the three months ended September 30, 2021 and 2020 were $633,416 and $329,049,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7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The Company’s long-lived assets are all located in California, United States, and substantially all of the Company’s revenues are derived from within the United States. Therefore, no geographical segments are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6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believes that our income tax filing positions and deductions will be sustained upon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amends the guidance for the derivatives scope exception for contracts in an entity’s own equity for purposes of reducing form-over-substance-based accounting conclusions. In addition, this ASU improves and amends the related EPS guidance. This standard becomes effective for the Company on July 1, 2022, including interim periods within those fiscal years. Adoption is either a modified retrospective method or a fully retrospective method of transition. The Company does not expect the adoption of this standard have a material impact on the consolidated financial statements.</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Adoption of this standard did not have a material impact on the consolidated financial statements.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events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3 - Accounts receivable</w:t>
            </w: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Accounts receivable for the Company consisted of the following as of the dates indicated below:</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7"/>
        </w:trPr>
        <w:tc>
          <w:tcPr>
            <w:tcW w:w="7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66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09"/>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13,083,946</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100" w:type="dxa"/>
            <w:vAlign w:val="bottom"/>
            <w:shd w:val="clear" w:color="auto" w:fill="EEEEEE"/>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accounts receivable</w:t>
            </w:r>
          </w:p>
        </w:tc>
        <w:tc>
          <w:tcPr>
            <w:tcW w:w="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13,083,946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7,896,347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credit loss for the three months ended September 30, 2021 and the year ended June 30, 2021,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June 30, 2021, inventories consisted of finished goods ready for sale, net of allowance for obsolescence, amounted to $14,594,078 and $13,065,741,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June 30, 2021, allowance for obsolescence was $95,574 and $95,574,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Note 5 – Prepayments and other current assets</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560" w:type="dxa"/>
            <w:vAlign w:val="bottom"/>
            <w:gridSpan w:val="5"/>
          </w:tcPr>
          <w:p>
            <w:pPr>
              <w:spacing w:after="0"/>
              <w:rPr>
                <w:sz w:val="20"/>
                <w:szCs w:val="20"/>
                <w:color w:val="auto"/>
              </w:rPr>
            </w:pPr>
            <w:r>
              <w:rPr>
                <w:rFonts w:ascii="Arial" w:cs="Arial" w:eastAsia="Arial" w:hAnsi="Arial"/>
                <w:sz w:val="18"/>
                <w:szCs w:val="18"/>
                <w:color w:val="auto"/>
              </w:rPr>
              <w:t>As of September 30, 2021 and June 30, 2021, prepayments and other current assets consisted of the following:</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7"/>
        </w:trPr>
        <w:tc>
          <w:tcPr>
            <w:tcW w:w="56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4"/>
              </w:rPr>
              <w:t>September 30,</w:t>
            </w:r>
          </w:p>
        </w:tc>
        <w:tc>
          <w:tcPr>
            <w:tcW w:w="28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620" w:type="dxa"/>
            <w:vAlign w:val="bottom"/>
            <w:tcBorders>
              <w:bottom w:val="single" w:sz="8" w:color="EEEEEE"/>
            </w:tcBorders>
          </w:tcPr>
          <w:p>
            <w:pPr>
              <w:spacing w:after="0"/>
              <w:rPr>
                <w:sz w:val="20"/>
                <w:szCs w:val="20"/>
                <w:color w:val="auto"/>
              </w:rPr>
            </w:pPr>
          </w:p>
        </w:tc>
        <w:tc>
          <w:tcPr>
            <w:tcW w:w="204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09"/>
        </w:trPr>
        <w:tc>
          <w:tcPr>
            <w:tcW w:w="5620" w:type="dxa"/>
            <w:vAlign w:val="bottom"/>
            <w:shd w:val="clear" w:color="auto" w:fill="EEEEEE"/>
          </w:tcPr>
          <w:p>
            <w:pPr>
              <w:spacing w:after="0"/>
              <w:rPr>
                <w:sz w:val="20"/>
                <w:szCs w:val="20"/>
                <w:color w:val="auto"/>
              </w:rPr>
            </w:pPr>
            <w:r>
              <w:rPr>
                <w:rFonts w:ascii="Arial" w:cs="Arial" w:eastAsia="Arial" w:hAnsi="Arial"/>
                <w:sz w:val="18"/>
                <w:szCs w:val="18"/>
                <w:color w:val="auto"/>
              </w:rPr>
              <w:t>Advance to suppliers</w:t>
            </w:r>
          </w:p>
        </w:tc>
        <w:tc>
          <w:tcPr>
            <w:tcW w:w="204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5,074,079</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3,969,625</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29"/>
        </w:trPr>
        <w:tc>
          <w:tcPr>
            <w:tcW w:w="562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1,169,850</w:t>
            </w: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723,375</w:t>
            </w:r>
          </w:p>
        </w:tc>
        <w:tc>
          <w:tcPr>
            <w:tcW w:w="80" w:type="dxa"/>
            <w:vAlign w:val="bottom"/>
          </w:tcPr>
          <w:p>
            <w:pPr>
              <w:spacing w:after="0"/>
              <w:rPr>
                <w:sz w:val="19"/>
                <w:szCs w:val="19"/>
                <w:color w:val="auto"/>
              </w:rPr>
            </w:pPr>
          </w:p>
        </w:tc>
      </w:tr>
      <w:tr>
        <w:trPr>
          <w:trHeight w:val="210"/>
        </w:trPr>
        <w:tc>
          <w:tcPr>
            <w:tcW w:w="5620" w:type="dxa"/>
            <w:vAlign w:val="bottom"/>
            <w:tcBorders>
              <w:top w:val="single" w:sz="8" w:color="EEEEEE"/>
            </w:tcBorders>
            <w:shd w:val="clear" w:color="auto" w:fill="EEEEEE"/>
          </w:tcPr>
          <w:p>
            <w:pPr>
              <w:spacing w:after="0"/>
              <w:rPr>
                <w:sz w:val="18"/>
                <w:szCs w:val="18"/>
                <w:color w:val="auto"/>
              </w:rPr>
            </w:pPr>
          </w:p>
        </w:tc>
        <w:tc>
          <w:tcPr>
            <w:tcW w:w="20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6,243,929</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4,693,000</w:t>
            </w:r>
          </w:p>
        </w:tc>
        <w:tc>
          <w:tcPr>
            <w:tcW w:w="80" w:type="dxa"/>
            <w:vAlign w:val="bottom"/>
          </w:tcPr>
          <w:p>
            <w:pPr>
              <w:spacing w:after="0"/>
              <w:rPr>
                <w:sz w:val="21"/>
                <w:szCs w:val="21"/>
                <w:color w:val="auto"/>
              </w:rPr>
            </w:pPr>
          </w:p>
        </w:tc>
      </w:tr>
      <w:tr>
        <w:trPr>
          <w:trHeight w:val="20"/>
        </w:trPr>
        <w:tc>
          <w:tcPr>
            <w:tcW w:w="5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receivables consisted of delivery fees of $164,858 and $178,581 and receivables from two unrelated parties for their use of the Company’s courier accounts at September 30, 2021 and June 30,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Non-current prepayments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Non-current prepayments included $1.16 million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$90,675 down payment on a four-year car lease. As of September 30, 2021 and June 30, 2021, total non-current prepayments were $1,249,375 and $1,357,292, respectively. For the three months ended September 30, 2021 and 2020, the Company recorded amortization expenses of $107,917 and $0,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Loans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$3,000,000. The Restated RPA bears a discount rate of 3.055555%, subject to a rebate of 0.0277% per day. This revolving credit facility is secured by all of the Company’s assets and guaranteed by Chenlong Tan, the CEO and one of the Company’s major shareholders and founders. Pursuant to the agreement, all purchases of accounts receivable are without recourse to the Company, and WFC assumes the risk of nonpayment of the accounts receivable due to a customer’s financial inability to pay the accounts receivable or the customer’s insolvency but not the risk of non-payment of the accounts receivable for any other reason. The Company is obligated to collect the accounts receivables and to repurchase or pay back the amount drawn down if the accounts receivable are not collected.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2021, the Company terminated the Restated RPA and paid off the balance due to WFC.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June 30, 2021, the outstanding balance due under the RPA was $0 and $162,769,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SBA loan payable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As of September 30, 2021 and June 30, 2021, the outstanding balance of the SBA Note was $478,067 and $487,815, which included a current portion of $29,244 and a non-current portion of $448,823 and $458,571, respectively.</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8 – Related party transactions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1, 2018, the Company acquired certain assets and assumed liabilities from BizRight, LLC, an entity owned and managed by the founders and officers of the Company and the purchase price was recorded as payable due to related parties. During the three months ended September 30, 2020, the Company recorded proceeds of $133,577 and payments of $90,000, respectively. The Company had paid off the amount due to related party during the quarter ended June 30, 2021. The amount due to related parties was $0 as of September 30, 2021 and June 30,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22, 2017, the President of the United States signed into law H.R.1, formerly known as the Tax Cuts and Jobs Act (the “Tax Legislation”). The Tax Legislation significantly revised the U.S. tax code by (i) lowering the U.S. federal statutory income tax rate from 35% to 21%, (ii) implementing a territorial tax system, (iii) imposing a one-time transition tax on deemed repatriated earnings of foreign subsidiaries, (iv) requiring a current inclusion of global intangible low taxed income of certain earnings of controlled foreign corporations in U.S. federal taxable income, (v) creating the base erosion anti-abuse tax regime, (vi) implementing bonus depreciation that will allow for full expensing of qualified property, and (vii) limiting deductibility of interest and executive compensation expense, among other changes. The Company has computed its tax expenses using the new statutory rate effective on January 1, 2018 of 21%.</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provisions of the new legislation include, but are not limited to, limiting deductibility of interest and executive compensation expense. These additional items have been considered in the income tax provision for the three months ended September 30, 2021 and 2020 and the impact was not material to the overall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for the three months ended September 30, 2021 and 2020 consisted of the following:</w:t>
      </w:r>
    </w:p>
    <w:p>
      <w:pPr>
        <w:spacing w:after="0" w:line="235" w:lineRule="exact"/>
        <w:rPr>
          <w:sz w:val="20"/>
          <w:szCs w:val="20"/>
          <w:color w:val="auto"/>
        </w:rPr>
      </w:pPr>
    </w:p>
    <w:p>
      <w:pPr>
        <w:ind w:left="7700"/>
        <w:spacing w:after="0"/>
        <w:tabs>
          <w:tab w:leader="none" w:pos="9580" w:val="left"/>
        </w:tabs>
        <w:rPr>
          <w:sz w:val="20"/>
          <w:szCs w:val="20"/>
          <w:color w:val="auto"/>
        </w:rPr>
      </w:pPr>
      <w:r>
        <w:rPr>
          <w:rFonts w:ascii="Arial" w:cs="Arial" w:eastAsia="Arial" w:hAnsi="Arial"/>
          <w:sz w:val="18"/>
          <w:szCs w:val="18"/>
          <w:b w:val="1"/>
          <w:bCs w:val="1"/>
          <w:u w:val="single" w:color="auto"/>
          <w:color w:val="auto"/>
        </w:rPr>
        <w:t>September 30, 2021</w:t>
      </w:r>
      <w:r>
        <w:rPr>
          <w:sz w:val="20"/>
          <w:szCs w:val="20"/>
          <w:color w:val="auto"/>
        </w:rPr>
        <w:tab/>
      </w:r>
      <w:r>
        <w:rPr>
          <w:rFonts w:ascii="Arial" w:cs="Arial" w:eastAsia="Arial" w:hAnsi="Arial"/>
          <w:sz w:val="16"/>
          <w:szCs w:val="16"/>
          <w:b w:val="1"/>
          <w:bCs w:val="1"/>
          <w:u w:val="single" w:color="auto"/>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income tax provision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Deferred: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State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deferred taxes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234,629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202,003</w:t>
            </w:r>
          </w:p>
        </w:tc>
      </w:tr>
      <w:tr>
        <w:trPr>
          <w:trHeight w:val="230"/>
        </w:trPr>
        <w:tc>
          <w:tcPr>
            <w:tcW w:w="5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108,346</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93,941</w:t>
            </w:r>
          </w:p>
        </w:tc>
      </w:tr>
      <w:tr>
        <w:trPr>
          <w:trHeight w:val="209"/>
        </w:trPr>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342,975</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295,944</w:t>
            </w:r>
          </w:p>
        </w:tc>
      </w:tr>
      <w:tr>
        <w:trPr>
          <w:trHeight w:val="425"/>
        </w:trPr>
        <w:tc>
          <w:tcPr>
            <w:tcW w:w="540" w:type="dxa"/>
            <w:vAlign w:val="bottom"/>
          </w:tcPr>
          <w:p>
            <w:pPr>
              <w:spacing w:after="0"/>
              <w:rPr>
                <w:sz w:val="24"/>
                <w:szCs w:val="24"/>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 w:type="dxa"/>
            <w:vAlign w:val="bottom"/>
          </w:tcPr>
          <w:p>
            <w:pPr>
              <w:spacing w:after="0"/>
              <w:rPr>
                <w:sz w:val="20"/>
                <w:szCs w:val="20"/>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-873760</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-582295</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-299085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-7620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line="2" w:lineRule="exact"/>
        <w:rPr>
          <w:sz w:val="20"/>
          <w:szCs w:val="20"/>
          <w:color w:val="auto"/>
        </w:rPr>
      </w:pPr>
    </w:p>
    <w:p>
      <w:pPr>
        <w:spacing w:after="0"/>
        <w:tabs>
          <w:tab w:leader="none" w:pos="7640" w:val="left"/>
          <w:tab w:leader="none" w:pos="8640" w:val="left"/>
          <w:tab w:leader="none" w:pos="9540" w:val="left"/>
          <w:tab w:leader="none" w:pos="10520" w:val="left"/>
        </w:tabs>
        <w:rPr>
          <w:sz w:val="20"/>
          <w:szCs w:val="20"/>
          <w:color w:val="auto"/>
        </w:rPr>
      </w:pPr>
      <w:r>
        <w:rPr>
          <w:rFonts w:ascii="Arial" w:cs="Arial" w:eastAsia="Arial" w:hAnsi="Arial"/>
          <w:sz w:val="18"/>
          <w:szCs w:val="18"/>
          <w:color w:val="auto"/>
        </w:rPr>
        <w:t>Total provision for income taxes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342,975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295,944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31750</wp:posOffset>
            </wp:positionV>
            <wp:extent cx="22028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02815" cy="25400"/>
                    </a:xfrm>
                    <a:prstGeom prst="rect">
                      <a:avLst/>
                    </a:prstGeom>
                    <a:noFill/>
                  </pic:spPr>
                </pic:pic>
              </a:graphicData>
            </a:graphic>
          </wp:anchor>
        </w:drawing>
      </w:r>
    </w:p>
    <w:p>
      <w:pPr>
        <w:spacing w:after="0" w:line="2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subject to U.S. federal income tax as well as state income tax in certain jurisdictions. The tax years 2018 to 2020 remain open to examination by the major taxing jurisdictions to which the Company is subject. The following is a reconciliation of income tax expenses at the effective rate to income tax at the calculated statutory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0"/>
              </w:rPr>
              <w:t>September 30, 2021</w:t>
            </w:r>
          </w:p>
        </w:tc>
        <w:tc>
          <w:tcPr>
            <w:tcW w:w="16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September 30, 2020</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Statutory tax rate</w:t>
            </w:r>
          </w:p>
        </w:tc>
        <w:tc>
          <w:tcPr>
            <w:tcW w:w="15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Federal</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21.00%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21.00%</w:t>
            </w:r>
          </w:p>
        </w:tc>
        <w:tc>
          <w:tcPr>
            <w:tcW w:w="8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State of California</w:t>
            </w:r>
          </w:p>
        </w:tc>
        <w:tc>
          <w:tcPr>
            <w:tcW w:w="19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8.84%</w:t>
            </w:r>
          </w:p>
        </w:tc>
        <w:tc>
          <w:tcPr>
            <w:tcW w:w="16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8.84%</w:t>
            </w:r>
          </w:p>
        </w:tc>
        <w:tc>
          <w:tcPr>
            <w:tcW w:w="8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State of Nevada</w:t>
            </w:r>
          </w:p>
        </w:tc>
        <w:tc>
          <w:tcPr>
            <w:tcW w:w="1900" w:type="dxa"/>
            <w:vAlign w:val="bottom"/>
            <w:gridSpan w:val="2"/>
          </w:tcPr>
          <w:p>
            <w:pPr>
              <w:jc w:val="right"/>
              <w:ind w:right="320"/>
              <w:spacing w:after="0"/>
              <w:rPr>
                <w:sz w:val="20"/>
                <w:szCs w:val="20"/>
                <w:color w:val="auto"/>
              </w:rPr>
            </w:pPr>
            <w:r>
              <w:rPr>
                <w:rFonts w:ascii="Arial" w:cs="Arial" w:eastAsia="Arial" w:hAnsi="Arial"/>
                <w:sz w:val="18"/>
                <w:szCs w:val="18"/>
                <w:color w:val="auto"/>
              </w:rPr>
              <w:t>0.00%</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18"/>
                <w:szCs w:val="18"/>
                <w:color w:val="auto"/>
              </w:rPr>
            </w:pPr>
          </w:p>
        </w:tc>
      </w:tr>
      <w:tr>
        <w:trPr>
          <w:trHeight w:val="229"/>
        </w:trPr>
        <w:tc>
          <w:tcPr>
            <w:tcW w:w="7660" w:type="dxa"/>
            <w:vAlign w:val="bottom"/>
            <w:shd w:val="clear" w:color="auto" w:fill="EEEEEE"/>
          </w:tcPr>
          <w:p>
            <w:pPr>
              <w:spacing w:after="0"/>
              <w:rPr>
                <w:sz w:val="20"/>
                <w:szCs w:val="20"/>
                <w:color w:val="auto"/>
              </w:rPr>
            </w:pPr>
            <w:r>
              <w:rPr>
                <w:rFonts w:ascii="Arial" w:cs="Arial" w:eastAsia="Arial" w:hAnsi="Arial"/>
                <w:sz w:val="18"/>
                <w:szCs w:val="18"/>
                <w:color w:val="auto"/>
              </w:rPr>
              <w:t>Net effect of state income tax deduction and other permanent differences</w:t>
            </w:r>
          </w:p>
        </w:tc>
        <w:tc>
          <w:tcPr>
            <w:tcW w:w="19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(1.97%)</w:t>
            </w:r>
          </w:p>
        </w:tc>
        <w:tc>
          <w:tcPr>
            <w:tcW w:w="16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(1.87%)</w:t>
            </w: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Effective tax rate</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27.87%</w:t>
            </w:r>
          </w:p>
        </w:tc>
        <w:tc>
          <w:tcPr>
            <w:tcW w:w="3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June 30, 2021, the income taxes payable was $377,145 and $790,823, respectively.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10 – Earnings per share</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160" w:type="dxa"/>
            <w:vAlign w:val="bottom"/>
            <w:gridSpan w:val="3"/>
          </w:tcPr>
          <w:p>
            <w:pPr>
              <w:spacing w:after="0"/>
              <w:rPr>
                <w:sz w:val="20"/>
                <w:szCs w:val="20"/>
                <w:color w:val="auto"/>
              </w:rPr>
            </w:pPr>
            <w:r>
              <w:rPr>
                <w:rFonts w:ascii="Arial" w:cs="Arial" w:eastAsia="Arial" w:hAnsi="Arial"/>
                <w:sz w:val="18"/>
                <w:szCs w:val="18"/>
                <w:color w:val="auto"/>
                <w:w w:val="91"/>
              </w:rPr>
              <w:t>The following table sets forth the computation of basic and diluted earnings per share for the periods presented:</w:t>
            </w: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6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80" w:type="dxa"/>
            <w:vAlign w:val="bottom"/>
            <w:gridSpan w:val="6"/>
          </w:tcPr>
          <w:p>
            <w:pPr>
              <w:ind w:left="180"/>
              <w:spacing w:after="0"/>
              <w:rPr>
                <w:sz w:val="20"/>
                <w:szCs w:val="20"/>
                <w:color w:val="auto"/>
              </w:rPr>
            </w:pPr>
            <w:r>
              <w:rPr>
                <w:rFonts w:ascii="Arial" w:cs="Arial" w:eastAsia="Arial" w:hAnsi="Arial"/>
                <w:sz w:val="18"/>
                <w:szCs w:val="18"/>
                <w:b w:val="1"/>
                <w:bCs w:val="1"/>
                <w:color w:val="auto"/>
              </w:rPr>
              <w:t>For the three months ended</w:t>
            </w: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Numerator:</w:t>
            </w:r>
          </w:p>
        </w:tc>
        <w:tc>
          <w:tcPr>
            <w:tcW w:w="8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80" w:type="dxa"/>
            <w:vAlign w:val="bottom"/>
            <w:vMerge w:val="continue"/>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EEEEEE"/>
          </w:tcPr>
          <w:p>
            <w:pPr>
              <w:jc w:val="right"/>
              <w:ind w:right="31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887,528</w:t>
            </w:r>
          </w:p>
        </w:tc>
        <w:tc>
          <w:tcPr>
            <w:tcW w:w="5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761,996</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EEEEEE"/>
          </w:tcPr>
          <w:p>
            <w:pPr>
              <w:spacing w:after="0"/>
              <w:rPr>
                <w:sz w:val="20"/>
                <w:szCs w:val="20"/>
                <w:color w:val="auto"/>
              </w:rPr>
            </w:pPr>
            <w:r>
              <w:rPr>
                <w:rFonts w:ascii="Arial" w:cs="Arial" w:eastAsia="Arial" w:hAnsi="Arial"/>
                <w:sz w:val="18"/>
                <w:szCs w:val="18"/>
                <w:color w:val="auto"/>
              </w:rPr>
              <w:t>Weighted-average shares used in computing basic and diluted earnings per share*</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8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EEEEEE"/>
          </w:tcPr>
          <w:p>
            <w:pPr>
              <w:spacing w:after="0"/>
              <w:rPr>
                <w:sz w:val="21"/>
                <w:szCs w:val="21"/>
                <w:color w:val="auto"/>
              </w:rPr>
            </w:pPr>
          </w:p>
        </w:tc>
        <w:tc>
          <w:tcPr>
            <w:tcW w:w="50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26,484,528</w:t>
            </w:r>
          </w:p>
        </w:tc>
        <w:tc>
          <w:tcPr>
            <w:tcW w:w="500" w:type="dxa"/>
            <w:vAlign w:val="bottom"/>
            <w:shd w:val="clear" w:color="auto" w:fill="EEEEEE"/>
          </w:tcPr>
          <w:p>
            <w:pPr>
              <w:spacing w:after="0"/>
              <w:rPr>
                <w:sz w:val="21"/>
                <w:szCs w:val="21"/>
                <w:color w:val="auto"/>
              </w:rPr>
            </w:pPr>
          </w:p>
        </w:tc>
        <w:tc>
          <w:tcPr>
            <w:tcW w:w="11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20,204,496</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EEEEEE"/>
              <w:bottom w:val="single" w:sz="8" w:color="EEEEEE"/>
            </w:tcBorders>
            <w:vMerge w:val="restart"/>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80" w:type="dxa"/>
            <w:vAlign w:val="bottom"/>
            <w:tcBorders>
              <w:bottom w:val="single" w:sz="8" w:color="EEEEEE"/>
            </w:tcBorders>
            <w:vMerge w:val="continue"/>
          </w:tcPr>
          <w:p>
            <w:pPr>
              <w:spacing w:after="0"/>
              <w:rPr>
                <w:sz w:val="20"/>
                <w:szCs w:val="20"/>
                <w:color w:val="auto"/>
              </w:rPr>
            </w:pPr>
          </w:p>
        </w:tc>
        <w:tc>
          <w:tcPr>
            <w:tcW w:w="880" w:type="dxa"/>
            <w:vAlign w:val="bottom"/>
            <w:tcBorders>
              <w:bottom w:val="single" w:sz="8" w:color="EEEEEE"/>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26,495,420</w:t>
            </w:r>
          </w:p>
        </w:tc>
        <w:tc>
          <w:tcPr>
            <w:tcW w:w="320" w:type="dxa"/>
            <w:vAlign w:val="bottom"/>
            <w:tcBorders>
              <w:bottom w:val="single" w:sz="8" w:color="EEEEEE"/>
            </w:tcBorders>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20,204,496</w:t>
            </w:r>
          </w:p>
        </w:tc>
        <w:tc>
          <w:tcPr>
            <w:tcW w:w="20" w:type="dxa"/>
            <w:vAlign w:val="bottom"/>
            <w:tcBorders>
              <w:bottom w:val="single" w:sz="8" w:color="EEEEEE"/>
            </w:tcBorders>
            <w:vMerge w:val="continue"/>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Earnings per share - Basic</w:t>
            </w:r>
          </w:p>
        </w:tc>
        <w:tc>
          <w:tcPr>
            <w:tcW w:w="88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auto"/>
            </w:tcBorders>
            <w:shd w:val="clear" w:color="auto" w:fill="EEEEEE"/>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0.03</w:t>
            </w:r>
          </w:p>
        </w:tc>
        <w:tc>
          <w:tcPr>
            <w:tcW w:w="32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auto"/>
            </w:tcBorders>
            <w:shd w:val="clear" w:color="auto" w:fill="EEEEEE"/>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0.04</w:t>
            </w:r>
          </w:p>
        </w:tc>
        <w:tc>
          <w:tcPr>
            <w:tcW w:w="20" w:type="dxa"/>
            <w:vAlign w:val="bottom"/>
            <w:tcBorders>
              <w:bottom w:val="single" w:sz="8" w:color="EEEEEE"/>
            </w:tcBorders>
            <w:shd w:val="clear" w:color="auto" w:fill="EEEEEE"/>
          </w:tcPr>
          <w:p>
            <w:pPr>
              <w:spacing w:after="0"/>
              <w:rPr>
                <w:sz w:val="17"/>
                <w:szCs w:val="17"/>
                <w:color w:val="auto"/>
              </w:rPr>
            </w:pPr>
          </w:p>
        </w:tc>
        <w:tc>
          <w:tcPr>
            <w:tcW w:w="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360"/>
              <w:spacing w:after="0"/>
              <w:rPr>
                <w:sz w:val="20"/>
                <w:szCs w:val="20"/>
                <w:color w:val="auto"/>
              </w:rPr>
            </w:pPr>
            <w:r>
              <w:rPr>
                <w:rFonts w:ascii="Arial" w:cs="Arial" w:eastAsia="Arial" w:hAnsi="Arial"/>
                <w:sz w:val="18"/>
                <w:szCs w:val="18"/>
                <w:color w:val="auto"/>
              </w:rPr>
              <w:t>Diluted</w:t>
            </w:r>
          </w:p>
        </w:tc>
        <w:tc>
          <w:tcPr>
            <w:tcW w:w="8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0.03</w:t>
            </w:r>
          </w:p>
        </w:tc>
        <w:tc>
          <w:tcPr>
            <w:tcW w:w="320" w:type="dxa"/>
            <w:vAlign w:val="bottom"/>
            <w:vMerge w:val="continue"/>
          </w:tcPr>
          <w:p>
            <w:pPr>
              <w:spacing w:after="0"/>
              <w:rPr>
                <w:sz w:val="17"/>
                <w:szCs w:val="17"/>
                <w:color w:val="auto"/>
              </w:rPr>
            </w:pPr>
          </w:p>
        </w:tc>
        <w:tc>
          <w:tcPr>
            <w:tcW w:w="50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170"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The computation of basic and diluted EPS did not include the Class B Common Stock as the holders of Class B Common Stock have no dividend or liquidation right until such time as their shares of Class B Common Stock have been converted into Class A Common Stock.</w:t>
      </w:r>
    </w:p>
    <w:p>
      <w:pPr>
        <w:spacing w:after="0" w:line="170" w:lineRule="exact"/>
        <w:rPr>
          <w:sz w:val="20"/>
          <w:szCs w:val="20"/>
          <w:color w:val="auto"/>
        </w:rPr>
      </w:pPr>
    </w:p>
    <w:p>
      <w:pPr>
        <w:ind w:left="340" w:hanging="287"/>
        <w:spacing w:after="0" w:line="277" w:lineRule="auto"/>
        <w:tabs>
          <w:tab w:leader="none" w:pos="3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computation of diluted EPS included the underlying 10,892 shares of warrants calculated using treasury method for the three months ended September 30, 2021.</w:t>
      </w:r>
    </w:p>
    <w:p>
      <w:pPr>
        <w:spacing w:after="0" w:line="170" w:lineRule="exact"/>
        <w:rPr>
          <w:rFonts w:ascii="Arial" w:cs="Arial" w:eastAsia="Arial" w:hAnsi="Arial"/>
          <w:sz w:val="18"/>
          <w:szCs w:val="18"/>
          <w:color w:val="auto"/>
        </w:rPr>
      </w:pPr>
    </w:p>
    <w:p>
      <w:pPr>
        <w:ind w:left="340" w:hanging="337"/>
        <w:spacing w:after="0" w:line="263" w:lineRule="auto"/>
        <w:rPr>
          <w:rFonts w:ascii="Arial" w:cs="Arial" w:eastAsia="Arial" w:hAnsi="Arial"/>
          <w:sz w:val="18"/>
          <w:szCs w:val="18"/>
          <w:color w:val="auto"/>
        </w:rPr>
      </w:pPr>
      <w:r>
        <w:rPr>
          <w:rFonts w:ascii="Arial" w:cs="Arial" w:eastAsia="Arial" w:hAnsi="Arial"/>
          <w:sz w:val="18"/>
          <w:szCs w:val="18"/>
          <w:color w:val="auto"/>
        </w:rPr>
        <w:t>* For the three months ended September 30, 2021, the 40,019 vested shares of restricted stock units under the Amended and Restated 2020 Equity Incentive Plan (as discussed in Note 10) are considered issued shares and therefore are included in the computation of basic earnings (loss) per share as of grant date when the shares are fully vested.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incorporated in Nevada on April 11, 2018. As of September 30, 2021, the total authorized shares of capital stock were 200,000,000 shares consisting of 180,000,000 shares of Common Stock (“Common Stock”) and 20,000,000 shares of preferred stock (the “Preferred Stock”), each with a par value of $0.001 per share.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November 16, 2020, the Company filed an amended and restated articles of incorporation in Nevada to consummate a 2-for-1 forward split of our outstanding shares of Class A Common Stock. All share numbers of Class A Common Stock are stated at a post-split basis.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holders of Class A Common Stock shall be entitled to one vote per share in voting or consenting to the election of directors and for all other corporate purposes. The Company issued 20,000,000 shares to its founders at inception.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15, 2020, pursuant to a rescission and mutual release agreement with an unrelated company, the Company issued 204,496 shares of its Class A Common Stock as settlement for a payment of $427,010 received by the Company.</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20, 2020, the Company entered into stock purchase agreements with Chenlong Tan and Allan Huang (the “Founders”) pursuant to which each of the Founders received 7,000,000 shares of the Company’s Class B Common Stock, for a purchase price of $0.001 per share in cash. Based on the fact that other than the total consideration of $14,000 (total par value of the Class B Common Stock issued), the Founders did not provide additional services or other means of considerations for the issuance of these shares of Class B Common Stock, the issuance of the Class B Common Stock to the Founders was considered as a nominal issuance, in substance a recapitalization transaction. As such, in accordance with FASB ASC 260-10-55-12 and SAB Topic 4D, the Company recorded and presented the issuance retroactively as outstanding for all reporting periods.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jc w:val="both"/>
        <w:spacing w:after="0" w:line="255" w:lineRule="auto"/>
        <w:rPr>
          <w:sz w:val="20"/>
          <w:szCs w:val="20"/>
          <w:color w:val="auto"/>
        </w:rPr>
      </w:pPr>
      <w:r>
        <w:rPr>
          <w:rFonts w:ascii="Arial" w:cs="Arial" w:eastAsia="Arial" w:hAnsi="Arial"/>
          <w:sz w:val="18"/>
          <w:szCs w:val="18"/>
          <w:color w:val="auto"/>
        </w:rPr>
        <w:t>The Class B Common Stock was entitled to ten (10) votes per share in voting or consenting to the election of directors and for all other corporate purposes. In accordance with the Company’s amended and restated articles of incorporation, the Class B Common Stock was eligible to convert into shares of Class A Common Stock, on a ten-for-one basis, at any time following twelve (12) months after the Company’s completion of the initial public offering of its Class A Common Stock. Holders of Class B Common Stock had no dividend or liquidation rights until such time as their shares of Class B Common Stock were converted into shares of Class A Common Stock. As of June 30, 2020, the outstanding shares of Class B Common Stock were retroactively stated as 14,000,000 and 14,000,000, respectively.</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April 14, 2021, the Company amended its articles of incorporation to allow conversion of its Class B Common Stock at any time after issuance. On that same date, the Class B Common stockholders, Chenlong Tan and Allan Huang, elected to convert all of their 14,000,000 outstanding shares of the Company’s Class B Common Stock into 1,400,000 shares of Class A Common Stock. On April 23, 2021, the Company further amended and restated its articles of incorporation to eliminate the Class A and Class B Common Stock designations and authorize for issuance a total of 180,000,000 shares which are solely designated as Common Stock.</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14, 2020, the Company closed its initial public offering (“IPO”) under a registration statement effective May 11, 2021, in which it issued and sold 3,360,000 shares of its Common Stock at a purchase price of $5.00 per share. On May 21, 2021, the Company closed on the IPO’s overallotment option, selling an additional 504,000 shares of Common Stock to the IPO’s underwriters at the public offering price of $5.00 per share. The Company received net proceeds of approximately $16.6 million from the IPO after deducting underwriting discounts and offering expenses.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on the Company’s IPO, the Series A convertible preferred stock and Convertible Notes were converted into an aggregate of 955,716 shares of the Company’s Common Stock.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the Company issued 24,451 shares of Common Stock upon cashless exercise of warrants held by Boustead Securities LLC, the placement agent for the Company’s private placement offerings completed in December 2020 and January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2021 and June 30, 2021, there were 26,448,663 and 26,448,663 shares of Common Stock issued and outstanding,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Stock</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September 30, 2021 and June 30, 2021, there were no shares of Preferred Stock was issued and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Incentive Plan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5, 2021, the Company’s Board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Following completion of the IPO on May 11, 2021, pursuant to their letter agreements, the Company awarded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During the three months ended September 30, 2021, the Company granted an additional 11,745 shares of RSUs to three employees. These RSUs were valued at market price at grant date. As of September 30, 2021, the Company had granted a total of 58,291 RSUs, of which 40,019 were fully vested and 18,272 remained subject to certain vesting conditions. For the three months ended September 30, 2021, the Company recorded $103,054 of stock-based compensation expense. There was no forfeiture occurred during the three months ended September 30, 2021. As of September 30, 2021, the unvested number of RSUs was 18,272 and the unamortized expense was $91,360.</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12 – Warrants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had an exercise period of five years from the issuance date.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14, 2021, upon closing of its IPO, the Company remeasured the warrants to fair value using the Modified Black Scholes Option Pricing Model, based on the expected fair value of the underlying stock with the following assumptions: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tcBorders>
              <w:bottom w:val="single" w:sz="8" w:color="EEEEEE"/>
            </w:tcBorders>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As of May 14, 2021</w:t>
            </w:r>
          </w:p>
        </w:tc>
      </w:tr>
      <w:tr>
        <w:trPr>
          <w:trHeight w:val="210"/>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Expected term</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1 day to 3 years</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Expected volatility</w:t>
            </w:r>
          </w:p>
        </w:tc>
        <w:tc>
          <w:tcPr>
            <w:tcW w:w="2800" w:type="dxa"/>
            <w:vAlign w:val="bottom"/>
          </w:tcPr>
          <w:p>
            <w:pPr>
              <w:jc w:val="center"/>
              <w:spacing w:after="0"/>
              <w:rPr>
                <w:sz w:val="20"/>
                <w:szCs w:val="20"/>
                <w:color w:val="auto"/>
              </w:rPr>
            </w:pPr>
            <w:r>
              <w:rPr>
                <w:rFonts w:ascii="Arial" w:cs="Arial" w:eastAsia="Arial" w:hAnsi="Arial"/>
                <w:sz w:val="18"/>
                <w:szCs w:val="18"/>
                <w:color w:val="auto"/>
                <w:w w:val="90"/>
              </w:rPr>
              <w:t>3.3% to 58%</w:t>
            </w: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Risk-free interest rate</w:t>
            </w:r>
          </w:p>
        </w:tc>
        <w:tc>
          <w:tcPr>
            <w:tcW w:w="2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1"/>
              </w:rPr>
              <w:t>0.35% to 0.92%</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800" w:type="dxa"/>
            <w:vAlign w:val="bottom"/>
          </w:tcPr>
          <w:p>
            <w:pPr>
              <w:jc w:val="right"/>
              <w:ind w:right="1190"/>
              <w:spacing w:after="0"/>
              <w:rPr>
                <w:sz w:val="20"/>
                <w:szCs w:val="20"/>
                <w:color w:val="auto"/>
              </w:rPr>
            </w:pPr>
            <w:r>
              <w:rPr>
                <w:rFonts w:ascii="Arial" w:cs="Arial" w:eastAsia="Arial" w:hAnsi="Arial"/>
                <w:sz w:val="18"/>
                <w:szCs w:val="18"/>
                <w:color w:val="auto"/>
              </w:rPr>
              <w:t>0%</w:t>
            </w:r>
          </w:p>
        </w:tc>
      </w:tr>
      <w:tr>
        <w:trPr>
          <w:trHeight w:val="216"/>
        </w:trPr>
        <w:tc>
          <w:tcPr>
            <w:tcW w:w="2820" w:type="dxa"/>
            <w:vAlign w:val="bottom"/>
            <w:shd w:val="clear" w:color="auto" w:fill="EEEEEE"/>
          </w:tcPr>
          <w:p>
            <w:pPr>
              <w:spacing w:after="0"/>
              <w:rPr>
                <w:sz w:val="20"/>
                <w:szCs w:val="20"/>
                <w:color w:val="auto"/>
              </w:rPr>
            </w:pPr>
            <w:r>
              <w:rPr>
                <w:rFonts w:ascii="Arial" w:cs="Arial" w:eastAsia="Arial" w:hAnsi="Arial"/>
                <w:sz w:val="18"/>
                <w:szCs w:val="18"/>
                <w:color w:val="auto"/>
              </w:rPr>
              <w:t>Probability</w:t>
            </w:r>
          </w:p>
        </w:tc>
        <w:tc>
          <w:tcPr>
            <w:tcW w:w="2800" w:type="dxa"/>
            <w:vAlign w:val="bottom"/>
            <w:shd w:val="clear" w:color="auto" w:fill="EEEEEE"/>
          </w:tcPr>
          <w:p>
            <w:pPr>
              <w:jc w:val="right"/>
              <w:ind w:right="1090"/>
              <w:spacing w:after="0"/>
              <w:rPr>
                <w:sz w:val="20"/>
                <w:szCs w:val="20"/>
                <w:color w:val="auto"/>
              </w:rPr>
            </w:pPr>
            <w:r>
              <w:rPr>
                <w:rFonts w:ascii="Arial" w:cs="Arial" w:eastAsia="Arial" w:hAnsi="Arial"/>
                <w:sz w:val="18"/>
                <w:szCs w:val="18"/>
                <w:color w:val="auto"/>
              </w:rPr>
              <w:t>100%</w:t>
            </w: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May 14, 2021, the fair value of the warrant liabilities was $1,361,347, which includes $4,610 preferred stock warrants, $1,324,668 warrants issued to the Convertible Note investors and $32,069 warrants issued to the placement agent. The increase in fair value immediately before the IPO was $617,593, which was reported in other non-operating expenses for the year ended June 30, 2021.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Upon closing the IPO on May 14, 2021, the Placement Agent exercised its warrants in full to purchase a total of 24,451 shares of the Company’s Common Stock and, as such, there were no Placement Agent Warrants outstanding as of June 30, 2021. At the same time, the outstanding warrants held by the Convertible Note investors were reclassified to additional paid in capital as the terms became fixed upon closing of the IPO. Through September 30, 2021, none of the private placement investors had exercised any of their warrants. As such, as of September 30, 2021 and June 30, 2021, the number of shares issuable under the outstanding warrants was 685,715, with an exercise price of $5.0 per share.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Concentration of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and accounts receivable.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September 30, 2021 and June 30, 2021, $1,219,580 and $6,651,705, respectively, were deposited with various major financial institutions in the United States. Accounts at each institution are insured by the Federal Deposit Insurance Corporation (FDIC) for up to $250,000. The Company had approximately $0.74 million and $5.4 million, respectively, in excess of the FDIC insurance limit, as of September 30, 2021 and June 30, 2021.</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auto"/>
        </w:rPr>
        <w:t>Customer and vendor concentration risk</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2021 and 2020, Amazon Vendor and Amazon Seller customers accounted for 89% and 75% of the Company's total revenues, respectively. As of September 30, 2021 and June 30, 2021, accounts receivable from Amazon Vendor and Amazon Seller accounted for 98% and 98% of the Company’s total accounts receivable.</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September 30, 2021 and 2020, two suppliers accounted for 47% (36% and 11%) and 36% (28% and 8%) of the Company's total purchases, respectively. As of September 30, 2021, accounts payable to one supplier accounted for 21% of the Company’s total accounts payable. As of June 30, 2021, accounts payable to two suppliers accounted for 11% and 10% of the Company’s total accounts payable.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commitment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adopted ASC842 since its inception date, April 11, 2018. The Company has entered into a lease agreement for office and warehouse space with a lease period from December 1, 2018 until December 31, 2020. On August 24, 2020, the Company negotiated for new terms to extend the lease. As a result, the lease term was amended and extended through December 31, 2023.</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1, 2020, in addition to the primary fulfillment center, the Company leased a second fulfillment center in City of Industry, California. The base rental fee is $27,921 to $29,910 per month through October 31, 2023.</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commitment for the full term of these leases is $2,346,200. $1,648,133 and $1,819,421 of operating lease right-of-use assets and $1,725,962 and $1,901,496 of operating lease liabilities were reflected on the September 30, 2021 and June 30, 2021 financial statements,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00" w:type="dxa"/>
            <w:vAlign w:val="bottom"/>
            <w:gridSpan w:val="3"/>
          </w:tcPr>
          <w:p>
            <w:pPr>
              <w:spacing w:after="0"/>
              <w:rPr>
                <w:sz w:val="20"/>
                <w:szCs w:val="20"/>
                <w:color w:val="auto"/>
              </w:rPr>
            </w:pPr>
            <w:r>
              <w:rPr>
                <w:rFonts w:ascii="Arial" w:cs="Arial" w:eastAsia="Arial" w:hAnsi="Arial"/>
                <w:sz w:val="18"/>
                <w:szCs w:val="18"/>
                <w:color w:val="auto"/>
              </w:rPr>
              <w:t>Three Months Ended September 30, 2021 and 2020:</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7300" w:type="dxa"/>
            <w:vAlign w:val="bottom"/>
            <w:gridSpan w:val="3"/>
          </w:tcPr>
          <w:p>
            <w:pPr>
              <w:spacing w:after="0"/>
              <w:rPr>
                <w:sz w:val="20"/>
                <w:szCs w:val="20"/>
                <w:color w:val="auto"/>
              </w:rPr>
            </w:pPr>
            <w:r>
              <w:rPr>
                <w:rFonts w:ascii="Arial" w:cs="Arial" w:eastAsia="Arial" w:hAnsi="Arial"/>
                <w:sz w:val="18"/>
                <w:szCs w:val="18"/>
                <w:color w:val="auto"/>
              </w:rPr>
              <w:t>Lease cost</w:t>
            </w: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9/30/2021</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330"/>
              <w:spacing w:after="0"/>
              <w:rPr>
                <w:sz w:val="20"/>
                <w:szCs w:val="20"/>
                <w:color w:val="auto"/>
              </w:rPr>
            </w:pPr>
            <w:r>
              <w:rPr>
                <w:rFonts w:ascii="Arial" w:cs="Arial" w:eastAsia="Arial" w:hAnsi="Arial"/>
                <w:sz w:val="18"/>
                <w:szCs w:val="18"/>
                <w:color w:val="auto"/>
              </w:rPr>
              <w:t>9/30/2020</w:t>
            </w:r>
          </w:p>
        </w:tc>
        <w:tc>
          <w:tcPr>
            <w:tcW w:w="100" w:type="dxa"/>
            <w:vAlign w:val="bottom"/>
          </w:tcPr>
          <w:p>
            <w:pPr>
              <w:spacing w:after="0"/>
              <w:rPr>
                <w:sz w:val="24"/>
                <w:szCs w:val="24"/>
                <w:color w:val="auto"/>
              </w:rPr>
            </w:pPr>
          </w:p>
        </w:tc>
      </w:tr>
      <w:tr>
        <w:trPr>
          <w:trHeight w:val="20"/>
        </w:trPr>
        <w:tc>
          <w:tcPr>
            <w:tcW w:w="760" w:type="dxa"/>
            <w:vAlign w:val="bottom"/>
            <w:tcBorders>
              <w:top w:val="single" w:sz="8" w:color="auto"/>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59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r>
      <w:tr>
        <w:trPr>
          <w:trHeight w:val="182"/>
        </w:trPr>
        <w:tc>
          <w:tcPr>
            <w:tcW w:w="7300" w:type="dxa"/>
            <w:vAlign w:val="bottom"/>
            <w:gridSpan w:val="3"/>
            <w:shd w:val="clear" w:color="auto" w:fill="EEEEEE"/>
          </w:tcPr>
          <w:p>
            <w:pPr>
              <w:spacing w:after="0" w:line="182" w:lineRule="exact"/>
              <w:rPr>
                <w:sz w:val="20"/>
                <w:szCs w:val="20"/>
                <w:color w:val="auto"/>
              </w:rPr>
            </w:pPr>
            <w:r>
              <w:rPr>
                <w:rFonts w:ascii="Arial" w:cs="Arial" w:eastAsia="Arial" w:hAnsi="Arial"/>
                <w:sz w:val="18"/>
                <w:szCs w:val="18"/>
                <w:color w:val="auto"/>
                <w:w w:val="95"/>
              </w:rPr>
              <w:t>Operating lease cost (included in selling and fulfillment expenses in the Company's statement of</w:t>
            </w:r>
          </w:p>
        </w:tc>
        <w:tc>
          <w:tcPr>
            <w:tcW w:w="36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32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260" w:type="dxa"/>
            <w:vAlign w:val="bottom"/>
            <w:shd w:val="clear" w:color="auto" w:fill="EEEEEE"/>
          </w:tcPr>
          <w:p>
            <w:pPr>
              <w:spacing w:after="0"/>
              <w:rPr>
                <w:sz w:val="15"/>
                <w:szCs w:val="15"/>
                <w:color w:val="auto"/>
              </w:rPr>
            </w:pPr>
          </w:p>
        </w:tc>
        <w:tc>
          <w:tcPr>
            <w:tcW w:w="132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r>
      <w:tr>
        <w:trPr>
          <w:trHeight w:val="230"/>
        </w:trPr>
        <w:tc>
          <w:tcPr>
            <w:tcW w:w="730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operations)</w:t>
            </w: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205,517</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156,536</w:t>
            </w:r>
          </w:p>
        </w:tc>
      </w:tr>
      <w:tr>
        <w:trPr>
          <w:trHeight w:val="202"/>
        </w:trPr>
        <w:tc>
          <w:tcPr>
            <w:tcW w:w="7300" w:type="dxa"/>
            <w:vAlign w:val="bottom"/>
            <w:gridSpan w:val="3"/>
          </w:tcPr>
          <w:p>
            <w:pPr>
              <w:spacing w:after="0" w:line="202" w:lineRule="exact"/>
              <w:rPr>
                <w:sz w:val="20"/>
                <w:szCs w:val="20"/>
                <w:color w:val="auto"/>
              </w:rPr>
            </w:pPr>
            <w:r>
              <w:rPr>
                <w:rFonts w:ascii="Arial" w:cs="Arial" w:eastAsia="Arial" w:hAnsi="Arial"/>
                <w:sz w:val="18"/>
                <w:szCs w:val="18"/>
                <w:color w:val="auto"/>
              </w:rPr>
              <w:t>Other information</w:t>
            </w: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209,763</w:t>
            </w:r>
          </w:p>
        </w:tc>
        <w:tc>
          <w:tcPr>
            <w:tcW w:w="26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162,607</w:t>
            </w:r>
          </w:p>
        </w:tc>
      </w:tr>
      <w:tr>
        <w:trPr>
          <w:trHeight w:val="216"/>
        </w:trPr>
        <w:tc>
          <w:tcPr>
            <w:tcW w:w="7300" w:type="dxa"/>
            <w:vAlign w:val="bottom"/>
            <w:gridSpan w:val="3"/>
          </w:tcPr>
          <w:p>
            <w:pPr>
              <w:spacing w:after="0"/>
              <w:rPr>
                <w:sz w:val="20"/>
                <w:szCs w:val="20"/>
                <w:color w:val="auto"/>
              </w:rPr>
            </w:pPr>
            <w:r>
              <w:rPr>
                <w:rFonts w:ascii="Arial" w:cs="Arial" w:eastAsia="Arial" w:hAnsi="Arial"/>
                <w:sz w:val="18"/>
                <w:szCs w:val="18"/>
                <w:color w:val="auto"/>
              </w:rPr>
              <w:t>Remaining term in years</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2.25</w:t>
            </w:r>
          </w:p>
        </w:tc>
        <w:tc>
          <w:tcPr>
            <w:tcW w:w="2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730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Average discount rate - operating leases</w:t>
            </w:r>
          </w:p>
        </w:tc>
        <w:tc>
          <w:tcPr>
            <w:tcW w:w="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supplemental balance sheet information related to leases for the period is as follows:</w:t>
      </w:r>
    </w:p>
    <w:p>
      <w:pPr>
        <w:sectPr>
          <w:pgSz w:w="11900" w:h="16838" w:orient="portrait"/>
          <w:cols w:equalWidth="0" w:num="1">
            <w:col w:w="11240"/>
          </w:cols>
          <w:pgMar w:left="320" w:top="800"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Right of use asset -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Lease Liability -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Lease Liability - non-current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lease liabilities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color w:val="auto"/>
        </w:rPr>
        <w:t>Maturities of the Company’s lease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For years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Less: Imputed interest/present value discount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Present value of lease liabilities</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9/30/2021</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2"/>
              </w:rPr>
              <w:t>6/30/2021</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1,648,133</w:t>
            </w:r>
          </w:p>
        </w:tc>
        <w:tc>
          <w:tcPr>
            <w:tcW w:w="320" w:type="dxa"/>
            <w:vAlign w:val="bottom"/>
          </w:tcPr>
          <w:p>
            <w:pPr>
              <w:spacing w:after="0"/>
              <w:rPr>
                <w:sz w:val="16"/>
                <w:szCs w:val="16"/>
                <w:color w:val="auto"/>
              </w:rPr>
            </w:pPr>
          </w:p>
        </w:tc>
        <w:tc>
          <w:tcPr>
            <w:tcW w:w="260" w:type="dxa"/>
            <w:vAlign w:val="bottom"/>
          </w:tcPr>
          <w:p>
            <w:pPr>
              <w:jc w:val="right"/>
              <w:ind w:right="70"/>
              <w:spacing w:after="0" w:line="195"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195" w:lineRule="exact"/>
              <w:rPr>
                <w:sz w:val="20"/>
                <w:szCs w:val="20"/>
                <w:color w:val="auto"/>
              </w:rPr>
            </w:pPr>
            <w:r>
              <w:rPr>
                <w:rFonts w:ascii="Arial" w:cs="Arial" w:eastAsia="Arial" w:hAnsi="Arial"/>
                <w:sz w:val="18"/>
                <w:szCs w:val="18"/>
                <w:color w:val="auto"/>
              </w:rPr>
              <w:t>1,819,421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749,132</w:t>
            </w: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731,944</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976,830</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1,169,552</w:t>
            </w: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1,725,962</w:t>
            </w: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1,901,496</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3"/>
          </w:tcPr>
          <w:p>
            <w:pPr>
              <w:jc w:val="center"/>
              <w:ind w:right="340"/>
              <w:spacing w:after="0"/>
              <w:rPr>
                <w:sz w:val="20"/>
                <w:szCs w:val="20"/>
                <w:color w:val="auto"/>
              </w:rPr>
            </w:pPr>
            <w:r>
              <w:rPr>
                <w:rFonts w:ascii="Arial" w:cs="Arial" w:eastAsia="Arial" w:hAnsi="Arial"/>
                <w:sz w:val="18"/>
                <w:szCs w:val="18"/>
                <w:color w:val="auto"/>
                <w:w w:val="91"/>
              </w:rPr>
              <w:t>Operating</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5"/>
              </w:rPr>
              <w:t>Lease</w:t>
            </w:r>
          </w:p>
        </w:tc>
        <w:tc>
          <w:tcPr>
            <w:tcW w:w="60" w:type="dxa"/>
            <w:vAlign w:val="bottom"/>
            <w:gridSpan w:val="2"/>
          </w:tcPr>
          <w:p>
            <w:pPr>
              <w:spacing w:after="0"/>
              <w:rPr>
                <w:sz w:val="20"/>
                <w:szCs w:val="20"/>
                <w:color w:val="auto"/>
              </w:rPr>
            </w:pPr>
          </w:p>
        </w:tc>
      </w:tr>
      <w:tr>
        <w:trPr>
          <w:trHeight w:val="41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638,081</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859,881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371,640</w:t>
            </w:r>
          </w:p>
        </w:tc>
        <w:tc>
          <w:tcPr>
            <w:tcW w:w="4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(143,640)</w:t>
            </w: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1,725,962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940" w:space="720"/>
            <w:col w:w="3580"/>
          </w:cols>
          <w:pgMar w:left="320" w:top="800"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Company expects to use the Premises for the storage and distribution of hydroponic equipment, lighting and garden accessories, home products, pet products, other consumer products and other ancillary uses. The term of the Lease Agreement is for 62 months, commencing on the date on which the Landlord completes certain proscribed improvements on the property (the “Rent Commencement Date”). The Lease Agreement does not provide for an option to renew.</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terms of the Lease Agreement, the Company paid an initial security deposit of $228,498.10, which was included in other non-current assets, and, upon the Rent Commencement Date (which shall be the date on which the Premises is delivered to the Company following completion of certain improvements to be made by the Landlord, with such delivery to be on or before January 15, 2022), the Company’s initial monthly base rent (the “Base Rent”) will be approximately $114,249.05 and will increase on each anniversary of the Rent Commencement Date as follows:</w:t>
      </w:r>
    </w:p>
    <w:p>
      <w:pPr>
        <w:spacing w:after="0" w:line="154" w:lineRule="exact"/>
        <w:rPr>
          <w:sz w:val="20"/>
          <w:szCs w:val="20"/>
          <w:color w:val="auto"/>
        </w:rPr>
      </w:pPr>
    </w:p>
    <w:tbl>
      <w:tblPr>
        <w:tblLayout w:type="fixed"/>
        <w:tblInd w:w="170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color w:val="auto"/>
              </w:rPr>
              <w:t>Months</w:t>
            </w:r>
          </w:p>
        </w:tc>
        <w:tc>
          <w:tcPr>
            <w:tcW w:w="4500" w:type="dxa"/>
            <w:vAlign w:val="bottom"/>
            <w:gridSpan w:val="3"/>
          </w:tcPr>
          <w:p>
            <w:pPr>
              <w:ind w:left="560"/>
              <w:spacing w:after="0"/>
              <w:rPr>
                <w:sz w:val="20"/>
                <w:szCs w:val="20"/>
                <w:color w:val="auto"/>
              </w:rPr>
            </w:pPr>
            <w:r>
              <w:rPr>
                <w:rFonts w:ascii="Arial" w:cs="Arial" w:eastAsia="Arial" w:hAnsi="Arial"/>
                <w:sz w:val="18"/>
                <w:szCs w:val="18"/>
                <w:color w:val="auto"/>
                <w:w w:val="98"/>
              </w:rPr>
              <w:t>Price Per Square Foot of the Premises Per Month</w:t>
            </w:r>
          </w:p>
        </w:tc>
        <w:tc>
          <w:tcPr>
            <w:tcW w:w="2260" w:type="dxa"/>
            <w:vAlign w:val="bottom"/>
            <w:gridSpan w:val="2"/>
          </w:tcPr>
          <w:p>
            <w:pPr>
              <w:spacing w:after="0"/>
              <w:rPr>
                <w:sz w:val="20"/>
                <w:szCs w:val="20"/>
                <w:color w:val="auto"/>
              </w:rPr>
            </w:pPr>
            <w:r>
              <w:rPr>
                <w:rFonts w:ascii="Arial" w:cs="Arial" w:eastAsia="Arial" w:hAnsi="Arial"/>
                <w:sz w:val="18"/>
                <w:szCs w:val="18"/>
                <w:color w:val="auto"/>
              </w:rPr>
              <w:t>Monthly Base Rent</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shd w:val="clear" w:color="auto" w:fill="EEEEEE"/>
          </w:tcPr>
          <w:p>
            <w:pPr>
              <w:spacing w:after="0"/>
              <w:rPr>
                <w:sz w:val="20"/>
                <w:szCs w:val="20"/>
                <w:color w:val="auto"/>
              </w:rPr>
            </w:pPr>
            <w:r>
              <w:rPr>
                <w:rFonts w:ascii="Arial" w:cs="Arial" w:eastAsia="Arial" w:hAnsi="Arial"/>
                <w:sz w:val="18"/>
                <w:szCs w:val="18"/>
                <w:color w:val="auto"/>
              </w:rPr>
              <w:t>1-12</w:t>
            </w:r>
          </w:p>
        </w:tc>
        <w:tc>
          <w:tcPr>
            <w:tcW w:w="560" w:type="dxa"/>
            <w:vAlign w:val="bottom"/>
            <w:shd w:val="clear" w:color="auto" w:fill="EEEEEE"/>
          </w:tcPr>
          <w:p>
            <w:pPr>
              <w:spacing w:after="0"/>
              <w:rPr>
                <w:sz w:val="18"/>
                <w:szCs w:val="18"/>
                <w:color w:val="auto"/>
              </w:rPr>
            </w:pPr>
          </w:p>
        </w:tc>
        <w:tc>
          <w:tcPr>
            <w:tcW w:w="450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$1.15 per square foot per month</w:t>
            </w: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$114,249.05</w:t>
            </w: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13-24</w:t>
            </w:r>
          </w:p>
        </w:tc>
        <w:tc>
          <w:tcPr>
            <w:tcW w:w="560" w:type="dxa"/>
            <w:vAlign w:val="bottom"/>
          </w:tcPr>
          <w:p>
            <w:pPr>
              <w:spacing w:after="0"/>
              <w:rPr>
                <w:sz w:val="18"/>
                <w:szCs w:val="18"/>
                <w:color w:val="auto"/>
              </w:rPr>
            </w:pPr>
          </w:p>
        </w:tc>
        <w:tc>
          <w:tcPr>
            <w:tcW w:w="4500" w:type="dxa"/>
            <w:vAlign w:val="bottom"/>
            <w:gridSpan w:val="3"/>
          </w:tcPr>
          <w:p>
            <w:pPr>
              <w:ind w:left="560"/>
              <w:spacing w:after="0"/>
              <w:rPr>
                <w:sz w:val="20"/>
                <w:szCs w:val="20"/>
                <w:color w:val="auto"/>
              </w:rPr>
            </w:pPr>
            <w:r>
              <w:rPr>
                <w:rFonts w:ascii="Arial" w:cs="Arial" w:eastAsia="Arial" w:hAnsi="Arial"/>
                <w:sz w:val="18"/>
                <w:szCs w:val="18"/>
                <w:color w:val="auto"/>
              </w:rPr>
              <w:t>$1.19 per square foot per month</w:t>
            </w:r>
          </w:p>
        </w:tc>
        <w:tc>
          <w:tcPr>
            <w:tcW w:w="1400" w:type="dxa"/>
            <w:vAlign w:val="bottom"/>
          </w:tcPr>
          <w:p>
            <w:pPr>
              <w:spacing w:after="0"/>
              <w:rPr>
                <w:sz w:val="20"/>
                <w:szCs w:val="20"/>
                <w:color w:val="auto"/>
              </w:rPr>
            </w:pPr>
            <w:r>
              <w:rPr>
                <w:rFonts w:ascii="Arial" w:cs="Arial" w:eastAsia="Arial" w:hAnsi="Arial"/>
                <w:sz w:val="18"/>
                <w:szCs w:val="18"/>
                <w:color w:val="auto"/>
              </w:rPr>
              <w:t>$118,222.93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EEEEEE"/>
          </w:tcPr>
          <w:p>
            <w:pPr>
              <w:spacing w:after="0"/>
              <w:rPr>
                <w:sz w:val="20"/>
                <w:szCs w:val="20"/>
                <w:color w:val="auto"/>
              </w:rPr>
            </w:pPr>
            <w:r>
              <w:rPr>
                <w:rFonts w:ascii="Arial" w:cs="Arial" w:eastAsia="Arial" w:hAnsi="Arial"/>
                <w:sz w:val="18"/>
                <w:szCs w:val="18"/>
                <w:color w:val="auto"/>
              </w:rPr>
              <w:t>25-36</w:t>
            </w:r>
          </w:p>
        </w:tc>
        <w:tc>
          <w:tcPr>
            <w:tcW w:w="560" w:type="dxa"/>
            <w:vAlign w:val="bottom"/>
            <w:shd w:val="clear" w:color="auto" w:fill="EEEEEE"/>
          </w:tcPr>
          <w:p>
            <w:pPr>
              <w:spacing w:after="0"/>
              <w:rPr>
                <w:sz w:val="18"/>
                <w:szCs w:val="18"/>
                <w:color w:val="auto"/>
              </w:rPr>
            </w:pPr>
          </w:p>
        </w:tc>
        <w:tc>
          <w:tcPr>
            <w:tcW w:w="450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$1.23 per square foot per month</w:t>
            </w: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$122,196.81</w:t>
            </w: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37-48</w:t>
            </w:r>
          </w:p>
        </w:tc>
        <w:tc>
          <w:tcPr>
            <w:tcW w:w="560" w:type="dxa"/>
            <w:vAlign w:val="bottom"/>
          </w:tcPr>
          <w:p>
            <w:pPr>
              <w:spacing w:after="0"/>
              <w:rPr>
                <w:sz w:val="18"/>
                <w:szCs w:val="18"/>
                <w:color w:val="auto"/>
              </w:rPr>
            </w:pPr>
          </w:p>
        </w:tc>
        <w:tc>
          <w:tcPr>
            <w:tcW w:w="4500" w:type="dxa"/>
            <w:vAlign w:val="bottom"/>
            <w:gridSpan w:val="3"/>
          </w:tcPr>
          <w:p>
            <w:pPr>
              <w:ind w:left="560"/>
              <w:spacing w:after="0"/>
              <w:rPr>
                <w:sz w:val="20"/>
                <w:szCs w:val="20"/>
                <w:color w:val="auto"/>
              </w:rPr>
            </w:pPr>
            <w:r>
              <w:rPr>
                <w:rFonts w:ascii="Arial" w:cs="Arial" w:eastAsia="Arial" w:hAnsi="Arial"/>
                <w:sz w:val="18"/>
                <w:szCs w:val="18"/>
                <w:color w:val="auto"/>
              </w:rPr>
              <w:t>$1.27 per square foot per month</w:t>
            </w:r>
          </w:p>
        </w:tc>
        <w:tc>
          <w:tcPr>
            <w:tcW w:w="1400" w:type="dxa"/>
            <w:vAlign w:val="bottom"/>
          </w:tcPr>
          <w:p>
            <w:pPr>
              <w:spacing w:after="0"/>
              <w:rPr>
                <w:sz w:val="20"/>
                <w:szCs w:val="20"/>
                <w:color w:val="auto"/>
              </w:rPr>
            </w:pPr>
            <w:r>
              <w:rPr>
                <w:rFonts w:ascii="Arial" w:cs="Arial" w:eastAsia="Arial" w:hAnsi="Arial"/>
                <w:sz w:val="18"/>
                <w:szCs w:val="18"/>
                <w:color w:val="auto"/>
              </w:rPr>
              <w:t>$126,170.69</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EEEEEE"/>
          </w:tcPr>
          <w:p>
            <w:pPr>
              <w:spacing w:after="0"/>
              <w:rPr>
                <w:sz w:val="20"/>
                <w:szCs w:val="20"/>
                <w:color w:val="auto"/>
              </w:rPr>
            </w:pPr>
            <w:r>
              <w:rPr>
                <w:rFonts w:ascii="Arial" w:cs="Arial" w:eastAsia="Arial" w:hAnsi="Arial"/>
                <w:sz w:val="18"/>
                <w:szCs w:val="18"/>
                <w:color w:val="auto"/>
              </w:rPr>
              <w:t>49-60</w:t>
            </w:r>
          </w:p>
        </w:tc>
        <w:tc>
          <w:tcPr>
            <w:tcW w:w="560" w:type="dxa"/>
            <w:vAlign w:val="bottom"/>
            <w:shd w:val="clear" w:color="auto" w:fill="EEEEEE"/>
          </w:tcPr>
          <w:p>
            <w:pPr>
              <w:spacing w:after="0"/>
              <w:rPr>
                <w:sz w:val="18"/>
                <w:szCs w:val="18"/>
                <w:color w:val="auto"/>
              </w:rPr>
            </w:pPr>
          </w:p>
        </w:tc>
        <w:tc>
          <w:tcPr>
            <w:tcW w:w="4500" w:type="dxa"/>
            <w:vAlign w:val="bottom"/>
            <w:gridSpan w:val="3"/>
            <w:shd w:val="clear" w:color="auto" w:fill="EEEEEE"/>
          </w:tcPr>
          <w:p>
            <w:pPr>
              <w:ind w:left="560"/>
              <w:spacing w:after="0"/>
              <w:rPr>
                <w:sz w:val="20"/>
                <w:szCs w:val="20"/>
                <w:color w:val="auto"/>
              </w:rPr>
            </w:pPr>
            <w:r>
              <w:rPr>
                <w:rFonts w:ascii="Arial" w:cs="Arial" w:eastAsia="Arial" w:hAnsi="Arial"/>
                <w:sz w:val="18"/>
                <w:szCs w:val="18"/>
                <w:color w:val="auto"/>
              </w:rPr>
              <w:t>$1.31 per square foot per month</w:t>
            </w:r>
          </w:p>
        </w:tc>
        <w:tc>
          <w:tcPr>
            <w:tcW w:w="1400" w:type="dxa"/>
            <w:vAlign w:val="bottom"/>
            <w:shd w:val="clear" w:color="auto" w:fill="EEEEEE"/>
          </w:tcPr>
          <w:p>
            <w:pPr>
              <w:spacing w:after="0"/>
              <w:rPr>
                <w:sz w:val="20"/>
                <w:szCs w:val="20"/>
                <w:color w:val="auto"/>
              </w:rPr>
            </w:pPr>
            <w:r>
              <w:rPr>
                <w:rFonts w:ascii="Arial" w:cs="Arial" w:eastAsia="Arial" w:hAnsi="Arial"/>
                <w:sz w:val="18"/>
                <w:szCs w:val="18"/>
                <w:color w:val="auto"/>
              </w:rPr>
              <w:t>$130,144.57</w:t>
            </w: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61-62</w:t>
            </w:r>
          </w:p>
        </w:tc>
        <w:tc>
          <w:tcPr>
            <w:tcW w:w="560" w:type="dxa"/>
            <w:vAlign w:val="bottom"/>
          </w:tcPr>
          <w:p>
            <w:pPr>
              <w:spacing w:after="0"/>
              <w:rPr>
                <w:sz w:val="20"/>
                <w:szCs w:val="20"/>
                <w:color w:val="auto"/>
              </w:rPr>
            </w:pPr>
          </w:p>
        </w:tc>
        <w:tc>
          <w:tcPr>
            <w:tcW w:w="4500" w:type="dxa"/>
            <w:vAlign w:val="bottom"/>
            <w:gridSpan w:val="3"/>
          </w:tcPr>
          <w:p>
            <w:pPr>
              <w:ind w:left="560"/>
              <w:spacing w:after="0"/>
              <w:rPr>
                <w:sz w:val="20"/>
                <w:szCs w:val="20"/>
                <w:color w:val="auto"/>
              </w:rPr>
            </w:pPr>
            <w:r>
              <w:rPr>
                <w:rFonts w:ascii="Arial" w:cs="Arial" w:eastAsia="Arial" w:hAnsi="Arial"/>
                <w:sz w:val="18"/>
                <w:szCs w:val="18"/>
                <w:color w:val="auto"/>
              </w:rPr>
              <w:t>$1.36 per square foot per month</w:t>
            </w:r>
          </w:p>
        </w:tc>
        <w:tc>
          <w:tcPr>
            <w:tcW w:w="1400" w:type="dxa"/>
            <w:vAlign w:val="bottom"/>
          </w:tcPr>
          <w:p>
            <w:pPr>
              <w:spacing w:after="0"/>
              <w:rPr>
                <w:sz w:val="20"/>
                <w:szCs w:val="20"/>
                <w:color w:val="auto"/>
              </w:rPr>
            </w:pPr>
            <w:r>
              <w:rPr>
                <w:rFonts w:ascii="Arial" w:cs="Arial" w:eastAsia="Arial" w:hAnsi="Arial"/>
                <w:sz w:val="18"/>
                <w:szCs w:val="18"/>
                <w:color w:val="auto"/>
              </w:rPr>
              <w:t>$135,111.92</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will be abated.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Contingencies</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Except as disclosed below, the Company is not currently a party to any material legal proceedings, investigation or claims. However, the Company may, from time to time, be involved in legal matters arising in the ordinary course of its business. While the Company is not presently subject to any material legal proceedings, other than the proceeding detailed below,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6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The FINRA arbitration has been scheduled for June 20, 2022.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will have on the Company’s business.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Note 15 - Subsequent events</w:t>
      </w:r>
    </w:p>
    <w:p>
      <w:pPr>
        <w:spacing w:after="0" w:line="22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On November 12, 2021, the Company and its subsidiaries entered to a Credit Agreement with JPMorgan Chase Bank, N.A., as administrative agent, issuing bank and swingline lender, for an asset-based revolving loan (“ABL”) of up to $25 million with key terms listed as follows:</w:t>
      </w:r>
    </w:p>
    <w:p>
      <w:pPr>
        <w:spacing w:after="0" w:line="146" w:lineRule="exact"/>
        <w:rPr>
          <w:sz w:val="20"/>
          <w:szCs w:val="20"/>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Borrowing base equal to the sum of</w:t>
      </w:r>
    </w:p>
    <w:p>
      <w:pPr>
        <w:spacing w:after="0" w:line="23" w:lineRule="exact"/>
        <w:rPr>
          <w:rFonts w:ascii="Arial" w:cs="Arial" w:eastAsia="Arial" w:hAnsi="Arial"/>
          <w:sz w:val="18"/>
          <w:szCs w:val="18"/>
          <w:color w:val="auto"/>
        </w:rPr>
      </w:pPr>
    </w:p>
    <w:p>
      <w:pPr>
        <w:ind w:left="1960" w:hanging="332"/>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Up to 90% of eligible credit card receivables</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Up to 85% of eligible trade accounts receivable</w:t>
      </w:r>
    </w:p>
    <w:p>
      <w:pPr>
        <w:spacing w:after="0" w:line="9" w:lineRule="exact"/>
        <w:rPr>
          <w:rFonts w:ascii="Arial" w:cs="Arial" w:eastAsia="Arial" w:hAnsi="Arial"/>
          <w:sz w:val="18"/>
          <w:szCs w:val="18"/>
          <w:color w:val="auto"/>
        </w:rPr>
      </w:pPr>
    </w:p>
    <w:p>
      <w:pPr>
        <w:ind w:left="1960" w:hanging="332"/>
        <w:spacing w:after="0"/>
        <w:tabs>
          <w:tab w:leader="none" w:pos="1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Up to the lesser of (i) 65% of cost of eligible inventory or (ii) 85% of net orderly liquidation value of eligible inventory</w:t>
      </w:r>
    </w:p>
    <w:p>
      <w:pPr>
        <w:spacing w:after="0" w:line="210"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rates of between LIBOR plus 2% and LIBOR plus 2.25% depending on utilization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Undrawn fee of between 0.25% and 0.375% depending on utilization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Maturity Date of November 12, 2024</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ABL includes an accordion feature that allows the Company to borrow up to an additional $25 million. Upon closing of the ABL, the Company paid its financial advisor 2% of $25.0 million or $500,000 in financing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The following Management’s Discussion and Analysis should be read in conjunction with our financial statements and the related notes thereto included elsewhere herein. This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iPower Inc. is an online hydroponic equipment supplier based in the United States. Through the operations of our e-commerce platform, www.Zenhydro.com, and our combined 72,000 square foot fulfillment centers in Los Angeles, California, we believe we are one of the leading marketers, distributors and retailers of grow-light systems, ventilation systems, activated carbon filters, nutrients, growing media, hydroponic water-resistant grow tents, trimming machines, pumps and accessories for hydroponic gardening,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are actively developing and acquiring our in-house branded products, which to date include the </w:t>
      </w:r>
      <w:r>
        <w:rPr>
          <w:rFonts w:ascii="Arial" w:cs="Arial" w:eastAsia="Arial" w:hAnsi="Arial"/>
          <w:sz w:val="17"/>
          <w:szCs w:val="17"/>
          <w:b w:val="1"/>
          <w:bCs w:val="1"/>
          <w:i w:val="1"/>
          <w:iCs w:val="1"/>
          <w:color w:val="auto"/>
        </w:rPr>
        <w:t>iPower</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Simple Deluxe</w:t>
      </w:r>
      <w:r>
        <w:rPr>
          <w:rFonts w:ascii="Arial" w:cs="Arial" w:eastAsia="Arial" w:hAnsi="Arial"/>
          <w:sz w:val="17"/>
          <w:szCs w:val="17"/>
          <w:color w:val="auto"/>
        </w:rPr>
        <w:t xml:space="preserve"> brands and consist of more than 4,000 SKUs of products such as grow-light systems, ventilation systems, activated carbon filters, nutrients, growing media, hydroponic water-resistant grow tents, trimming machines, pumps and many more hydroponic-related items; some of which have been designated as Amazon best seller product leaders, among others. For the quarter ended September 30, 2021, our top five product segments consisted of ventilation systems (41% of sales), nutrients (12% of total sales), shelf (7.7% of sales), trimmer (3.5% of sales) and gardening equipment (3.5% of sales). While we will continue focusing on our top products, we are working to expand its product line to include nutrients.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Expectations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and Brand Development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plan to increase investments in product and brand development. We actively evaluate and pursue acquisitions of product brand names and improvements on existing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Outbreak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continuing to closely monitor the impact of the COVID-19 outbreak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that the outbreak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suspending all non-essential travel, transitioning certain of our employees to working-from-home arrangements, reimbursing certain employee technology purchases, providing emergency paid time off and targeted hourly pay increases and developing no contact delivery methods.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jc w:val="both"/>
        <w:ind w:firstLine="648"/>
        <w:spacing w:after="0" w:line="296" w:lineRule="auto"/>
        <w:rPr>
          <w:sz w:val="20"/>
          <w:szCs w:val="20"/>
          <w:color w:val="auto"/>
        </w:rPr>
      </w:pPr>
      <w:r>
        <w:rPr>
          <w:rFonts w:ascii="Arial" w:cs="Arial" w:eastAsia="Arial" w:hAnsi="Arial"/>
          <w:sz w:val="16"/>
          <w:szCs w:val="16"/>
          <w:color w:val="auto"/>
        </w:rPr>
        <w:t>In an effort to contain or slow the COVID-19 outbreak,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outbreak, including any resurgences, will continue to negatively impact global economic activity.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Environment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months ended September 30, 2021 and 2020</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certain unaudited condensed consolidated and combined statement of operations information and presentation of that data as a percentage of change from period to period.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Three Months</w:t>
            </w:r>
          </w:p>
        </w:tc>
        <w:tc>
          <w:tcPr>
            <w:tcW w:w="100" w:type="dxa"/>
            <w:vAlign w:val="bottom"/>
          </w:tcPr>
          <w:p>
            <w:pPr>
              <w:spacing w:after="0"/>
              <w:rPr>
                <w:sz w:val="18"/>
                <w:szCs w:val="18"/>
                <w:color w:val="auto"/>
              </w:rPr>
            </w:pPr>
          </w:p>
        </w:tc>
        <w:tc>
          <w:tcPr>
            <w:tcW w:w="14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3"/>
              </w:rPr>
              <w:t>Three Months</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0"/>
              </w:rPr>
              <w:t>Ended</w:t>
            </w:r>
          </w:p>
        </w:tc>
        <w:tc>
          <w:tcPr>
            <w:tcW w:w="100" w:type="dxa"/>
            <w:vAlign w:val="bottom"/>
          </w:tcPr>
          <w:p>
            <w:pPr>
              <w:spacing w:after="0"/>
              <w:rPr>
                <w:sz w:val="18"/>
                <w:szCs w:val="18"/>
                <w:color w:val="auto"/>
              </w:rPr>
            </w:pPr>
          </w:p>
        </w:tc>
        <w:tc>
          <w:tcPr>
            <w:tcW w:w="14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0"/>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8"/>
                <w:szCs w:val="18"/>
                <w:color w:val="auto"/>
              </w:rPr>
            </w:pPr>
          </w:p>
        </w:tc>
        <w:tc>
          <w:tcPr>
            <w:tcW w:w="146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89"/>
              </w:rPr>
              <w:t>September 30,</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8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c>
          <w:tcPr>
            <w:tcW w:w="220" w:type="dxa"/>
            <w:vAlign w:val="bottom"/>
          </w:tcPr>
          <w:p>
            <w:pPr>
              <w:spacing w:after="0"/>
              <w:rPr>
                <w:sz w:val="20"/>
                <w:szCs w:val="20"/>
                <w:color w:val="auto"/>
              </w:rPr>
            </w:pPr>
          </w:p>
        </w:tc>
        <w:tc>
          <w:tcPr>
            <w:tcW w:w="1440" w:type="dxa"/>
            <w:vAlign w:val="bottom"/>
            <w:gridSpan w:val="2"/>
          </w:tcPr>
          <w:p>
            <w:pPr>
              <w:ind w:left="320"/>
              <w:spacing w:after="0"/>
              <w:rPr>
                <w:sz w:val="20"/>
                <w:szCs w:val="20"/>
                <w:color w:val="auto"/>
              </w:rPr>
            </w:pPr>
            <w:r>
              <w:rPr>
                <w:rFonts w:ascii="Arial" w:cs="Arial" w:eastAsia="Arial" w:hAnsi="Arial"/>
                <w:sz w:val="18"/>
                <w:szCs w:val="18"/>
                <w:b w:val="1"/>
                <w:bCs w:val="1"/>
                <w:color w:val="auto"/>
              </w:rPr>
              <w:t>Variance</w:t>
            </w:r>
          </w:p>
        </w:tc>
      </w:tr>
      <w:tr>
        <w:trPr>
          <w:trHeight w:val="210"/>
        </w:trPr>
        <w:tc>
          <w:tcPr>
            <w:tcW w:w="48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Revenues</w:t>
            </w:r>
          </w:p>
        </w:tc>
        <w:tc>
          <w:tcPr>
            <w:tcW w:w="18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17,366,765</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14,959,935</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Cost of goods sold</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10,053,063</w:t>
            </w:r>
          </w:p>
        </w:tc>
        <w:tc>
          <w:tcPr>
            <w:tcW w:w="10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9,397,147</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r>
      <w:tr>
        <w:trPr>
          <w:trHeight w:val="209"/>
        </w:trPr>
        <w:tc>
          <w:tcPr>
            <w:tcW w:w="48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8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7,313,702</w:t>
            </w: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5,562,788</w:t>
            </w:r>
          </w:p>
        </w:tc>
        <w:tc>
          <w:tcPr>
            <w:tcW w:w="220" w:type="dxa"/>
            <w:vAlign w:val="bottom"/>
            <w:tcBorders>
              <w:top w:val="single" w:sz="8" w:color="EEEEEE"/>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Selling, fulfillment, general and administrative expenses</w:t>
            </w:r>
          </w:p>
        </w:tc>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6,023,387</w:t>
            </w:r>
          </w:p>
        </w:tc>
        <w:tc>
          <w:tcPr>
            <w:tcW w:w="100" w:type="dxa"/>
            <w:vAlign w:val="bottom"/>
          </w:tcPr>
          <w:p>
            <w:pPr>
              <w:spacing w:after="0"/>
              <w:rPr>
                <w:sz w:val="18"/>
                <w:szCs w:val="18"/>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4,486,415</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34.26%</w:t>
            </w:r>
          </w:p>
        </w:tc>
      </w:tr>
      <w:tr>
        <w:trPr>
          <w:trHeight w:val="230"/>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Operating income</w:t>
            </w:r>
          </w:p>
        </w:tc>
        <w:tc>
          <w:tcPr>
            <w:tcW w:w="18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1,290,315</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1,076,373</w:t>
            </w:r>
          </w:p>
        </w:tc>
        <w:tc>
          <w:tcPr>
            <w:tcW w:w="1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19.88%</w:t>
            </w:r>
          </w:p>
        </w:tc>
      </w:tr>
      <w:tr>
        <w:trPr>
          <w:trHeight w:val="209"/>
        </w:trPr>
        <w:tc>
          <w:tcPr>
            <w:tcW w:w="480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 (expenses)</w:t>
            </w:r>
          </w:p>
        </w:tc>
        <w:tc>
          <w:tcPr>
            <w:tcW w:w="1840" w:type="dxa"/>
            <w:vAlign w:val="bottom"/>
            <w:tcBorders>
              <w:bottom w:val="single" w:sz="8" w:color="EEEEEE"/>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(59,812</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(18,433</w:t>
            </w:r>
          </w:p>
        </w:tc>
        <w:tc>
          <w:tcPr>
            <w:tcW w:w="220" w:type="dxa"/>
            <w:vAlign w:val="bottom"/>
            <w:tcBorders>
              <w:bottom w:val="single" w:sz="8" w:color="EEEEEE"/>
            </w:tcBorders>
          </w:tcPr>
          <w:p>
            <w:pPr>
              <w:jc w:val="right"/>
              <w:ind w:right="81"/>
              <w:spacing w:after="0"/>
              <w:rPr>
                <w:sz w:val="20"/>
                <w:szCs w:val="20"/>
                <w:color w:val="auto"/>
              </w:rPr>
            </w:pPr>
            <w:r>
              <w:rPr>
                <w:rFonts w:ascii="Arial" w:cs="Arial" w:eastAsia="Arial" w:hAnsi="Arial"/>
                <w:sz w:val="16"/>
                <w:szCs w:val="16"/>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224.48%</w:t>
            </w:r>
          </w:p>
        </w:tc>
        <w:tc>
          <w:tcPr>
            <w:tcW w:w="100" w:type="dxa"/>
            <w:vAlign w:val="bottom"/>
            <w:tcBorders>
              <w:bottom w:val="single" w:sz="8" w:color="EEEEEE"/>
            </w:tcBorders>
          </w:tcPr>
          <w:p>
            <w:pPr>
              <w:spacing w:after="0"/>
              <w:rPr>
                <w:sz w:val="18"/>
                <w:szCs w:val="18"/>
                <w:color w:val="auto"/>
              </w:rPr>
            </w:pPr>
          </w:p>
        </w:tc>
      </w:tr>
      <w:tr>
        <w:trPr>
          <w:trHeight w:val="210"/>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income taxes</w:t>
            </w:r>
          </w:p>
        </w:tc>
        <w:tc>
          <w:tcPr>
            <w:tcW w:w="18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1,230,503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1,057,940</w:t>
            </w:r>
          </w:p>
        </w:tc>
        <w:tc>
          <w:tcPr>
            <w:tcW w:w="220" w:type="dxa"/>
            <w:vAlign w:val="bottom"/>
            <w:shd w:val="clear" w:color="auto" w:fill="EEEEEE"/>
          </w:tcPr>
          <w:p>
            <w:pPr>
              <w:spacing w:after="0"/>
              <w:rPr>
                <w:sz w:val="18"/>
                <w:szCs w:val="18"/>
                <w:color w:val="auto"/>
              </w:rPr>
            </w:pPr>
          </w:p>
        </w:tc>
        <w:tc>
          <w:tcPr>
            <w:tcW w:w="1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16.31%</w:t>
            </w:r>
          </w:p>
        </w:tc>
        <w:tc>
          <w:tcPr>
            <w:tcW w:w="100" w:type="dxa"/>
            <w:vAlign w:val="bottom"/>
            <w:shd w:val="clear" w:color="auto" w:fill="EEEEEE"/>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Income tax expenses</w:t>
            </w: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41"/>
              <w:spacing w:after="0"/>
              <w:rPr>
                <w:sz w:val="20"/>
                <w:szCs w:val="20"/>
                <w:color w:val="auto"/>
              </w:rPr>
            </w:pPr>
            <w:r>
              <w:rPr>
                <w:rFonts w:ascii="Arial" w:cs="Arial" w:eastAsia="Arial" w:hAnsi="Arial"/>
                <w:sz w:val="18"/>
                <w:szCs w:val="18"/>
                <w:color w:val="auto"/>
              </w:rPr>
              <w:t>342,975</w:t>
            </w:r>
          </w:p>
        </w:tc>
        <w:tc>
          <w:tcPr>
            <w:tcW w:w="10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295,944</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15.89%</w:t>
            </w:r>
          </w:p>
        </w:tc>
      </w:tr>
      <w:tr>
        <w:trPr>
          <w:trHeight w:val="223"/>
        </w:trPr>
        <w:tc>
          <w:tcPr>
            <w:tcW w:w="480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18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887,528</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761,996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4800" w:type="dxa"/>
            <w:vAlign w:val="bottom"/>
            <w:shd w:val="clear" w:color="auto" w:fill="EEEEEE"/>
          </w:tcPr>
          <w:p>
            <w:pPr>
              <w:spacing w:after="0"/>
              <w:rPr>
                <w:sz w:val="20"/>
                <w:szCs w:val="20"/>
                <w:color w:val="auto"/>
              </w:rPr>
            </w:pPr>
            <w:r>
              <w:rPr>
                <w:rFonts w:ascii="Arial" w:cs="Arial" w:eastAsia="Arial" w:hAnsi="Arial"/>
                <w:sz w:val="18"/>
                <w:szCs w:val="18"/>
                <w:color w:val="auto"/>
              </w:rPr>
              <w:t>Gross profit % of revenues</w:t>
            </w:r>
          </w:p>
        </w:tc>
        <w:tc>
          <w:tcPr>
            <w:tcW w:w="18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EEEEEE"/>
          </w:tcPr>
          <w:p>
            <w:pPr>
              <w:spacing w:after="0"/>
              <w:rPr>
                <w:sz w:val="19"/>
                <w:szCs w:val="19"/>
                <w:color w:val="auto"/>
              </w:rPr>
            </w:pPr>
          </w:p>
        </w:tc>
        <w:tc>
          <w:tcPr>
            <w:tcW w:w="1460" w:type="dxa"/>
            <w:vAlign w:val="bottom"/>
            <w:gridSpan w:val="2"/>
            <w:shd w:val="clear" w:color="auto" w:fill="EEEEEE"/>
          </w:tcPr>
          <w:p>
            <w:pPr>
              <w:jc w:val="right"/>
              <w:ind w:right="141"/>
              <w:spacing w:after="0"/>
              <w:rPr>
                <w:sz w:val="20"/>
                <w:szCs w:val="20"/>
                <w:color w:val="auto"/>
              </w:rPr>
            </w:pPr>
            <w:r>
              <w:rPr>
                <w:rFonts w:ascii="Arial" w:cs="Arial" w:eastAsia="Arial" w:hAnsi="Arial"/>
                <w:sz w:val="18"/>
                <w:szCs w:val="18"/>
                <w:color w:val="auto"/>
              </w:rPr>
              <w:t>37.18%</w:t>
            </w:r>
          </w:p>
        </w:tc>
        <w:tc>
          <w:tcPr>
            <w:tcW w:w="134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r>
      <w:tr>
        <w:trPr>
          <w:trHeight w:val="210"/>
        </w:trPr>
        <w:tc>
          <w:tcPr>
            <w:tcW w:w="4800" w:type="dxa"/>
            <w:vAlign w:val="bottom"/>
          </w:tcPr>
          <w:p>
            <w:pPr>
              <w:spacing w:after="0"/>
              <w:rPr>
                <w:sz w:val="20"/>
                <w:szCs w:val="20"/>
                <w:color w:val="auto"/>
              </w:rPr>
            </w:pPr>
            <w:r>
              <w:rPr>
                <w:rFonts w:ascii="Arial" w:cs="Arial" w:eastAsia="Arial" w:hAnsi="Arial"/>
                <w:sz w:val="18"/>
                <w:szCs w:val="18"/>
                <w:color w:val="auto"/>
              </w:rPr>
              <w:t>Net income % of revenues</w:t>
            </w:r>
          </w:p>
        </w:tc>
        <w:tc>
          <w:tcPr>
            <w:tcW w:w="18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5.11%</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965"/>
        </w:trPr>
        <w:tc>
          <w:tcPr>
            <w:tcW w:w="48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Revenues for the three months ended September 30, 2021 increased 16.09% to $17,366,765 as compared to $14,959,935 for the three months ended September 30, 2020. While pricing remained stable, the increased revenue mainly resulted from an increase in sales volume. In addition to our organic growth, which we achieved as a result of improved products and more effective online marketing and merchandising efforts, the increase in sales was attributable to more people shopping online and pursuing gardening and growing projects during the COVID-19 pandemic. However, we cannot assure that this trend will continue, and our business may be adversely affected by poor overall economic conditions and shipping delays caused by the ongoing COVID-19 pandemic.</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of Goods Sold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Costs of goods sold for the three months ended September 30, 2021 increased 6.98% to $10,053,063 as compared to $9,397,147 for the three months ended September 30, 2020. The increase was due to an increase in sales as discussed above. In addition, we experienced a decrease of cost of goods sold as a percentage of revenue as a result of selling more products under in-house brands as opposed to third party brands. See discussions on gross profit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Gross profit was $7,313,702 for the three months ended September 30, 2021 as compared to $5,562,788 for the three months ended September 30, 2020. The gross profit ratio also increased to 42.11% for the three months ended September 30, 2021 from 37.18% for the three months ended September 30, 2020. The increase was due to a combination of an increase in sales as discussed above and a decrease of cost of goods sold resulting from selling more products under in-house brands as opposed to third party brands. The gross margin for in-house branded products is, on average, 20% higher than our gross margin for third party brands.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Fulfillment, General and Administrative Expenses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Selling, fulfillment, general and administrative expenses for the three months ended September 30, 2021 increased 34.26% to $6,023,387 as compared to $4,486,415 for the three months ended September 30, 2020. The increase was mainly due to an increase in selling and fulfillment expenses of $0.45 million and general and administrative expenses of $1.08 million, which included payroll expenses, stock-based compensation expense, insurance expenses, and other operating expenses including expenses associated with being a publicly traded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(expenses) consists of interest expense, financing fees and other non-operating income (expenses). Other expenses for the three months ended September 30, 2021 was $(59,812) as compared to $(18,433) for the three months ended September 30, 2020. The increase in other expenses was mainly due to an increase in financing fees of $59,000 during the period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income for the three months ended September 30, 2021 was $887,528 as compared to net income of $761,996 for the three months ended September 30, 2020, representing an increase of $125,532. While the gross profit as percentage of revenues increased to 42.11% in the three months ended September 30, 2021 as compared to 37.18% for the same period in 2020, the smaller increase in net income for the three months ended September 30, 2021 was primarily due to the increase in operating and non-operating expenses discussed above.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three months ended September 30, 2021 we primarily funded our operations with cash and cash equivalents generated from operations, as well as through completion of two private placements in 2020 and 2021, completion of our initial public offering in May of 2021, and borrowing under our credit facility and loans from the Small Business Administration. We had cash and cash equivalents of $1,219,580 as of September 30, 2021, representing a $5.4 million decrease from $6,651,705 of cash as of June 30, 2021. The cash decrease was primarily the result of the decrease in net cash provided by operating activities, including increased investment in inventory to support our increasing sales, payment of income taxes, and the increase in accounts receivable from Amazon resulting from increased sales.</w:t>
      </w:r>
    </w:p>
    <w:p>
      <w:pPr>
        <w:spacing w:after="0" w:line="19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Based on our current operating plan, and despite the current uncertainty resulting from the ongoing COVID-19 pandemic, we believe that our existing cash and cash equivalents and cash flows from operations will be sufficient to finance our operations the next twelve months.</w:t>
      </w:r>
    </w:p>
    <w:p>
      <w:pPr>
        <w:spacing w:after="0" w:line="1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twelve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to our margin profile and ability to generate cash. Given our current working capital position, we believe we will be able to manage through the current challenges by managing payment terms with customers and vendors.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report, we had cash and cash equivalents of approximately $1.0 million and had just closed an asset-based revolving loan of up to $25 million with JPMorgan Chase Bank, 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2021 and June 30, 2021, our working capital was $24,073,843 and $23,281,891,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cash (used in) operating activities for the three months ended September 30, 2021 and September 30, 2020 was ($5,209,185) and ($731,948), respectively. The increase in use of cash in operating activities was resulted from an increased purchase of products in order to maintain the higher inventory levels required to meet our increasing sales volumes, payment of income taxes, and the increase in accounts receivable resulted from increased sales.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the three months ended September 30, 2021 and September 30, 2020, net cash used in investing activities was the result of additions to property and equipment of ($50,423) and ($49,585), respectively, which were mainly related to the purchase of warehouse fixtures and office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cash (used in) / provided by financing activities was ($172,517) and $524,809, respectively, for the three months ended September 30, 2021 and September 30, 2020. The main reason for the increase in net cash used was primarily a result of payment on short-term loan from our revolving facility with WFC.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prepare our consolidated and combined financial statements in accordance with accounting principles generally accepted in the United States, or GAAP and pursuant to the rules and regulations of the Securities Exchange Commission (“SEC”). The preparation of consolidated and combined financial statements in conformity with GAAP requires management to make estimates and assumptions that affect the amounts reported in the consolidated and combined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and combined financial statements, we believe that the following accounting policies are critical to the process of making significant judgments and estimates in the preparation of our audited consolidated and combined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6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Payments received prior to the shipment of goods to customers are recorded as customer deposits.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 costs and reflected in selling, general and administrative expenses. The Company regularly reviews inventory and considers forecasts of future demand, market conditions and product obsolescence.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ind w:firstLine="648"/>
        <w:spacing w:after="0" w:line="308" w:lineRule="auto"/>
        <w:rPr>
          <w:sz w:val="20"/>
          <w:szCs w:val="20"/>
          <w:color w:val="auto"/>
        </w:rPr>
      </w:pPr>
      <w:r>
        <w:rPr>
          <w:rFonts w:ascii="Arial" w:cs="Arial" w:eastAsia="Arial" w:hAnsi="Arial"/>
          <w:sz w:val="17"/>
          <w:szCs w:val="17"/>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its inception date, April 11, 2018, the Company adopted ASC 842 – Leases (“ASC 842”), which requires lessees to record right-of-use, or ROU, assets and related lease obligations on the balance sheet, as well as disclose key information regarding leasing arrangements.</w:t>
      </w:r>
    </w:p>
    <w:p>
      <w:pPr>
        <w:spacing w:after="0" w:line="14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Following completion of the IPO, pursuant to their letter agreements, the Company awarded 46,546 restricted stock units (“RSUs”) under the Plan to its independent directors, Chief Financial Officer, and certain other employees and consultants, all of which are subject to certain vesting conditions. The fair value of the RSUs was determined based on $5.0 per share, the initial public offering price of the Company’s common stock on the grant date. During the quarter ended September 30, 2021, the Company granted total of 11,745 shares of RSUs to three employees. As of September 30, 2021, the Company had granted total of 58,291 RSUs, of which 40,019 were fully vested and 18,272 remained subject to certain vesting conditions. For the quarter ended September 30, 2021, the Company recorded $103,054 of stock-based compensation expense.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recognize forfeitures as they occur.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share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2022, including interim periods within those fiscal years. Adoption is either a modified retrospective method or a fully retrospective method of transition. The Company does not expect the adoption of this standard have a material impact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6" w:name="page27"/>
    <w:bookmarkEnd w:id="26"/>
    <w:p>
      <w:pPr>
        <w:jc w:val="both"/>
        <w:ind w:firstLine="648"/>
        <w:spacing w:after="0" w:line="255" w:lineRule="auto"/>
        <w:rPr>
          <w:sz w:val="20"/>
          <w:szCs w:val="20"/>
          <w:color w:val="auto"/>
        </w:rPr>
      </w:pPr>
      <w:r>
        <w:rPr>
          <w:rFonts w:ascii="Arial" w:cs="Arial" w:eastAsia="Arial" w:hAnsi="Arial"/>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Adoption of this standard did not have a material impact on the consolidated financial statements.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standards, if currently adopted, would have a material effect on the consolidated and combined financial position, statements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September 30, 2021,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(ii) our controls related to the financial statements closing process were not adequately designed or appropriately implemented to identify material misstatements in our financial reporting on a timely basis.</w:t>
      </w:r>
    </w:p>
    <w:p>
      <w:pPr>
        <w:spacing w:after="0" w:line="19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the quarter ended September 30, 2021 that have materially affected, or are reasonably likely to materially affect, our internal controls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Our former placement agent, Boustead Securities LLC, brought a legal action against us following our communication to Boustead to unilaterally terminate an engagement agreement under which we and Boustead had originally intended for Boustead to be engaged to act as an exclusive underwriter in our initial public offering (“IPO”). To date, we have been unable to reach a settlement with Boustead. On April 30, 2021, Boustead filed a statement of claim with FINRA demanding to arbitrate the dispute, and is seeking, among other things, monetary damages against the Company and D.A. Davidson &amp; Co., who acted as underwriter in our May 2020 IPO. On August 30, 2021, we had a preliminary hearing before FINRA Dispute Resolution Services and the matter has been scheduled to be heard in front of a three-judge panel of FINRA arbitrators on June 20, 2022. We believe that we have meritorious defenses to any claims that Boustead may assert, and we do not believe that such claims will have a material adverse effect on our business, financial condition or operating results. We have agreed to indemnify D.A. Davidson &amp; Co. and the other underwriters who participated in our IPO against any liability or expense they may incur or be subject to arising out of the Boustead dispute. Additionally,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For further information, see “Risk Factors – </w:t>
      </w:r>
      <w:r>
        <w:rPr>
          <w:rFonts w:ascii="Arial" w:cs="Arial" w:eastAsia="Arial" w:hAnsi="Arial"/>
          <w:sz w:val="17"/>
          <w:szCs w:val="17"/>
          <w:i w:val="1"/>
          <w:iCs w:val="1"/>
          <w:color w:val="auto"/>
        </w:rPr>
        <w:t>Prior to our initial public offering we unilaterally terminated an engagement agreement</w:t>
      </w:r>
      <w:r>
        <w:rPr>
          <w:rFonts w:ascii="Arial" w:cs="Arial" w:eastAsia="Arial" w:hAnsi="Arial"/>
          <w:sz w:val="17"/>
          <w:szCs w:val="17"/>
          <w:color w:val="auto"/>
        </w:rPr>
        <w:t xml:space="preserve"> </w:t>
      </w:r>
      <w:r>
        <w:rPr>
          <w:rFonts w:ascii="Arial" w:cs="Arial" w:eastAsia="Arial" w:hAnsi="Arial"/>
          <w:sz w:val="17"/>
          <w:szCs w:val="17"/>
          <w:i w:val="1"/>
          <w:iCs w:val="1"/>
          <w:color w:val="auto"/>
        </w:rPr>
        <w:t>with Boustead Securities LLC and may be subject to litigation in the event we are not able to come to agreement on the amounts Boustead deems itself to be owed under such agreement</w:t>
      </w:r>
      <w:r>
        <w:rPr>
          <w:rFonts w:ascii="Arial" w:cs="Arial" w:eastAsia="Arial" w:hAnsi="Arial"/>
          <w:sz w:val="17"/>
          <w:szCs w:val="17"/>
          <w:color w:val="auto"/>
        </w:rPr>
        <w:t>” and “Certain Relationships and Related Transactions” in our Annual Report on Form 10-K filed with the SEC on September</w:t>
      </w:r>
      <w:r>
        <w:rPr>
          <w:rFonts w:ascii="Arial" w:cs="Arial" w:eastAsia="Arial" w:hAnsi="Arial"/>
          <w:sz w:val="17"/>
          <w:szCs w:val="17"/>
          <w:i w:val="1"/>
          <w:iCs w:val="1"/>
          <w:color w:val="auto"/>
        </w:rPr>
        <w:t xml:space="preserve"> </w:t>
      </w:r>
      <w:r>
        <w:rPr>
          <w:rFonts w:ascii="Arial" w:cs="Arial" w:eastAsia="Arial" w:hAnsi="Arial"/>
          <w:sz w:val="17"/>
          <w:szCs w:val="17"/>
          <w:color w:val="auto"/>
        </w:rPr>
        <w:t>28, 2021.</w:t>
      </w:r>
    </w:p>
    <w:p>
      <w:pPr>
        <w:spacing w:after="0" w:line="1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RECENT SALES OF UNREGISTERED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furnished with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20" w:type="dxa"/>
            <w:vAlign w:val="bottom"/>
            <w:gridSpan w:val="9"/>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392"/>
        </w:trPr>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24"/>
                <w:szCs w:val="24"/>
                <w:color w:val="auto"/>
              </w:rPr>
            </w:pPr>
          </w:p>
        </w:tc>
        <w:tc>
          <w:tcPr>
            <w:tcW w:w="10120" w:type="dxa"/>
            <w:vAlign w:val="bottom"/>
            <w:tcBorders>
              <w:top w:val="single" w:sz="8" w:color="auto"/>
            </w:tcBorders>
            <w:gridSpan w:val="9"/>
          </w:tcPr>
          <w:p>
            <w:pPr>
              <w:spacing w:after="0"/>
              <w:rPr>
                <w:rFonts w:ascii="Arial" w:cs="Arial" w:eastAsia="Arial" w:hAnsi="Arial"/>
                <w:sz w:val="18"/>
                <w:szCs w:val="18"/>
                <w:color w:val="0000EE"/>
                <w:w w:val="97"/>
              </w:rPr>
            </w:pPr>
            <w:hyperlink w:anchor="page31">
              <w:r>
                <w:rPr>
                  <w:rFonts w:ascii="Arial" w:cs="Arial" w:eastAsia="Arial" w:hAnsi="Arial"/>
                  <w:sz w:val="18"/>
                  <w:szCs w:val="18"/>
                  <w:color w:val="0000EE"/>
                  <w:w w:val="97"/>
                </w:rPr>
                <w:t>Form of Credit Agreement, dated as of November 12, 2021, between iPower Inc., its subsidiaries and JPMorgan Chase Bank, N.A.</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189">
              <w:r>
                <w:rPr>
                  <w:rFonts w:ascii="Arial" w:cs="Arial" w:eastAsia="Arial" w:hAnsi="Arial"/>
                  <w:sz w:val="18"/>
                  <w:szCs w:val="18"/>
                  <w:color w:val="0000EE"/>
                  <w:w w:val="91"/>
                </w:rPr>
                <w:t>Form of Trademark Security Agreement, dated as of November 12, 2021, between iPower Inc., its subsidiaries and JPMorgan Chase Bank,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rPr>
            </w:pPr>
            <w:hyperlink w:anchor="page189">
              <w:r>
                <w:rPr>
                  <w:rFonts w:ascii="Arial" w:cs="Arial" w:eastAsia="Arial" w:hAnsi="Arial"/>
                  <w:sz w:val="18"/>
                  <w:szCs w:val="18"/>
                  <w:color w:val="0000EE"/>
                </w:rPr>
                <w:t>N.A.</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194">
              <w:r>
                <w:rPr>
                  <w:rFonts w:ascii="Arial" w:cs="Arial" w:eastAsia="Arial" w:hAnsi="Arial"/>
                  <w:sz w:val="18"/>
                  <w:szCs w:val="18"/>
                  <w:color w:val="0000EE"/>
                  <w:w w:val="90"/>
                </w:rPr>
                <w:t>Form of Pledge and Security Agreement, dated as of November 12, 2021, between iPower Inc., its subsidiaries and JPMorgan Chase Bank,</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N.A.</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140" w:type="dxa"/>
            <w:vAlign w:val="bottom"/>
          </w:tcPr>
          <w:p>
            <w:pPr>
              <w:spacing w:after="0"/>
              <w:rPr>
                <w:sz w:val="17"/>
                <w:szCs w:val="17"/>
                <w:color w:val="auto"/>
              </w:rPr>
            </w:pPr>
          </w:p>
        </w:tc>
        <w:tc>
          <w:tcPr>
            <w:tcW w:w="71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238">
              <w:r>
                <w:rPr>
                  <w:rFonts w:ascii="Arial" w:cs="Arial" w:eastAsia="Arial" w:hAnsi="Arial"/>
                  <w:sz w:val="18"/>
                  <w:szCs w:val="18"/>
                  <w:color w:val="0000EE"/>
                  <w:w w:val="91"/>
                </w:rPr>
                <w:t>Certification of Chief Executive Officer pursuant to Section 302 of the Sarbanes-Oxley Act of 2002</w:t>
              </w:r>
            </w:hyperlink>
          </w:p>
        </w:tc>
        <w:tc>
          <w:tcPr>
            <w:tcW w:w="294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rPr>
            </w:pPr>
            <w:hyperlink w:anchor="page239">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40" w:type="dxa"/>
            <w:vAlign w:val="bottom"/>
          </w:tcPr>
          <w:p>
            <w:pPr>
              <w:spacing w:after="0"/>
              <w:rPr>
                <w:sz w:val="17"/>
                <w:szCs w:val="17"/>
                <w:color w:val="auto"/>
              </w:rPr>
            </w:pPr>
          </w:p>
        </w:tc>
        <w:tc>
          <w:tcPr>
            <w:tcW w:w="10120" w:type="dxa"/>
            <w:vAlign w:val="bottom"/>
            <w:tcBorders>
              <w:bottom w:val="single" w:sz="8" w:color="0000EE"/>
            </w:tcBorders>
            <w:gridSpan w:val="9"/>
          </w:tcPr>
          <w:p>
            <w:pPr>
              <w:spacing w:after="0" w:line="196" w:lineRule="exact"/>
              <w:rPr>
                <w:rFonts w:ascii="Arial" w:cs="Arial" w:eastAsia="Arial" w:hAnsi="Arial"/>
                <w:sz w:val="18"/>
                <w:szCs w:val="18"/>
                <w:color w:val="0000EE"/>
                <w:w w:val="93"/>
              </w:rPr>
            </w:pPr>
            <w:hyperlink w:anchor="page240">
              <w:r>
                <w:rPr>
                  <w:rFonts w:ascii="Arial" w:cs="Arial" w:eastAsia="Arial" w:hAnsi="Arial"/>
                  <w:sz w:val="18"/>
                  <w:szCs w:val="18"/>
                  <w:color w:val="0000EE"/>
                  <w:w w:val="93"/>
                </w:rPr>
                <w:t>Certification of Chief Executive Officer Pursuant to 18 U.S.C. Section 1350, As Adopted Pursuant to Section 906 of the Sarbanes-Oxley</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40">
              <w:r>
                <w:rPr>
                  <w:rFonts w:ascii="Arial" w:cs="Arial" w:eastAsia="Arial" w:hAnsi="Arial"/>
                  <w:sz w:val="18"/>
                  <w:szCs w:val="18"/>
                  <w:color w:val="0000EE"/>
                  <w:w w:val="92"/>
                </w:rPr>
                <w:t>Act of 2002</w:t>
              </w:r>
            </w:hyperlink>
          </w:p>
        </w:tc>
        <w:tc>
          <w:tcPr>
            <w:tcW w:w="9260" w:type="dxa"/>
            <w:vAlign w:val="bottom"/>
            <w:gridSpan w:val="6"/>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w w:val="91"/>
              </w:rPr>
            </w:pPr>
            <w:hyperlink w:anchor="page241">
              <w:r>
                <w:rPr>
                  <w:rFonts w:ascii="Arial" w:cs="Arial" w:eastAsia="Arial" w:hAnsi="Arial"/>
                  <w:sz w:val="18"/>
                  <w:szCs w:val="18"/>
                  <w:color w:val="0000EE"/>
                  <w:w w:val="91"/>
                </w:rPr>
                <w:t>Certification of Chief Financial Officer Pursuant to 18 U.S.C. Section 1350, As Adopted Pursuant to Section 906 of the Sarbanes-Oxley Act</w:t>
              </w:r>
            </w:hyperlink>
          </w:p>
        </w:tc>
      </w:tr>
      <w:tr>
        <w:trPr>
          <w:trHeight w:val="196"/>
        </w:trPr>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241">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99.1</w:t>
            </w:r>
          </w:p>
        </w:tc>
        <w:tc>
          <w:tcPr>
            <w:tcW w:w="140" w:type="dxa"/>
            <w:vAlign w:val="bottom"/>
          </w:tcPr>
          <w:p>
            <w:pPr>
              <w:spacing w:after="0"/>
              <w:rPr>
                <w:sz w:val="17"/>
                <w:szCs w:val="17"/>
                <w:color w:val="auto"/>
              </w:rPr>
            </w:pPr>
          </w:p>
        </w:tc>
        <w:tc>
          <w:tcPr>
            <w:tcW w:w="10120" w:type="dxa"/>
            <w:vAlign w:val="bottom"/>
            <w:gridSpan w:val="9"/>
          </w:tcPr>
          <w:p>
            <w:pPr>
              <w:spacing w:after="0" w:line="196" w:lineRule="exact"/>
              <w:rPr>
                <w:rFonts w:ascii="Arial" w:cs="Arial" w:eastAsia="Arial" w:hAnsi="Arial"/>
                <w:sz w:val="18"/>
                <w:szCs w:val="18"/>
                <w:color w:val="0000EE"/>
              </w:rPr>
            </w:pPr>
            <w:hyperlink w:anchor="page242">
              <w:r>
                <w:rPr>
                  <w:rFonts w:ascii="Arial" w:cs="Arial" w:eastAsia="Arial" w:hAnsi="Arial"/>
                  <w:sz w:val="18"/>
                  <w:szCs w:val="18"/>
                  <w:color w:val="0000EE"/>
                </w:rPr>
                <w:t xml:space="preserve">Press Release, dated November 15, 2021 </w:t>
              </w:r>
            </w:hyperlink>
            <w:r>
              <w:rPr>
                <w:rFonts w:ascii="Arial" w:cs="Arial" w:eastAsia="Arial" w:hAnsi="Arial"/>
                <w:sz w:val="18"/>
                <w:szCs w:val="18"/>
                <w:color w:val="000000"/>
              </w:rPr>
              <w:t>(furnished</w:t>
            </w:r>
            <w:r>
              <w:rPr>
                <w:rFonts w:ascii="Arial" w:cs="Arial" w:eastAsia="Arial" w:hAnsi="Arial"/>
                <w:sz w:val="18"/>
                <w:szCs w:val="18"/>
                <w:color w:val="0000EE"/>
              </w:rPr>
              <w:t xml:space="preserve"> </w:t>
            </w:r>
            <w:r>
              <w:rPr>
                <w:rFonts w:ascii="Arial" w:cs="Arial" w:eastAsia="Arial" w:hAnsi="Arial"/>
                <w:sz w:val="18"/>
                <w:szCs w:val="18"/>
                <w:color w:val="000000"/>
              </w:rPr>
              <w:t>herewith)</w:t>
            </w:r>
          </w:p>
        </w:tc>
      </w:tr>
      <w:tr>
        <w:trPr>
          <w:trHeight w:val="20"/>
        </w:trPr>
        <w:tc>
          <w:tcPr>
            <w:tcW w:w="1120" w:type="dxa"/>
            <w:vAlign w:val="bottom"/>
            <w:gridSpan w:val="2"/>
          </w:tcPr>
          <w:p>
            <w:pPr>
              <w:spacing w:after="0" w:line="20" w:lineRule="exact"/>
              <w:rPr>
                <w:sz w:val="1"/>
                <w:szCs w:val="1"/>
                <w:color w:val="auto"/>
              </w:rPr>
            </w:pPr>
          </w:p>
        </w:tc>
        <w:tc>
          <w:tcPr>
            <w:tcW w:w="2940" w:type="dxa"/>
            <w:vAlign w:val="bottom"/>
            <w:gridSpan w:val="4"/>
            <w:shd w:val="clear" w:color="auto" w:fill="0000EE"/>
          </w:tcPr>
          <w:p>
            <w:pPr>
              <w:spacing w:after="0" w:line="20" w:lineRule="exact"/>
              <w:rPr>
                <w:sz w:val="1"/>
                <w:szCs w:val="1"/>
                <w:color w:val="auto"/>
              </w:rPr>
            </w:pPr>
          </w:p>
        </w:tc>
        <w:tc>
          <w:tcPr>
            <w:tcW w:w="7180" w:type="dxa"/>
            <w:vAlign w:val="bottom"/>
            <w:gridSpan w:val="5"/>
          </w:tcPr>
          <w:p>
            <w:pPr>
              <w:spacing w:after="0" w:line="20" w:lineRule="exact"/>
              <w:rPr>
                <w:sz w:val="1"/>
                <w:szCs w:val="1"/>
                <w:color w:val="auto"/>
              </w:rPr>
            </w:pPr>
          </w:p>
        </w:tc>
      </w:tr>
      <w:tr>
        <w:trPr>
          <w:trHeight w:val="222"/>
        </w:trPr>
        <w:tc>
          <w:tcPr>
            <w:tcW w:w="11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120" w:type="dxa"/>
            <w:vAlign w:val="bottom"/>
            <w:gridSpan w:val="9"/>
          </w:tcPr>
          <w:p>
            <w:pPr>
              <w:spacing w:after="0"/>
              <w:rPr>
                <w:sz w:val="20"/>
                <w:szCs w:val="20"/>
                <w:color w:val="auto"/>
              </w:rPr>
            </w:pPr>
            <w:r>
              <w:rPr>
                <w:rFonts w:ascii="Arial" w:cs="Arial" w:eastAsia="Arial" w:hAnsi="Arial"/>
                <w:sz w:val="18"/>
                <w:szCs w:val="18"/>
                <w:color w:val="auto"/>
                <w:w w:val="92"/>
              </w:rPr>
              <w:t>Inline XBRL Instance Document – the instance document does not appear in the Interactive Data File because XBRL tags are embedded</w:t>
            </w:r>
          </w:p>
        </w:tc>
      </w:tr>
      <w:tr>
        <w:trPr>
          <w:trHeight w:val="216"/>
        </w:trPr>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120" w:type="dxa"/>
            <w:vAlign w:val="bottom"/>
            <w:gridSpan w:val="9"/>
          </w:tcPr>
          <w:p>
            <w:pPr>
              <w:spacing w:after="0"/>
              <w:rPr>
                <w:sz w:val="20"/>
                <w:szCs w:val="20"/>
                <w:color w:val="auto"/>
              </w:rPr>
            </w:pPr>
            <w:r>
              <w:rPr>
                <w:rFonts w:ascii="Arial" w:cs="Arial" w:eastAsia="Arial" w:hAnsi="Arial"/>
                <w:sz w:val="18"/>
                <w:szCs w:val="18"/>
                <w:color w:val="auto"/>
              </w:rPr>
              <w:t>within the Inline XBRL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Schema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Calculation Linkbase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Definition Linkbase Document</w:t>
            </w:r>
          </w:p>
        </w:tc>
      </w:tr>
      <w:tr>
        <w:trPr>
          <w:trHeight w:val="216"/>
        </w:trPr>
        <w:tc>
          <w:tcPr>
            <w:tcW w:w="11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Label Linkbase Document</w:t>
            </w:r>
          </w:p>
        </w:tc>
      </w:tr>
      <w:tr>
        <w:trPr>
          <w:trHeight w:val="230"/>
        </w:trPr>
        <w:tc>
          <w:tcPr>
            <w:tcW w:w="11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120" w:type="dxa"/>
            <w:vAlign w:val="bottom"/>
            <w:gridSpan w:val="9"/>
          </w:tcPr>
          <w:p>
            <w:pPr>
              <w:spacing w:after="0"/>
              <w:rPr>
                <w:sz w:val="20"/>
                <w:szCs w:val="20"/>
                <w:color w:val="auto"/>
              </w:rPr>
            </w:pPr>
            <w:r>
              <w:rPr>
                <w:rFonts w:ascii="Arial" w:cs="Arial" w:eastAsia="Arial" w:hAnsi="Arial"/>
                <w:sz w:val="18"/>
                <w:szCs w:val="18"/>
                <w:color w:val="auto"/>
              </w:rPr>
              <w:t>Inline XBRL Taxonomy Presentation Linkbase Document</w:t>
            </w:r>
          </w:p>
        </w:tc>
      </w:tr>
    </w:tbl>
    <w:p>
      <w:pPr>
        <w:ind w:left="1120" w:hanging="1112"/>
        <w:spacing w:after="0"/>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3620" w:type="dxa"/>
            <w:vAlign w:val="bottom"/>
            <w:gridSpan w:val="2"/>
          </w:tcPr>
          <w:p>
            <w:pPr>
              <w:ind w:left="2200"/>
              <w:spacing w:after="0"/>
              <w:rPr>
                <w:sz w:val="20"/>
                <w:szCs w:val="20"/>
                <w:color w:val="auto"/>
              </w:rPr>
            </w:pPr>
            <w:r>
              <w:rPr>
                <w:rFonts w:ascii="Arial" w:cs="Arial" w:eastAsia="Arial" w:hAnsi="Arial"/>
                <w:sz w:val="18"/>
                <w:szCs w:val="18"/>
                <w:b w:val="1"/>
                <w:bCs w:val="1"/>
                <w:color w:val="auto"/>
              </w:rPr>
              <w:t>iPower Inc.</w:t>
            </w:r>
          </w:p>
        </w:tc>
        <w:tc>
          <w:tcPr>
            <w:tcW w:w="396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November 15, 2021</w:t>
            </w:r>
          </w:p>
        </w:tc>
        <w:tc>
          <w:tcPr>
            <w:tcW w:w="3620" w:type="dxa"/>
            <w:vAlign w:val="bottom"/>
            <w:gridSpan w:val="2"/>
          </w:tcPr>
          <w:p>
            <w:pPr>
              <w:ind w:left="2200"/>
              <w:spacing w:after="0"/>
              <w:rPr>
                <w:sz w:val="20"/>
                <w:szCs w:val="20"/>
                <w:color w:val="auto"/>
              </w:rPr>
            </w:pPr>
            <w:r>
              <w:rPr>
                <w:rFonts w:ascii="Arial" w:cs="Arial" w:eastAsia="Arial" w:hAnsi="Arial"/>
                <w:sz w:val="18"/>
                <w:szCs w:val="18"/>
                <w:color w:val="auto"/>
              </w:rPr>
              <w:t>By:</w:t>
            </w:r>
          </w:p>
        </w:tc>
        <w:tc>
          <w:tcPr>
            <w:tcW w:w="3960" w:type="dxa"/>
            <w:vAlign w:val="bottom"/>
          </w:tcPr>
          <w:p>
            <w:pPr>
              <w:jc w:val="center"/>
              <w:ind w:right="1050"/>
              <w:spacing w:after="0"/>
              <w:rPr>
                <w:sz w:val="20"/>
                <w:szCs w:val="20"/>
                <w:color w:val="auto"/>
              </w:rPr>
            </w:pPr>
            <w:r>
              <w:rPr>
                <w:rFonts w:ascii="Arial" w:cs="Arial" w:eastAsia="Arial" w:hAnsi="Arial"/>
                <w:sz w:val="18"/>
                <w:szCs w:val="18"/>
                <w:i w:val="1"/>
                <w:iCs w:val="1"/>
                <w:color w:val="auto"/>
                <w:w w:val="88"/>
              </w:rPr>
              <w:t>/s/ Chenlong Tan</w:t>
            </w:r>
          </w:p>
        </w:tc>
      </w:tr>
      <w:tr>
        <w:trPr>
          <w:trHeight w:val="195"/>
        </w:trPr>
        <w:tc>
          <w:tcPr>
            <w:tcW w:w="36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jc w:val="center"/>
              <w:ind w:right="1050"/>
              <w:spacing w:after="0" w:line="195" w:lineRule="exact"/>
              <w:rPr>
                <w:sz w:val="20"/>
                <w:szCs w:val="20"/>
                <w:color w:val="auto"/>
              </w:rPr>
            </w:pPr>
            <w:r>
              <w:rPr>
                <w:rFonts w:ascii="Arial" w:cs="Arial" w:eastAsia="Arial" w:hAnsi="Arial"/>
                <w:sz w:val="18"/>
                <w:szCs w:val="18"/>
                <w:color w:val="auto"/>
                <w:w w:val="90"/>
              </w:rPr>
              <w:t>Chenlong Tan</w:t>
            </w:r>
          </w:p>
        </w:tc>
      </w:tr>
      <w:tr>
        <w:trPr>
          <w:trHeight w:val="230"/>
        </w:trPr>
        <w:tc>
          <w:tcPr>
            <w:tcW w:w="3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tcPr>
          <w:p>
            <w:pPr>
              <w:jc w:val="center"/>
              <w:ind w:right="1050"/>
              <w:spacing w:after="0"/>
              <w:rPr>
                <w:sz w:val="20"/>
                <w:szCs w:val="20"/>
                <w:color w:val="auto"/>
              </w:rPr>
            </w:pPr>
            <w:r>
              <w:rPr>
                <w:rFonts w:ascii="Arial" w:cs="Arial" w:eastAsia="Arial" w:hAnsi="Arial"/>
                <w:sz w:val="18"/>
                <w:szCs w:val="18"/>
                <w:color w:val="auto"/>
                <w:w w:val="95"/>
              </w:rPr>
              <w:t>Chief Executive Officer</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November 15, 2021</w:t>
            </w:r>
          </w:p>
        </w:tc>
        <w:tc>
          <w:tcPr>
            <w:tcW w:w="3620" w:type="dxa"/>
            <w:vAlign w:val="bottom"/>
            <w:gridSpan w:val="2"/>
          </w:tcPr>
          <w:p>
            <w:pPr>
              <w:ind w:left="2200"/>
              <w:spacing w:after="0"/>
              <w:rPr>
                <w:sz w:val="20"/>
                <w:szCs w:val="20"/>
                <w:color w:val="auto"/>
              </w:rPr>
            </w:pPr>
            <w:r>
              <w:rPr>
                <w:rFonts w:ascii="Arial" w:cs="Arial" w:eastAsia="Arial" w:hAnsi="Arial"/>
                <w:sz w:val="18"/>
                <w:szCs w:val="18"/>
                <w:color w:val="auto"/>
              </w:rPr>
              <w:t>By:</w:t>
            </w:r>
          </w:p>
        </w:tc>
        <w:tc>
          <w:tcPr>
            <w:tcW w:w="3960" w:type="dxa"/>
            <w:vAlign w:val="bottom"/>
          </w:tcPr>
          <w:p>
            <w:pPr>
              <w:jc w:val="center"/>
              <w:ind w:right="1050"/>
              <w:spacing w:after="0"/>
              <w:rPr>
                <w:sz w:val="20"/>
                <w:szCs w:val="20"/>
                <w:color w:val="auto"/>
              </w:rPr>
            </w:pPr>
            <w:r>
              <w:rPr>
                <w:rFonts w:ascii="Arial" w:cs="Arial" w:eastAsia="Arial" w:hAnsi="Arial"/>
                <w:sz w:val="18"/>
                <w:szCs w:val="18"/>
                <w:i w:val="1"/>
                <w:iCs w:val="1"/>
                <w:color w:val="auto"/>
                <w:w w:val="90"/>
              </w:rPr>
              <w:t>/s/ Kevin Vassily</w:t>
            </w:r>
          </w:p>
        </w:tc>
      </w:tr>
      <w:tr>
        <w:trPr>
          <w:trHeight w:val="195"/>
        </w:trPr>
        <w:tc>
          <w:tcPr>
            <w:tcW w:w="36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960" w:type="dxa"/>
            <w:vAlign w:val="bottom"/>
            <w:tcBorders>
              <w:top w:val="single" w:sz="8" w:color="auto"/>
            </w:tcBorders>
          </w:tcPr>
          <w:p>
            <w:pPr>
              <w:jc w:val="center"/>
              <w:ind w:right="1050"/>
              <w:spacing w:after="0" w:line="195" w:lineRule="exact"/>
              <w:rPr>
                <w:sz w:val="20"/>
                <w:szCs w:val="20"/>
                <w:color w:val="auto"/>
              </w:rPr>
            </w:pPr>
            <w:r>
              <w:rPr>
                <w:rFonts w:ascii="Arial" w:cs="Arial" w:eastAsia="Arial" w:hAnsi="Arial"/>
                <w:sz w:val="18"/>
                <w:szCs w:val="18"/>
                <w:color w:val="auto"/>
                <w:w w:val="95"/>
              </w:rPr>
              <w:t>Kevin Vassily</w:t>
            </w:r>
          </w:p>
        </w:tc>
      </w:tr>
      <w:tr>
        <w:trPr>
          <w:trHeight w:val="230"/>
        </w:trPr>
        <w:tc>
          <w:tcPr>
            <w:tcW w:w="36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960" w:type="dxa"/>
            <w:vAlign w:val="bottom"/>
          </w:tcPr>
          <w:p>
            <w:pPr>
              <w:jc w:val="center"/>
              <w:ind w:right="1050"/>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163195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2019935</wp:posOffset>
            </wp:positionH>
            <wp:positionV relativeFrom="paragraph">
              <wp:posOffset>608965</wp:posOffset>
            </wp:positionV>
            <wp:extent cx="1688465" cy="3683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8846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CREDIT AGREEMENT</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dated as of</w:t>
      </w:r>
    </w:p>
    <w:p>
      <w:pPr>
        <w:spacing w:after="0" w:line="200" w:lineRule="exact"/>
        <w:rPr>
          <w:sz w:val="20"/>
          <w:szCs w:val="20"/>
          <w:color w:val="auto"/>
        </w:rPr>
      </w:pPr>
    </w:p>
    <w:p>
      <w:pPr>
        <w:spacing w:after="0" w:line="24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November 12, 2021</w:t>
      </w:r>
    </w:p>
    <w:p>
      <w:pPr>
        <w:spacing w:after="0" w:line="200" w:lineRule="exact"/>
        <w:rPr>
          <w:sz w:val="20"/>
          <w:szCs w:val="20"/>
          <w:color w:val="auto"/>
        </w:rPr>
      </w:pPr>
    </w:p>
    <w:p>
      <w:pPr>
        <w:spacing w:after="0" w:line="24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among</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IPOWER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Other Borrowers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Other Loan Parties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____________________________</w:t>
      </w:r>
    </w:p>
    <w:p>
      <w:pPr>
        <w:spacing w:after="0" w:line="200" w:lineRule="exact"/>
        <w:rPr>
          <w:sz w:val="20"/>
          <w:szCs w:val="20"/>
          <w:color w:val="auto"/>
        </w:rPr>
      </w:pPr>
    </w:p>
    <w:p>
      <w:pPr>
        <w:spacing w:after="0" w:line="24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as Sole Bookrunner and Sole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440690</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480"/>
        <w:spacing w:after="0"/>
        <w:rPr>
          <w:sz w:val="20"/>
          <w:szCs w:val="20"/>
          <w:color w:val="auto"/>
        </w:rPr>
      </w:pPr>
      <w:r>
        <w:rPr>
          <w:rFonts w:ascii="Arial" w:cs="Arial" w:eastAsia="Arial" w:hAnsi="Arial"/>
          <w:sz w:val="18"/>
          <w:szCs w:val="18"/>
          <w:b w:val="1"/>
          <w:bCs w:val="1"/>
          <w:i w:val="1"/>
          <w:iCs w:val="1"/>
          <w:u w:val="single" w:color="auto"/>
          <w:color w:val="auto"/>
        </w:rPr>
        <w:t>ASSET BASED LENDING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503555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9340" w:type="dxa"/>
            <w:vAlign w:val="bottom"/>
            <w:gridSpan w:val="3"/>
          </w:tcPr>
          <w:p>
            <w:pPr>
              <w:ind w:left="4720"/>
              <w:spacing w:after="0"/>
              <w:rPr>
                <w:sz w:val="20"/>
                <w:szCs w:val="20"/>
                <w:color w:val="auto"/>
              </w:rPr>
            </w:pPr>
            <w:r>
              <w:rPr>
                <w:rFonts w:ascii="Arial" w:cs="Arial" w:eastAsia="Arial" w:hAnsi="Arial"/>
                <w:sz w:val="18"/>
                <w:szCs w:val="18"/>
                <w:color w:val="auto"/>
              </w:rPr>
              <w:t>TABLE OF CONTENTS</w:t>
            </w:r>
          </w:p>
        </w:tc>
        <w:tc>
          <w:tcPr>
            <w:tcW w:w="156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628"/>
        </w:trPr>
        <w:tc>
          <w:tcPr>
            <w:tcW w:w="472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53"/>
        </w:trPr>
        <w:tc>
          <w:tcPr>
            <w:tcW w:w="9340" w:type="dxa"/>
            <w:vAlign w:val="bottom"/>
            <w:gridSpan w:val="3"/>
          </w:tcPr>
          <w:p>
            <w:pPr>
              <w:spacing w:after="0"/>
              <w:rPr>
                <w:sz w:val="20"/>
                <w:szCs w:val="20"/>
                <w:color w:val="auto"/>
              </w:rPr>
            </w:pPr>
            <w:r>
              <w:rPr>
                <w:rFonts w:ascii="Arial" w:cs="Arial" w:eastAsia="Arial" w:hAnsi="Arial"/>
                <w:sz w:val="18"/>
                <w:szCs w:val="18"/>
                <w:color w:val="auto"/>
              </w:rPr>
              <w:t>ARTICLE I Definitions</w:t>
            </w:r>
          </w:p>
        </w:tc>
        <w:tc>
          <w:tcPr>
            <w:tcW w:w="15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1.01. Defined Terms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1.02. Classification of Loans and Borrowings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1.03. Terms Generally</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1.04. Accounting Terms; GAAP</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1.05. Interest Rates; LIBOR Notifications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42</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1.06. Status of Obligations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1.07. Letters of Credit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1.08. Divisions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9340" w:type="dxa"/>
            <w:vAlign w:val="bottom"/>
            <w:gridSpan w:val="3"/>
          </w:tcPr>
          <w:p>
            <w:pPr>
              <w:spacing w:after="0"/>
              <w:rPr>
                <w:sz w:val="20"/>
                <w:szCs w:val="20"/>
                <w:color w:val="auto"/>
              </w:rPr>
            </w:pPr>
            <w:r>
              <w:rPr>
                <w:rFonts w:ascii="Arial" w:cs="Arial" w:eastAsia="Arial" w:hAnsi="Arial"/>
                <w:sz w:val="18"/>
                <w:szCs w:val="18"/>
                <w:color w:val="auto"/>
              </w:rPr>
              <w:t>ARTICLE II The Credits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2.01. Revolving Commitments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2.02. Loans and Borrowings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2.03. Requests for Revolving Borrowings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2.04. Protective Advances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45</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2.05. Swingline Loans and Overadvances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46</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2.06. Letters of Credit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2.07. Funding of Borrowings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2.08. Interest Elections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2.09. Termination of Revolving Commitments; Increase in Revolving Commitments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2.10. Repayment and Amortization of Loans; Evidence of Debt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2.11. Prepayment of Loans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2.12. Fees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9340" w:type="dxa"/>
            <w:vAlign w:val="bottom"/>
            <w:gridSpan w:val="3"/>
          </w:tcPr>
          <w:p>
            <w:pPr>
              <w:ind w:left="920"/>
              <w:spacing w:after="0"/>
              <w:rPr>
                <w:sz w:val="20"/>
                <w:szCs w:val="20"/>
                <w:color w:val="auto"/>
              </w:rPr>
            </w:pPr>
            <w:r>
              <w:rPr>
                <w:rFonts w:ascii="Arial" w:cs="Arial" w:eastAsia="Arial" w:hAnsi="Arial"/>
                <w:sz w:val="18"/>
                <w:szCs w:val="18"/>
                <w:color w:val="auto"/>
              </w:rPr>
              <w:t>SECTION 2.13. Interest</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59</w:t>
            </w: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8900" w:type="dxa"/>
            <w:vAlign w:val="bottom"/>
          </w:tcPr>
          <w:p>
            <w:pPr>
              <w:ind w:left="920"/>
              <w:spacing w:after="0"/>
              <w:rPr>
                <w:sz w:val="20"/>
                <w:szCs w:val="20"/>
                <w:color w:val="auto"/>
              </w:rPr>
            </w:pPr>
            <w:r>
              <w:rPr>
                <w:rFonts w:ascii="Arial" w:cs="Arial" w:eastAsia="Arial" w:hAnsi="Arial"/>
                <w:sz w:val="18"/>
                <w:szCs w:val="18"/>
                <w:color w:val="auto"/>
              </w:rPr>
              <w:t>SECTION 2.14. Alternate Rate of Interest; Illegality</w:t>
            </w:r>
          </w:p>
        </w:tc>
        <w:tc>
          <w:tcPr>
            <w:tcW w:w="23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2.15. Increased Costs</w:t>
            </w:r>
          </w:p>
        </w:tc>
        <w:tc>
          <w:tcPr>
            <w:tcW w:w="23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2.16. Break Funding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2.17. Withholding of Taxes; Gross-Up</w:t>
            </w:r>
          </w:p>
        </w:tc>
        <w:tc>
          <w:tcPr>
            <w:tcW w:w="23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2.18. Payments Generally; Allocation of Proceeds; Sharing of Setoffs</w:t>
            </w:r>
          </w:p>
        </w:tc>
        <w:tc>
          <w:tcPr>
            <w:tcW w:w="23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2.19. Mitigation Obligations; Replacement of Lenders</w:t>
            </w:r>
          </w:p>
        </w:tc>
        <w:tc>
          <w:tcPr>
            <w:tcW w:w="23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2.20. Defaulting Lenders</w:t>
            </w:r>
          </w:p>
        </w:tc>
        <w:tc>
          <w:tcPr>
            <w:tcW w:w="23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2.21. Returned Payments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2.22. Banking Services and Swap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ARTICLE III Representations and Warranties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3.01. Organization; Powers</w:t>
            </w:r>
          </w:p>
        </w:tc>
        <w:tc>
          <w:tcPr>
            <w:tcW w:w="23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3.02. Authorization; Enforceability</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3.03. Governmental Approvals; No Conflicts</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3.04. Financial Condition; No Material Adverse Change</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3.05. Properties</w:t>
            </w:r>
          </w:p>
        </w:tc>
        <w:tc>
          <w:tcPr>
            <w:tcW w:w="23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3.06. Litigation and Environmental Matters</w:t>
            </w:r>
          </w:p>
        </w:tc>
        <w:tc>
          <w:tcPr>
            <w:tcW w:w="2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3.07. Compliance with Laws and Agreements; No Default</w:t>
            </w:r>
          </w:p>
        </w:tc>
        <w:tc>
          <w:tcPr>
            <w:tcW w:w="2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3.08. Investment Company Status</w:t>
            </w:r>
          </w:p>
        </w:tc>
        <w:tc>
          <w:tcPr>
            <w:tcW w:w="2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3.09. Taxes</w:t>
            </w:r>
          </w:p>
        </w:tc>
        <w:tc>
          <w:tcPr>
            <w:tcW w:w="2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3.10. ERISA</w:t>
            </w:r>
          </w:p>
        </w:tc>
        <w:tc>
          <w:tcPr>
            <w:tcW w:w="23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3.11. Disclosure</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3.12. Material Agreements</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3.13. Solvency</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3.14. Insurance</w:t>
            </w:r>
          </w:p>
        </w:tc>
        <w:tc>
          <w:tcPr>
            <w:tcW w:w="23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3.15. Capitalization and Subsidiaries</w:t>
            </w: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8900" w:type="dxa"/>
            <w:vAlign w:val="bottom"/>
          </w:tcPr>
          <w:p>
            <w:pPr>
              <w:ind w:left="920"/>
              <w:spacing w:after="0"/>
              <w:rPr>
                <w:sz w:val="20"/>
                <w:szCs w:val="20"/>
                <w:color w:val="auto"/>
              </w:rPr>
            </w:pPr>
            <w:r>
              <w:rPr>
                <w:rFonts w:ascii="Arial" w:cs="Arial" w:eastAsia="Arial" w:hAnsi="Arial"/>
                <w:sz w:val="18"/>
                <w:szCs w:val="18"/>
                <w:color w:val="auto"/>
              </w:rPr>
              <w:t>SECTION 3.16. Security Interest in Collateral</w:t>
            </w:r>
          </w:p>
        </w:tc>
        <w:tc>
          <w:tcPr>
            <w:tcW w:w="234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8800" w:type="dxa"/>
            <w:vAlign w:val="bottom"/>
          </w:tcPr>
          <w:p>
            <w:pPr>
              <w:ind w:left="920"/>
              <w:spacing w:after="0"/>
              <w:rPr>
                <w:sz w:val="20"/>
                <w:szCs w:val="20"/>
                <w:color w:val="auto"/>
              </w:rPr>
            </w:pPr>
            <w:r>
              <w:rPr>
                <w:rFonts w:ascii="Arial" w:cs="Arial" w:eastAsia="Arial" w:hAnsi="Arial"/>
                <w:sz w:val="18"/>
                <w:szCs w:val="18"/>
                <w:color w:val="auto"/>
              </w:rPr>
              <w:t>SECTION 3.17. Employment Matters</w:t>
            </w:r>
          </w:p>
        </w:tc>
        <w:tc>
          <w:tcPr>
            <w:tcW w:w="2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3.18. Margin Regulations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3.19. Use of Proceeds</w:t>
            </w:r>
          </w:p>
        </w:tc>
        <w:tc>
          <w:tcPr>
            <w:tcW w:w="2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3.20. No Burdensome Restrictions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3.21. Anti-Corruption Laws and Sanctions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3.22. Affiliate Transactions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3.23. Common Enterprise</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3.24. Affected Financial Institutions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3.25. Plan Assets; Prohibited Transactions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8800" w:type="dxa"/>
            <w:vAlign w:val="bottom"/>
          </w:tcPr>
          <w:p>
            <w:pPr>
              <w:spacing w:after="0"/>
              <w:rPr>
                <w:sz w:val="20"/>
                <w:szCs w:val="20"/>
                <w:color w:val="auto"/>
              </w:rPr>
            </w:pPr>
            <w:r>
              <w:rPr>
                <w:rFonts w:ascii="Arial" w:cs="Arial" w:eastAsia="Arial" w:hAnsi="Arial"/>
                <w:sz w:val="18"/>
                <w:szCs w:val="18"/>
                <w:color w:val="auto"/>
              </w:rPr>
              <w:t>ARTICLE IV Conditions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4.01. Effective Date</w:t>
            </w:r>
          </w:p>
        </w:tc>
        <w:tc>
          <w:tcPr>
            <w:tcW w:w="2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4.02. Each Credit Event</w:t>
            </w:r>
          </w:p>
        </w:tc>
        <w:tc>
          <w:tcPr>
            <w:tcW w:w="2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8800" w:type="dxa"/>
            <w:vAlign w:val="bottom"/>
          </w:tcPr>
          <w:p>
            <w:pPr>
              <w:spacing w:after="0"/>
              <w:rPr>
                <w:sz w:val="20"/>
                <w:szCs w:val="20"/>
                <w:color w:val="auto"/>
              </w:rPr>
            </w:pPr>
            <w:r>
              <w:rPr>
                <w:rFonts w:ascii="Arial" w:cs="Arial" w:eastAsia="Arial" w:hAnsi="Arial"/>
                <w:sz w:val="18"/>
                <w:szCs w:val="18"/>
                <w:color w:val="auto"/>
              </w:rPr>
              <w:t>ARTICLE V Affirmative Covenants.</w:t>
            </w:r>
          </w:p>
        </w:tc>
        <w:tc>
          <w:tcPr>
            <w:tcW w:w="2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5.01. Financial Statements; Borrowing Base and Other Information</w:t>
            </w:r>
          </w:p>
        </w:tc>
        <w:tc>
          <w:tcPr>
            <w:tcW w:w="2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5.02. Notices of Material Events</w:t>
            </w:r>
          </w:p>
        </w:tc>
        <w:tc>
          <w:tcPr>
            <w:tcW w:w="2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5.03. Existence; Conduct of Business</w:t>
            </w:r>
          </w:p>
        </w:tc>
        <w:tc>
          <w:tcPr>
            <w:tcW w:w="2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5.04. Payment of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5.05. Maintenance of Properties</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5.06. Books and Records; Inspection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5.07. Compliance with Laws and Material Contractual Obligations</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5.08. Use of Proceeds</w:t>
            </w:r>
          </w:p>
        </w:tc>
        <w:tc>
          <w:tcPr>
            <w:tcW w:w="2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5.09. Accuracy of Information</w:t>
            </w:r>
          </w:p>
        </w:tc>
        <w:tc>
          <w:tcPr>
            <w:tcW w:w="2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5.10. Insurance</w:t>
            </w:r>
          </w:p>
        </w:tc>
        <w:tc>
          <w:tcPr>
            <w:tcW w:w="2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5.11. Casualty and Condemnation</w:t>
            </w:r>
          </w:p>
        </w:tc>
        <w:tc>
          <w:tcPr>
            <w:tcW w:w="2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5.12. Appraisals</w:t>
            </w:r>
          </w:p>
        </w:tc>
        <w:tc>
          <w:tcPr>
            <w:tcW w:w="2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432"/>
        </w:trPr>
        <w:tc>
          <w:tcPr>
            <w:tcW w:w="8800" w:type="dxa"/>
            <w:vAlign w:val="bottom"/>
          </w:tcPr>
          <w:p>
            <w:pPr>
              <w:ind w:left="920"/>
              <w:spacing w:after="0"/>
              <w:rPr>
                <w:sz w:val="20"/>
                <w:szCs w:val="20"/>
                <w:color w:val="auto"/>
              </w:rPr>
            </w:pPr>
            <w:r>
              <w:rPr>
                <w:rFonts w:ascii="Arial" w:cs="Arial" w:eastAsia="Arial" w:hAnsi="Arial"/>
                <w:sz w:val="18"/>
                <w:szCs w:val="18"/>
                <w:color w:val="auto"/>
              </w:rPr>
              <w:t>SECTION 5.13. Depository Banks</w:t>
            </w:r>
          </w:p>
        </w:tc>
        <w:tc>
          <w:tcPr>
            <w:tcW w:w="2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567"/>
        </w:trPr>
        <w:tc>
          <w:tcPr>
            <w:tcW w:w="880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iii</w:t>
            </w: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70" w:right="339" w:bottom="144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760" w:type="dxa"/>
            <w:vAlign w:val="bottom"/>
          </w:tcPr>
          <w:p>
            <w:pPr>
              <w:ind w:left="920"/>
              <w:spacing w:after="0"/>
              <w:rPr>
                <w:sz w:val="20"/>
                <w:szCs w:val="20"/>
                <w:color w:val="auto"/>
              </w:rPr>
            </w:pPr>
            <w:r>
              <w:rPr>
                <w:rFonts w:ascii="Arial" w:cs="Arial" w:eastAsia="Arial" w:hAnsi="Arial"/>
                <w:sz w:val="18"/>
                <w:szCs w:val="18"/>
                <w:color w:val="auto"/>
              </w:rPr>
              <w:t>SECTION 5.14. Additional Collateral; Further Assurances</w:t>
            </w:r>
          </w:p>
        </w:tc>
        <w:tc>
          <w:tcPr>
            <w:tcW w:w="2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5.15. Post-Closing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432"/>
        </w:trPr>
        <w:tc>
          <w:tcPr>
            <w:tcW w:w="8760" w:type="dxa"/>
            <w:vAlign w:val="bottom"/>
          </w:tcPr>
          <w:p>
            <w:pPr>
              <w:spacing w:after="0"/>
              <w:rPr>
                <w:sz w:val="20"/>
                <w:szCs w:val="20"/>
                <w:color w:val="auto"/>
              </w:rPr>
            </w:pPr>
            <w:r>
              <w:rPr>
                <w:rFonts w:ascii="Arial" w:cs="Arial" w:eastAsia="Arial" w:hAnsi="Arial"/>
                <w:sz w:val="18"/>
                <w:szCs w:val="18"/>
                <w:color w:val="auto"/>
              </w:rPr>
              <w:t>ARTICLE VI Negative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6.01. 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6.02. Liens</w:t>
            </w:r>
          </w:p>
        </w:tc>
        <w:tc>
          <w:tcPr>
            <w:tcW w:w="248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6.03. Fundamental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6.04. Investments, Loans, Advances, Guarantees and Acquisitions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6.05. Asset Sales</w:t>
            </w:r>
          </w:p>
        </w:tc>
        <w:tc>
          <w:tcPr>
            <w:tcW w:w="24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6.06. Sale and Leaseback Transactions</w:t>
            </w:r>
          </w:p>
        </w:tc>
        <w:tc>
          <w:tcPr>
            <w:tcW w:w="2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6.07. Swap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6.08. Restricted Payments; Certain Payments of Indebtedness</w:t>
            </w:r>
          </w:p>
        </w:tc>
        <w:tc>
          <w:tcPr>
            <w:tcW w:w="24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6.09. Transactions with Affiliates</w:t>
            </w:r>
          </w:p>
        </w:tc>
        <w:tc>
          <w:tcPr>
            <w:tcW w:w="2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6.10. Restrictive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6.11. Amendment of Material Documents</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6.12. Fixed Charge Coverage Ratio</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6.13. Transactions with Third Parties</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8760" w:type="dxa"/>
            <w:vAlign w:val="bottom"/>
          </w:tcPr>
          <w:p>
            <w:pPr>
              <w:spacing w:after="0"/>
              <w:rPr>
                <w:sz w:val="20"/>
                <w:szCs w:val="20"/>
                <w:color w:val="auto"/>
              </w:rPr>
            </w:pPr>
            <w:r>
              <w:rPr>
                <w:rFonts w:ascii="Arial" w:cs="Arial" w:eastAsia="Arial" w:hAnsi="Arial"/>
                <w:sz w:val="18"/>
                <w:szCs w:val="18"/>
                <w:color w:val="auto"/>
              </w:rPr>
              <w:t>ARTICLE VII Events of Default</w:t>
            </w:r>
          </w:p>
        </w:tc>
        <w:tc>
          <w:tcPr>
            <w:tcW w:w="24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32"/>
        </w:trPr>
        <w:tc>
          <w:tcPr>
            <w:tcW w:w="8760" w:type="dxa"/>
            <w:vAlign w:val="bottom"/>
          </w:tcPr>
          <w:p>
            <w:pPr>
              <w:spacing w:after="0"/>
              <w:rPr>
                <w:sz w:val="20"/>
                <w:szCs w:val="20"/>
                <w:color w:val="auto"/>
              </w:rPr>
            </w:pPr>
            <w:r>
              <w:rPr>
                <w:rFonts w:ascii="Arial" w:cs="Arial" w:eastAsia="Arial" w:hAnsi="Arial"/>
                <w:sz w:val="18"/>
                <w:szCs w:val="18"/>
                <w:color w:val="auto"/>
              </w:rPr>
              <w:t>ARTICLE VIII The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8.01. Authorization and Action</w:t>
            </w:r>
          </w:p>
        </w:tc>
        <w:tc>
          <w:tcPr>
            <w:tcW w:w="248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8.02. Administrative Agent’s Reliance, Limitation of Liability, Etc.</w:t>
            </w:r>
          </w:p>
        </w:tc>
        <w:tc>
          <w:tcPr>
            <w:tcW w:w="248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8.03. Posting of Communications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8.04. The Administrative Agent Individually</w:t>
            </w:r>
          </w:p>
        </w:tc>
        <w:tc>
          <w:tcPr>
            <w:tcW w:w="24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8.05. Successor Administrative Agent</w:t>
            </w:r>
          </w:p>
        </w:tc>
        <w:tc>
          <w:tcPr>
            <w:tcW w:w="24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8.06. Acknowledgements of Lenders and Issuing Bank</w:t>
            </w:r>
          </w:p>
        </w:tc>
        <w:tc>
          <w:tcPr>
            <w:tcW w:w="24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8.07. Collateral Matters</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432"/>
        </w:trPr>
        <w:tc>
          <w:tcPr>
            <w:tcW w:w="8760" w:type="dxa"/>
            <w:vAlign w:val="bottom"/>
          </w:tcPr>
          <w:p>
            <w:pPr>
              <w:ind w:left="920"/>
              <w:spacing w:after="0"/>
              <w:rPr>
                <w:sz w:val="20"/>
                <w:szCs w:val="20"/>
                <w:color w:val="auto"/>
              </w:rPr>
            </w:pPr>
            <w:r>
              <w:rPr>
                <w:rFonts w:ascii="Arial" w:cs="Arial" w:eastAsia="Arial" w:hAnsi="Arial"/>
                <w:sz w:val="18"/>
                <w:szCs w:val="18"/>
                <w:color w:val="auto"/>
              </w:rPr>
              <w:t>SECTION 8.08. Credit Bidding</w:t>
            </w:r>
          </w:p>
        </w:tc>
        <w:tc>
          <w:tcPr>
            <w:tcW w:w="24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567"/>
        </w:trPr>
        <w:tc>
          <w:tcPr>
            <w:tcW w:w="876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iv</w:t>
            </w: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70"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tcPr>
          <w:p>
            <w:pPr>
              <w:ind w:left="920"/>
              <w:spacing w:after="0"/>
              <w:rPr>
                <w:sz w:val="20"/>
                <w:szCs w:val="20"/>
                <w:color w:val="auto"/>
              </w:rPr>
            </w:pPr>
            <w:r>
              <w:rPr>
                <w:rFonts w:ascii="Arial" w:cs="Arial" w:eastAsia="Arial" w:hAnsi="Arial"/>
                <w:sz w:val="18"/>
                <w:szCs w:val="18"/>
                <w:color w:val="auto"/>
              </w:rPr>
              <w:t>SECTION 8.09. Certain ERISA Matters</w:t>
            </w:r>
          </w:p>
        </w:tc>
        <w:tc>
          <w:tcPr>
            <w:tcW w:w="19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8.10. Flood Laws</w:t>
            </w:r>
          </w:p>
        </w:tc>
        <w:tc>
          <w:tcPr>
            <w:tcW w:w="19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8.11. Subordination Arrangements</w:t>
            </w:r>
          </w:p>
        </w:tc>
        <w:tc>
          <w:tcPr>
            <w:tcW w:w="1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2"/>
        </w:trPr>
        <w:tc>
          <w:tcPr>
            <w:tcW w:w="9280" w:type="dxa"/>
            <w:vAlign w:val="bottom"/>
          </w:tcPr>
          <w:p>
            <w:pPr>
              <w:spacing w:after="0"/>
              <w:rPr>
                <w:sz w:val="20"/>
                <w:szCs w:val="20"/>
                <w:color w:val="auto"/>
              </w:rPr>
            </w:pPr>
            <w:r>
              <w:rPr>
                <w:rFonts w:ascii="Arial" w:cs="Arial" w:eastAsia="Arial" w:hAnsi="Arial"/>
                <w:sz w:val="18"/>
                <w:szCs w:val="18"/>
                <w:color w:val="auto"/>
              </w:rPr>
              <w:t>ARTICLE IX Miscellaneous</w:t>
            </w:r>
          </w:p>
        </w:tc>
        <w:tc>
          <w:tcPr>
            <w:tcW w:w="1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9.01. Notices</w:t>
            </w:r>
          </w:p>
        </w:tc>
        <w:tc>
          <w:tcPr>
            <w:tcW w:w="1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9.02. Waivers; Amendments</w:t>
            </w:r>
          </w:p>
        </w:tc>
        <w:tc>
          <w:tcPr>
            <w:tcW w:w="19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9.03. Expenses; Limitation of Liability; Indemnity; Etc. (a) Expenses</w:t>
            </w:r>
          </w:p>
        </w:tc>
        <w:tc>
          <w:tcPr>
            <w:tcW w:w="196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9.04. Successors and Assigns</w:t>
            </w:r>
          </w:p>
        </w:tc>
        <w:tc>
          <w:tcPr>
            <w:tcW w:w="19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9.05. Survival</w:t>
            </w:r>
          </w:p>
        </w:tc>
        <w:tc>
          <w:tcPr>
            <w:tcW w:w="19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9.06. Counterparts; Integration; Effectiveness; Electronic Execution</w:t>
            </w:r>
          </w:p>
        </w:tc>
        <w:tc>
          <w:tcPr>
            <w:tcW w:w="19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9.07. Severability</w:t>
            </w:r>
          </w:p>
        </w:tc>
        <w:tc>
          <w:tcPr>
            <w:tcW w:w="19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9.08. Right of Setoff</w:t>
            </w:r>
          </w:p>
        </w:tc>
        <w:tc>
          <w:tcPr>
            <w:tcW w:w="1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9.09. Governing Law; Jurisdiction; Consent to Service of Process</w:t>
            </w:r>
          </w:p>
        </w:tc>
        <w:tc>
          <w:tcPr>
            <w:tcW w:w="1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9.10. WAIVER OF JURY TRIAL; JUDICIAL REFERENCE</w:t>
            </w:r>
          </w:p>
        </w:tc>
        <w:tc>
          <w:tcPr>
            <w:tcW w:w="1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9.11. Headings</w:t>
            </w:r>
          </w:p>
        </w:tc>
        <w:tc>
          <w:tcPr>
            <w:tcW w:w="1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9.12. Confidentiality</w:t>
            </w:r>
          </w:p>
        </w:tc>
        <w:tc>
          <w:tcPr>
            <w:tcW w:w="1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9.13. Several Obligations; Non-Reliance; Violation of Law</w:t>
            </w:r>
          </w:p>
        </w:tc>
        <w:tc>
          <w:tcPr>
            <w:tcW w:w="1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9.14. USA PATRIOT Act</w:t>
            </w:r>
          </w:p>
        </w:tc>
        <w:tc>
          <w:tcPr>
            <w:tcW w:w="1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9.15. Disclosure</w:t>
            </w:r>
          </w:p>
        </w:tc>
        <w:tc>
          <w:tcPr>
            <w:tcW w:w="1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9.16. Appointment for Perfection</w:t>
            </w:r>
          </w:p>
        </w:tc>
        <w:tc>
          <w:tcPr>
            <w:tcW w:w="1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9.17. Interest Rate Limitation</w:t>
            </w:r>
          </w:p>
        </w:tc>
        <w:tc>
          <w:tcPr>
            <w:tcW w:w="19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9.18. Marketing Consent</w:t>
            </w:r>
          </w:p>
        </w:tc>
        <w:tc>
          <w:tcPr>
            <w:tcW w:w="19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9.19. Acknowledgement and Consent to Bail-In of Affected Financial Institutions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9.20. No Fiduciary Duty, Etc.</w:t>
            </w:r>
          </w:p>
        </w:tc>
        <w:tc>
          <w:tcPr>
            <w:tcW w:w="19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9.21. Acknowledgement Regarding Any Supported QFCs</w:t>
            </w:r>
          </w:p>
        </w:tc>
        <w:tc>
          <w:tcPr>
            <w:tcW w:w="19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432"/>
        </w:trPr>
        <w:tc>
          <w:tcPr>
            <w:tcW w:w="9280" w:type="dxa"/>
            <w:vAlign w:val="bottom"/>
          </w:tcPr>
          <w:p>
            <w:pPr>
              <w:ind w:left="920"/>
              <w:spacing w:after="0"/>
              <w:rPr>
                <w:sz w:val="20"/>
                <w:szCs w:val="20"/>
                <w:color w:val="auto"/>
              </w:rPr>
            </w:pPr>
            <w:r>
              <w:rPr>
                <w:rFonts w:ascii="Arial" w:cs="Arial" w:eastAsia="Arial" w:hAnsi="Arial"/>
                <w:sz w:val="18"/>
                <w:szCs w:val="18"/>
                <w:color w:val="auto"/>
              </w:rPr>
              <w:t>SECTION 9.22. Joint and Several</w:t>
            </w:r>
          </w:p>
        </w:tc>
        <w:tc>
          <w:tcPr>
            <w:tcW w:w="196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ARTICLE X Loan Guaranty</w:t>
            </w:r>
          </w:p>
        </w:tc>
        <w:tc>
          <w:tcPr>
            <w:tcW w:w="25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10.01. Guaranty</w:t>
            </w:r>
          </w:p>
        </w:tc>
        <w:tc>
          <w:tcPr>
            <w:tcW w:w="25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10.02. Guaranty of Payment</w:t>
            </w:r>
          </w:p>
        </w:tc>
        <w:tc>
          <w:tcPr>
            <w:tcW w:w="25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10.03. No Discharge or Diminishment of Loan Guaranty</w:t>
            </w:r>
          </w:p>
        </w:tc>
        <w:tc>
          <w:tcPr>
            <w:tcW w:w="25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10.04. Defenses Waived</w:t>
            </w:r>
          </w:p>
        </w:tc>
        <w:tc>
          <w:tcPr>
            <w:tcW w:w="25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10.05. Rights of Subrogation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10.06. Reinstatement; Stay of Acceleration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10.07. Information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10.08. Termination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10.09.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10.10. Maximum Liability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10.11. Contribution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10.12. Liability Cumulative</w:t>
            </w:r>
          </w:p>
        </w:tc>
        <w:tc>
          <w:tcPr>
            <w:tcW w:w="2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10.13. Keepwell</w:t>
            </w:r>
          </w:p>
        </w:tc>
        <w:tc>
          <w:tcPr>
            <w:tcW w:w="2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8720" w:type="dxa"/>
            <w:vAlign w:val="bottom"/>
          </w:tcPr>
          <w:p>
            <w:pPr>
              <w:spacing w:after="0"/>
              <w:rPr>
                <w:sz w:val="20"/>
                <w:szCs w:val="20"/>
                <w:color w:val="auto"/>
              </w:rPr>
            </w:pPr>
            <w:r>
              <w:rPr>
                <w:rFonts w:ascii="Arial" w:cs="Arial" w:eastAsia="Arial" w:hAnsi="Arial"/>
                <w:sz w:val="18"/>
                <w:szCs w:val="18"/>
                <w:color w:val="auto"/>
              </w:rPr>
              <w:t>ARTICLE XI The Borrower Representative</w:t>
            </w:r>
          </w:p>
        </w:tc>
        <w:tc>
          <w:tcPr>
            <w:tcW w:w="2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11.01. Appointment; Nature of Relationship</w:t>
            </w:r>
          </w:p>
        </w:tc>
        <w:tc>
          <w:tcPr>
            <w:tcW w:w="2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11.02. Powers</w:t>
            </w:r>
          </w:p>
        </w:tc>
        <w:tc>
          <w:tcPr>
            <w:tcW w:w="2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11.03. Employment of Agents</w:t>
            </w:r>
          </w:p>
        </w:tc>
        <w:tc>
          <w:tcPr>
            <w:tcW w:w="252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11.04. 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11.05. Successor Borrower Representative</w:t>
            </w:r>
          </w:p>
        </w:tc>
        <w:tc>
          <w:tcPr>
            <w:tcW w:w="25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11.06. Execution of Loan Documents; Borrowing Base Certificate</w:t>
            </w:r>
          </w:p>
        </w:tc>
        <w:tc>
          <w:tcPr>
            <w:tcW w:w="25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32"/>
        </w:trPr>
        <w:tc>
          <w:tcPr>
            <w:tcW w:w="8720" w:type="dxa"/>
            <w:vAlign w:val="bottom"/>
          </w:tcPr>
          <w:p>
            <w:pPr>
              <w:ind w:left="920"/>
              <w:spacing w:after="0"/>
              <w:rPr>
                <w:sz w:val="20"/>
                <w:szCs w:val="20"/>
                <w:color w:val="auto"/>
              </w:rPr>
            </w:pPr>
            <w:r>
              <w:rPr>
                <w:rFonts w:ascii="Arial" w:cs="Arial" w:eastAsia="Arial" w:hAnsi="Arial"/>
                <w:sz w:val="18"/>
                <w:szCs w:val="18"/>
                <w:color w:val="auto"/>
              </w:rPr>
              <w:t>SECTION 11.07. Reporting</w:t>
            </w:r>
          </w:p>
        </w:tc>
        <w:tc>
          <w:tcPr>
            <w:tcW w:w="252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37" w:name="page38"/>
    <w:bookmarkEnd w:id="37"/>
    <w:p>
      <w:pPr>
        <w:jc w:val="right"/>
        <w:ind w:right="3979"/>
        <w:spacing w:after="0"/>
        <w:rPr>
          <w:sz w:val="20"/>
          <w:szCs w:val="20"/>
          <w:color w:val="auto"/>
        </w:rPr>
      </w:pPr>
      <w:r>
        <w:rPr>
          <w:rFonts w:ascii="Arial" w:cs="Arial" w:eastAsia="Arial" w:hAnsi="Arial"/>
          <w:sz w:val="18"/>
          <w:szCs w:val="18"/>
          <w:u w:val="single" w:color="auto"/>
          <w:color w:val="auto"/>
        </w:rPr>
        <w:t>SCHEDULES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r>
              <w:rPr>
                <w:rFonts w:ascii="Arial" w:cs="Arial" w:eastAsia="Arial" w:hAnsi="Arial"/>
                <w:sz w:val="18"/>
                <w:szCs w:val="18"/>
                <w:color w:val="auto"/>
                <w:w w:val="91"/>
              </w:rPr>
              <w:t>Commitment Schedule</w:t>
            </w:r>
          </w:p>
        </w:tc>
        <w:tc>
          <w:tcPr>
            <w:tcW w:w="36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3.05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Properties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3.06</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Disclosed Matters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3.12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Material Agreements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3.14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Insurance</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3.15</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w w:val="90"/>
              </w:rPr>
              <w:t>Capitalization and Subsidiaries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3.22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Affiliate Transactions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6.01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Existing Indebtedness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6.02</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Existing Liens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6.04</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Existing Investments</w:t>
            </w:r>
          </w:p>
        </w:tc>
      </w:tr>
      <w:tr>
        <w:trPr>
          <w:trHeight w:val="432"/>
        </w:trPr>
        <w:tc>
          <w:tcPr>
            <w:tcW w:w="1680" w:type="dxa"/>
            <w:vAlign w:val="bottom"/>
          </w:tcPr>
          <w:p>
            <w:pPr>
              <w:spacing w:after="0"/>
              <w:rPr>
                <w:sz w:val="20"/>
                <w:szCs w:val="20"/>
                <w:color w:val="auto"/>
              </w:rPr>
            </w:pPr>
            <w:r>
              <w:rPr>
                <w:rFonts w:ascii="Arial" w:cs="Arial" w:eastAsia="Arial" w:hAnsi="Arial"/>
                <w:sz w:val="18"/>
                <w:szCs w:val="18"/>
                <w:color w:val="auto"/>
              </w:rPr>
              <w:t>Schedule 6.10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460" w:type="dxa"/>
            <w:vAlign w:val="bottom"/>
          </w:tcPr>
          <w:p>
            <w:pPr>
              <w:ind w:left="220"/>
              <w:spacing w:after="0"/>
              <w:rPr>
                <w:sz w:val="20"/>
                <w:szCs w:val="20"/>
                <w:color w:val="auto"/>
              </w:rPr>
            </w:pPr>
            <w:r>
              <w:rPr>
                <w:rFonts w:ascii="Arial" w:cs="Arial" w:eastAsia="Arial" w:hAnsi="Arial"/>
                <w:sz w:val="18"/>
                <w:szCs w:val="18"/>
                <w:color w:val="auto"/>
              </w:rPr>
              <w:t>Existing Restrictions</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Exhibit A</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940" w:type="dxa"/>
            <w:vAlign w:val="bottom"/>
          </w:tcPr>
          <w:p>
            <w:pPr>
              <w:ind w:left="220"/>
              <w:spacing w:after="0"/>
              <w:rPr>
                <w:sz w:val="20"/>
                <w:szCs w:val="20"/>
                <w:color w:val="auto"/>
              </w:rPr>
            </w:pPr>
            <w:r>
              <w:rPr>
                <w:rFonts w:ascii="Arial" w:cs="Arial" w:eastAsia="Arial" w:hAnsi="Arial"/>
                <w:sz w:val="18"/>
                <w:szCs w:val="18"/>
                <w:color w:val="auto"/>
                <w:w w:val="91"/>
              </w:rPr>
              <w:t>Form of Assignment and Assumption</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 B</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940" w:type="dxa"/>
            <w:vAlign w:val="bottom"/>
          </w:tcPr>
          <w:p>
            <w:pPr>
              <w:ind w:left="220"/>
              <w:spacing w:after="0"/>
              <w:rPr>
                <w:sz w:val="20"/>
                <w:szCs w:val="20"/>
                <w:color w:val="auto"/>
              </w:rPr>
            </w:pPr>
            <w:r>
              <w:rPr>
                <w:rFonts w:ascii="Arial" w:cs="Arial" w:eastAsia="Arial" w:hAnsi="Arial"/>
                <w:sz w:val="18"/>
                <w:szCs w:val="18"/>
                <w:color w:val="auto"/>
                <w:w w:val="96"/>
              </w:rPr>
              <w:t>Form of Borrowing Base Certificate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 C</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940" w:type="dxa"/>
            <w:vAlign w:val="bottom"/>
          </w:tcPr>
          <w:p>
            <w:pPr>
              <w:ind w:left="220"/>
              <w:spacing w:after="0"/>
              <w:rPr>
                <w:sz w:val="20"/>
                <w:szCs w:val="20"/>
                <w:color w:val="auto"/>
              </w:rPr>
            </w:pPr>
            <w:r>
              <w:rPr>
                <w:rFonts w:ascii="Arial" w:cs="Arial" w:eastAsia="Arial" w:hAnsi="Arial"/>
                <w:sz w:val="18"/>
                <w:szCs w:val="18"/>
                <w:color w:val="auto"/>
              </w:rPr>
              <w:t>Form of Compliance Certificate</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Exhibit D</w:t>
            </w:r>
          </w:p>
        </w:tc>
        <w:tc>
          <w:tcPr>
            <w:tcW w:w="8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940" w:type="dxa"/>
            <w:vAlign w:val="bottom"/>
          </w:tcPr>
          <w:p>
            <w:pPr>
              <w:ind w:left="220"/>
              <w:spacing w:after="0"/>
              <w:rPr>
                <w:sz w:val="20"/>
                <w:szCs w:val="20"/>
                <w:color w:val="auto"/>
              </w:rPr>
            </w:pPr>
            <w:r>
              <w:rPr>
                <w:rFonts w:ascii="Arial" w:cs="Arial" w:eastAsia="Arial" w:hAnsi="Arial"/>
                <w:sz w:val="18"/>
                <w:szCs w:val="18"/>
                <w:color w:val="auto"/>
              </w:rPr>
              <w:t>Joinder Agreement</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00" w:right="1440" w:bottom="1440" w:gutter="0" w:footer="0" w:header="0"/>
        </w:sectPr>
      </w:pPr>
    </w:p>
    <w:bookmarkStart w:id="38" w:name="page39"/>
    <w:bookmarkEnd w:id="38"/>
    <w:p>
      <w:pPr>
        <w:jc w:val="both"/>
        <w:ind w:firstLine="648"/>
        <w:spacing w:after="0" w:line="279" w:lineRule="auto"/>
        <w:rPr>
          <w:sz w:val="20"/>
          <w:szCs w:val="20"/>
          <w:color w:val="auto"/>
        </w:rPr>
      </w:pPr>
      <w:r>
        <w:rPr>
          <w:rFonts w:ascii="Arial" w:cs="Arial" w:eastAsia="Arial" w:hAnsi="Arial"/>
          <w:sz w:val="17"/>
          <w:szCs w:val="17"/>
          <w:color w:val="auto"/>
        </w:rPr>
        <w:t>CREDIT AGREEMENT dated as of November 12, 2021 (as it may be amended or modified from time to time, this “</w:t>
      </w:r>
      <w:r>
        <w:rPr>
          <w:rFonts w:ascii="Arial" w:cs="Arial" w:eastAsia="Arial" w:hAnsi="Arial"/>
          <w:sz w:val="17"/>
          <w:szCs w:val="17"/>
          <w:u w:val="single" w:color="auto"/>
          <w:color w:val="auto"/>
        </w:rPr>
        <w:t>Agreement</w:t>
      </w:r>
      <w:r>
        <w:rPr>
          <w:rFonts w:ascii="Arial" w:cs="Arial" w:eastAsia="Arial" w:hAnsi="Arial"/>
          <w:sz w:val="17"/>
          <w:szCs w:val="17"/>
          <w:color w:val="auto"/>
        </w:rPr>
        <w:t>”) among iPOWER INC., a Nevada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together with any other Person that joins this Agreement as a Borrower in accordance with the terms hereof, are referred to hereinafter each individually as a “</w:t>
      </w:r>
      <w:r>
        <w:rPr>
          <w:rFonts w:ascii="Arial" w:cs="Arial" w:eastAsia="Arial" w:hAnsi="Arial"/>
          <w:sz w:val="17"/>
          <w:szCs w:val="17"/>
          <w:u w:val="single" w:color="auto"/>
          <w:color w:val="auto"/>
        </w:rPr>
        <w:t>Borrower</w:t>
      </w:r>
      <w:r>
        <w:rPr>
          <w:rFonts w:ascii="Arial" w:cs="Arial" w:eastAsia="Arial" w:hAnsi="Arial"/>
          <w:sz w:val="17"/>
          <w:szCs w:val="17"/>
          <w:color w:val="auto"/>
        </w:rPr>
        <w:t>”, and individually and collectively, jointly and severally, as the “</w:t>
      </w:r>
      <w:r>
        <w:rPr>
          <w:rFonts w:ascii="Arial" w:cs="Arial" w:eastAsia="Arial" w:hAnsi="Arial"/>
          <w:sz w:val="17"/>
          <w:szCs w:val="17"/>
          <w:u w:val="single" w:color="auto"/>
          <w:color w:val="auto"/>
        </w:rPr>
        <w:t>Borrowers</w:t>
      </w:r>
      <w:r>
        <w:rPr>
          <w:rFonts w:ascii="Arial" w:cs="Arial" w:eastAsia="Arial" w:hAnsi="Arial"/>
          <w:sz w:val="17"/>
          <w:szCs w:val="17"/>
          <w:color w:val="auto"/>
        </w:rPr>
        <w:t>”), the other Loan Parties party hereto, the Lenders party hereto, and JPMORGAN CHASE BANK, N.A., as Administrative Agent.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hereto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SECTION 1.01. Defined Terms. As used in this Agreement, the following terms have the meanings specified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obligated on an Account.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any transaction, or any series of related transactions, consummated on or after the Effective Date, by which any Loan Party</w:t>
      </w:r>
    </w:p>
    <w:p>
      <w:pPr>
        <w:spacing w:after="0" w:line="46" w:lineRule="exact"/>
        <w:rPr>
          <w:sz w:val="20"/>
          <w:szCs w:val="20"/>
          <w:color w:val="auto"/>
        </w:rPr>
      </w:pPr>
    </w:p>
    <w:p>
      <w:pPr>
        <w:jc w:val="both"/>
        <w:ind w:firstLine="8"/>
        <w:spacing w:after="0" w:line="295"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acquires any going business or all or substantially all of the assets of any Person, whether through purchase of assets, merger or otherwise or (b) directly or indirectly acquires (in one transaction or as the most recent transaction in a series of transactions) at least a majority (in number of votes) of the Equity Interests of a Person which has ordinary voting power for the election of directors or other similar management personnel of a Person (other than Equity Interests having such power only by reason of the happening of a contingency) or a majority of the outstanding Equity Interests of a Person.</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LIBO Rate</w:t>
      </w:r>
      <w:r>
        <w:rPr>
          <w:rFonts w:ascii="Arial" w:cs="Arial" w:eastAsia="Arial" w:hAnsi="Arial"/>
          <w:sz w:val="18"/>
          <w:szCs w:val="18"/>
          <w:color w:val="auto"/>
        </w:rPr>
        <w:t>” means, with respect to any Eurodollar Borrowing for any Interest Period or for any CBFR Borrowing, an interest rate per annum (rounded upwards, if necessary, to the next 1/16 of 1%) equal to (a) the LIBO Rate for such Interest Period multiplied by (b) the Statutory Reserve Rate.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Adjusted One Month LIBOR Rate</w:t>
      </w:r>
      <w:r>
        <w:rPr>
          <w:rFonts w:ascii="Arial" w:cs="Arial" w:eastAsia="Arial" w:hAnsi="Arial"/>
          <w:sz w:val="16"/>
          <w:szCs w:val="16"/>
          <w:color w:val="auto"/>
        </w:rPr>
        <w:t xml:space="preserve">” means, for any day, an interest rate per annum equal to the sum of (i) 2.50% plus (ii) the Adjusted LIBO Rate for a one month interest period on such day (or if such day is not a Business Day, the immediately preceding Business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Adjusted LIBO Rate for any day shall be based on the LIBO Screen Rate at approximately 11:00 a.m. London time on such day;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LIBO Screen Rate at such time shall be less than zero, such rate shall be deemed to be zero for purposes of this Agreement.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means JPMorgan Chase Bank, N.A. (or any of its designated branch offices or affiliates), in its capacity as administrative agent for the Lenders 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specified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w:t>
      </w:r>
      <w:r>
        <w:rPr>
          <w:rFonts w:ascii="Arial" w:cs="Arial" w:eastAsia="Arial" w:hAnsi="Arial"/>
          <w:sz w:val="18"/>
          <w:szCs w:val="18"/>
          <w:color w:val="auto"/>
        </w:rPr>
        <w:t>” has the meaning assigned to it in Section 9.03(d).</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Revolving Commitment</w:t>
      </w:r>
      <w:r>
        <w:rPr>
          <w:rFonts w:ascii="Arial" w:cs="Arial" w:eastAsia="Arial" w:hAnsi="Arial"/>
          <w:sz w:val="16"/>
          <w:szCs w:val="16"/>
          <w:color w:val="auto"/>
        </w:rPr>
        <w:t>” means, at any time, the aggregate of the Revolving Commitments of all of the Lenders, as increased or reduced from time to time pursuant to the terms and conditions hereof. As of the Effective Date, the Aggregate Revolving Commitment is $25,000,000.</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Revolving Exposure</w:t>
      </w:r>
      <w:r>
        <w:rPr>
          <w:rFonts w:ascii="Arial" w:cs="Arial" w:eastAsia="Arial" w:hAnsi="Arial"/>
          <w:sz w:val="18"/>
          <w:szCs w:val="18"/>
          <w:color w:val="auto"/>
        </w:rPr>
        <w:t>” means, at any time, the aggregate Revolving Exposure of all the Lenders at such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specified in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Amazon</w:t>
      </w:r>
      <w:r>
        <w:rPr>
          <w:rFonts w:ascii="Arial" w:cs="Arial" w:eastAsia="Arial" w:hAnsi="Arial"/>
          <w:sz w:val="18"/>
          <w:szCs w:val="18"/>
          <w:color w:val="auto"/>
        </w:rPr>
        <w:t>” means Amazon.com Inc. and its Affiliates.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 has the meaning assigned to it in Section 9.06(b).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all laws, rules, and regulations of any jurisdiction applicable to any Loan Party or any of its Affiliates from time to time concerning or relating to bribery or corruption.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has the meaning assigned to it in Section 8.03(c).</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means, with respect to any Lender, (a) with respect to Revolving Loans, LC Exposure, Overadvances or Swingline Loans, a percentage equal to a fraction the numerator of which is such Lender’s Revolving Commitment and the denominator of which is the Aggregate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Revolving Commitments have terminated or expired, the Applicable Percentages shall be determined based upon such Lender’s share of the Aggregate Revolving Exposure at that time), and (b) with respect to Protective Advances or with respect to the Aggregate Revolving Exposure, a percentage based upon its share of the Aggregate Revolving Exposure and the unused Revolving Commitments;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accordance with Section 2.20, so long as any Lender shall be a Defaulting Lender, such Defaulting Lender’s Revolving Commitment shall be disregarded in the calculations under clauses (a) and (b) above.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 for any day, with respect to any Loan, the applicable rate per annum set forth below under the caption “</w:t>
      </w:r>
      <w:r>
        <w:rPr>
          <w:rFonts w:ascii="Arial" w:cs="Arial" w:eastAsia="Arial" w:hAnsi="Arial"/>
          <w:sz w:val="18"/>
          <w:szCs w:val="18"/>
          <w:u w:val="single" w:color="auto"/>
          <w:color w:val="auto"/>
        </w:rPr>
        <w:t>Revolver CB</w:t>
      </w:r>
      <w:r>
        <w:rPr>
          <w:rFonts w:ascii="Arial" w:cs="Arial" w:eastAsia="Arial" w:hAnsi="Arial"/>
          <w:sz w:val="18"/>
          <w:szCs w:val="18"/>
          <w:color w:val="auto"/>
        </w:rPr>
        <w:t xml:space="preserve"> </w:t>
      </w:r>
      <w:r>
        <w:rPr>
          <w:rFonts w:ascii="Arial" w:cs="Arial" w:eastAsia="Arial" w:hAnsi="Arial"/>
          <w:sz w:val="18"/>
          <w:szCs w:val="18"/>
          <w:u w:val="single" w:color="auto"/>
          <w:color w:val="auto"/>
        </w:rPr>
        <w:t>Floating Rate Spread</w:t>
      </w:r>
      <w:r>
        <w:rPr>
          <w:rFonts w:ascii="Arial" w:cs="Arial" w:eastAsia="Arial" w:hAnsi="Arial"/>
          <w:sz w:val="18"/>
          <w:szCs w:val="18"/>
          <w:color w:val="auto"/>
        </w:rPr>
        <w:t>”, “</w:t>
      </w:r>
      <w:r>
        <w:rPr>
          <w:rFonts w:ascii="Arial" w:cs="Arial" w:eastAsia="Arial" w:hAnsi="Arial"/>
          <w:sz w:val="18"/>
          <w:szCs w:val="18"/>
          <w:u w:val="single" w:color="auto"/>
          <w:color w:val="auto"/>
        </w:rPr>
        <w:t>Revolver REVLIBOR30 Spread</w:t>
      </w:r>
      <w:r>
        <w:rPr>
          <w:rFonts w:ascii="Arial" w:cs="Arial" w:eastAsia="Arial" w:hAnsi="Arial"/>
          <w:sz w:val="18"/>
          <w:szCs w:val="18"/>
          <w:color w:val="auto"/>
        </w:rPr>
        <w:t>”, or “</w:t>
      </w:r>
      <w:r>
        <w:rPr>
          <w:rFonts w:ascii="Arial" w:cs="Arial" w:eastAsia="Arial" w:hAnsi="Arial"/>
          <w:sz w:val="18"/>
          <w:szCs w:val="18"/>
          <w:u w:val="single" w:color="auto"/>
          <w:color w:val="auto"/>
        </w:rPr>
        <w:t>Revolver Eurodollar Spread</w:t>
      </w:r>
      <w:r>
        <w:rPr>
          <w:rFonts w:ascii="Arial" w:cs="Arial" w:eastAsia="Arial" w:hAnsi="Arial"/>
          <w:sz w:val="18"/>
          <w:szCs w:val="18"/>
          <w:color w:val="auto"/>
        </w:rPr>
        <w:t xml:space="preserve">”, as the case may be, based upon the Average Quarterly Availability during the most recently ended fiscal quarter of the Company;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that the “</w:t>
      </w:r>
      <w:r>
        <w:rPr>
          <w:rFonts w:ascii="Arial" w:cs="Arial" w:eastAsia="Arial" w:hAnsi="Arial"/>
          <w:sz w:val="18"/>
          <w:szCs w:val="18"/>
          <w:u w:val="single" w:color="auto"/>
          <w:color w:val="auto"/>
        </w:rPr>
        <w:t>Applicable Rate</w:t>
      </w:r>
      <w:r>
        <w:rPr>
          <w:rFonts w:ascii="Arial" w:cs="Arial" w:eastAsia="Arial" w:hAnsi="Arial"/>
          <w:sz w:val="18"/>
          <w:szCs w:val="18"/>
          <w:color w:val="auto"/>
        </w:rPr>
        <w:t>” shall be the applicable rates per annum set forth below in Category 1 during the period from the Effective Date to, and including, the last day of the fiscal quarter of the Company; ending on or about December 31, 2021:</w:t>
      </w:r>
    </w:p>
    <w:p>
      <w:pPr>
        <w:spacing w:after="0" w:line="209" w:lineRule="exact"/>
        <w:rPr>
          <w:sz w:val="20"/>
          <w:szCs w:val="20"/>
          <w:color w:val="auto"/>
        </w:rPr>
      </w:pPr>
    </w:p>
    <w:tbl>
      <w:tblPr>
        <w:tblLayout w:type="fixed"/>
        <w:tblInd w:w="590" w:type="dxa"/>
        <w:tblCellMar>
          <w:top w:w="0" w:type="dxa"/>
          <w:left w:w="0" w:type="dxa"/>
          <w:bottom w:w="0" w:type="dxa"/>
          <w:right w:w="0" w:type="dxa"/>
        </w:tblCellMar>
      </w:tblPr>
      <w:tr>
        <w:trPr>
          <w:trHeight w:val="189"/>
        </w:trPr>
        <w:tc>
          <w:tcPr>
            <w:tcW w:w="600" w:type="dxa"/>
            <w:vAlign w:val="bottom"/>
            <w:tcBorders>
              <w:top w:val="single" w:sz="8" w:color="auto"/>
              <w:left w:val="single" w:sz="8" w:color="auto"/>
            </w:tcBorders>
          </w:tcPr>
          <w:p>
            <w:pPr>
              <w:spacing w:after="0"/>
              <w:rPr>
                <w:sz w:val="16"/>
                <w:szCs w:val="16"/>
                <w:color w:val="auto"/>
              </w:rPr>
            </w:pPr>
          </w:p>
        </w:tc>
        <w:tc>
          <w:tcPr>
            <w:tcW w:w="1940" w:type="dxa"/>
            <w:vAlign w:val="bottom"/>
            <w:tcBorders>
              <w:top w:val="single" w:sz="8" w:color="auto"/>
              <w:right w:val="single" w:sz="8" w:color="auto"/>
            </w:tcBorders>
            <w:gridSpan w:val="6"/>
            <w:vMerge w:val="restart"/>
          </w:tcPr>
          <w:p>
            <w:pPr>
              <w:jc w:val="center"/>
              <w:ind w:right="620"/>
              <w:spacing w:after="0"/>
              <w:rPr>
                <w:sz w:val="20"/>
                <w:szCs w:val="20"/>
                <w:color w:val="auto"/>
              </w:rPr>
            </w:pPr>
            <w:r>
              <w:rPr>
                <w:rFonts w:ascii="Arial" w:cs="Arial" w:eastAsia="Arial" w:hAnsi="Arial"/>
                <w:sz w:val="18"/>
                <w:szCs w:val="18"/>
                <w:color w:val="auto"/>
                <w:w w:val="90"/>
              </w:rPr>
              <w:t>Average Quarterly</w:t>
            </w:r>
          </w:p>
        </w:tc>
        <w:tc>
          <w:tcPr>
            <w:tcW w:w="620" w:type="dxa"/>
            <w:vAlign w:val="bottom"/>
            <w:tcBorders>
              <w:top w:val="single" w:sz="8" w:color="auto"/>
            </w:tcBorders>
          </w:tcPr>
          <w:p>
            <w:pPr>
              <w:spacing w:after="0"/>
              <w:rPr>
                <w:sz w:val="16"/>
                <w:szCs w:val="16"/>
                <w:color w:val="auto"/>
              </w:rPr>
            </w:pPr>
          </w:p>
        </w:tc>
        <w:tc>
          <w:tcPr>
            <w:tcW w:w="1900" w:type="dxa"/>
            <w:vAlign w:val="bottom"/>
            <w:tcBorders>
              <w:top w:val="single" w:sz="8" w:color="auto"/>
              <w:right w:val="single" w:sz="8" w:color="auto"/>
            </w:tcBorders>
            <w:gridSpan w:val="6"/>
          </w:tcPr>
          <w:p>
            <w:pPr>
              <w:jc w:val="center"/>
              <w:ind w:right="640"/>
              <w:spacing w:after="0" w:line="189" w:lineRule="exact"/>
              <w:rPr>
                <w:sz w:val="20"/>
                <w:szCs w:val="20"/>
                <w:color w:val="auto"/>
              </w:rPr>
            </w:pPr>
            <w:r>
              <w:rPr>
                <w:rFonts w:ascii="Arial" w:cs="Arial" w:eastAsia="Arial" w:hAnsi="Arial"/>
                <w:sz w:val="18"/>
                <w:szCs w:val="18"/>
                <w:color w:val="auto"/>
                <w:w w:val="92"/>
              </w:rPr>
              <w:t>Revolver</w:t>
            </w:r>
          </w:p>
        </w:tc>
        <w:tc>
          <w:tcPr>
            <w:tcW w:w="7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0" w:type="dxa"/>
            <w:vAlign w:val="bottom"/>
            <w:tcBorders>
              <w:top w:val="single" w:sz="8" w:color="auto"/>
              <w:right w:val="single" w:sz="8" w:color="auto"/>
            </w:tcBorders>
            <w:gridSpan w:val="5"/>
          </w:tcPr>
          <w:p>
            <w:pPr>
              <w:jc w:val="center"/>
              <w:ind w:right="940"/>
              <w:spacing w:after="0" w:line="189" w:lineRule="exact"/>
              <w:rPr>
                <w:sz w:val="20"/>
                <w:szCs w:val="20"/>
                <w:color w:val="auto"/>
              </w:rPr>
            </w:pPr>
            <w:r>
              <w:rPr>
                <w:rFonts w:ascii="Arial" w:cs="Arial" w:eastAsia="Arial" w:hAnsi="Arial"/>
                <w:sz w:val="18"/>
                <w:szCs w:val="18"/>
                <w:color w:val="auto"/>
                <w:w w:val="92"/>
              </w:rPr>
              <w:t>Revolver</w:t>
            </w:r>
          </w:p>
        </w:tc>
        <w:tc>
          <w:tcPr>
            <w:tcW w:w="520" w:type="dxa"/>
            <w:vAlign w:val="bottom"/>
            <w:tcBorders>
              <w:top w:val="single" w:sz="8" w:color="auto"/>
            </w:tcBorders>
          </w:tcPr>
          <w:p>
            <w:pPr>
              <w:spacing w:after="0"/>
              <w:rPr>
                <w:sz w:val="16"/>
                <w:szCs w:val="16"/>
                <w:color w:val="auto"/>
              </w:rPr>
            </w:pPr>
          </w:p>
        </w:tc>
        <w:tc>
          <w:tcPr>
            <w:tcW w:w="2000" w:type="dxa"/>
            <w:vAlign w:val="bottom"/>
            <w:tcBorders>
              <w:top w:val="single" w:sz="8" w:color="auto"/>
              <w:right w:val="single" w:sz="8" w:color="auto"/>
            </w:tcBorders>
            <w:gridSpan w:val="4"/>
            <w:vMerge w:val="restart"/>
          </w:tcPr>
          <w:p>
            <w:pPr>
              <w:jc w:val="center"/>
              <w:ind w:right="540"/>
              <w:spacing w:after="0"/>
              <w:rPr>
                <w:sz w:val="20"/>
                <w:szCs w:val="20"/>
                <w:color w:val="auto"/>
              </w:rPr>
            </w:pPr>
            <w:r>
              <w:rPr>
                <w:rFonts w:ascii="Arial" w:cs="Arial" w:eastAsia="Arial" w:hAnsi="Arial"/>
                <w:sz w:val="18"/>
                <w:szCs w:val="18"/>
                <w:color w:val="auto"/>
                <w:w w:val="92"/>
              </w:rPr>
              <w:t>Revolver Eurodollar</w:t>
            </w:r>
          </w:p>
        </w:tc>
        <w:tc>
          <w:tcPr>
            <w:tcW w:w="0" w:type="dxa"/>
            <w:vAlign w:val="bottom"/>
          </w:tcPr>
          <w:p>
            <w:pPr>
              <w:spacing w:after="0"/>
              <w:rPr>
                <w:sz w:val="1"/>
                <w:szCs w:val="1"/>
                <w:color w:val="auto"/>
              </w:rPr>
            </w:pPr>
          </w:p>
        </w:tc>
      </w:tr>
      <w:tr>
        <w:trPr>
          <w:trHeight w:val="20"/>
        </w:trPr>
        <w:tc>
          <w:tcPr>
            <w:tcW w:w="600" w:type="dxa"/>
            <w:vAlign w:val="bottom"/>
            <w:tcBorders>
              <w:left w:val="single" w:sz="8" w:color="auto"/>
            </w:tcBorders>
          </w:tcPr>
          <w:p>
            <w:pPr>
              <w:spacing w:after="0" w:line="20" w:lineRule="exact"/>
              <w:rPr>
                <w:sz w:val="1"/>
                <w:szCs w:val="1"/>
                <w:color w:val="auto"/>
              </w:rPr>
            </w:pPr>
          </w:p>
        </w:tc>
        <w:tc>
          <w:tcPr>
            <w:tcW w:w="1940" w:type="dxa"/>
            <w:vAlign w:val="bottom"/>
            <w:tcBorders>
              <w:right w:val="single" w:sz="8" w:color="auto"/>
            </w:tcBorders>
            <w:gridSpan w:val="6"/>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000" w:type="dxa"/>
            <w:vAlign w:val="bottom"/>
            <w:tcBorders>
              <w:right w:val="single" w:sz="8" w:color="auto"/>
            </w:tcBorders>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1940" w:type="dxa"/>
            <w:vAlign w:val="bottom"/>
            <w:tcBorders>
              <w:right w:val="single" w:sz="8" w:color="auto"/>
            </w:tcBorders>
            <w:gridSpan w:val="6"/>
            <w:vMerge w:val="continue"/>
          </w:tcPr>
          <w:p>
            <w:pPr>
              <w:spacing w:after="0"/>
              <w:rPr>
                <w:sz w:val="7"/>
                <w:szCs w:val="7"/>
                <w:color w:val="auto"/>
              </w:rPr>
            </w:pPr>
          </w:p>
        </w:tc>
        <w:tc>
          <w:tcPr>
            <w:tcW w:w="2520" w:type="dxa"/>
            <w:vAlign w:val="bottom"/>
            <w:tcBorders>
              <w:right w:val="single" w:sz="8" w:color="auto"/>
            </w:tcBorders>
            <w:gridSpan w:val="7"/>
            <w:vMerge w:val="restart"/>
          </w:tcPr>
          <w:p>
            <w:pPr>
              <w:jc w:val="center"/>
              <w:ind w:right="20"/>
              <w:spacing w:after="0" w:line="196" w:lineRule="exact"/>
              <w:rPr>
                <w:sz w:val="20"/>
                <w:szCs w:val="20"/>
                <w:color w:val="auto"/>
              </w:rPr>
            </w:pPr>
            <w:r>
              <w:rPr>
                <w:rFonts w:ascii="Arial" w:cs="Arial" w:eastAsia="Arial" w:hAnsi="Arial"/>
                <w:sz w:val="18"/>
                <w:szCs w:val="18"/>
                <w:color w:val="auto"/>
                <w:w w:val="91"/>
              </w:rPr>
              <w:t>CB Floating Rate</w:t>
            </w:r>
          </w:p>
        </w:tc>
        <w:tc>
          <w:tcPr>
            <w:tcW w:w="2520" w:type="dxa"/>
            <w:vAlign w:val="bottom"/>
            <w:tcBorders>
              <w:right w:val="single" w:sz="8" w:color="auto"/>
            </w:tcBorders>
            <w:gridSpan w:val="7"/>
            <w:vMerge w:val="restart"/>
          </w:tcPr>
          <w:p>
            <w:pPr>
              <w:jc w:val="center"/>
              <w:spacing w:after="0" w:line="196" w:lineRule="exact"/>
              <w:rPr>
                <w:sz w:val="20"/>
                <w:szCs w:val="20"/>
                <w:color w:val="auto"/>
              </w:rPr>
            </w:pPr>
            <w:r>
              <w:rPr>
                <w:rFonts w:ascii="Arial" w:cs="Arial" w:eastAsia="Arial" w:hAnsi="Arial"/>
                <w:sz w:val="18"/>
                <w:szCs w:val="18"/>
                <w:color w:val="auto"/>
                <w:w w:val="97"/>
              </w:rPr>
              <w:t>REVLIBOR30</w:t>
            </w:r>
          </w:p>
        </w:tc>
        <w:tc>
          <w:tcPr>
            <w:tcW w:w="520" w:type="dxa"/>
            <w:vAlign w:val="bottom"/>
            <w:vMerge w:val="continue"/>
          </w:tcPr>
          <w:p>
            <w:pPr>
              <w:spacing w:after="0"/>
              <w:rPr>
                <w:sz w:val="7"/>
                <w:szCs w:val="7"/>
                <w:color w:val="auto"/>
              </w:rPr>
            </w:pPr>
          </w:p>
        </w:tc>
        <w:tc>
          <w:tcPr>
            <w:tcW w:w="2000" w:type="dxa"/>
            <w:vAlign w:val="bottom"/>
            <w:tcBorders>
              <w:right w:val="single" w:sz="8" w:color="auto"/>
            </w:tcBorders>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1320" w:type="dxa"/>
            <w:vAlign w:val="bottom"/>
            <w:tcBorders>
              <w:top w:val="single" w:sz="8" w:color="auto"/>
            </w:tcBorders>
            <w:gridSpan w:val="5"/>
            <w:vMerge w:val="restart"/>
          </w:tcPr>
          <w:p>
            <w:pPr>
              <w:jc w:val="center"/>
              <w:spacing w:after="0" w:line="196" w:lineRule="exact"/>
              <w:rPr>
                <w:sz w:val="20"/>
                <w:szCs w:val="20"/>
                <w:color w:val="auto"/>
              </w:rPr>
            </w:pPr>
            <w:r>
              <w:rPr>
                <w:rFonts w:ascii="Arial" w:cs="Arial" w:eastAsia="Arial" w:hAnsi="Arial"/>
                <w:sz w:val="18"/>
                <w:szCs w:val="18"/>
                <w:color w:val="auto"/>
                <w:w w:val="98"/>
              </w:rPr>
              <w:t>Availability</w:t>
            </w:r>
          </w:p>
        </w:tc>
        <w:tc>
          <w:tcPr>
            <w:tcW w:w="620" w:type="dxa"/>
            <w:vAlign w:val="bottom"/>
            <w:tcBorders>
              <w:right w:val="single" w:sz="8" w:color="auto"/>
            </w:tcBorders>
            <w:vMerge w:val="restart"/>
          </w:tcPr>
          <w:p>
            <w:pPr>
              <w:spacing w:after="0"/>
              <w:rPr>
                <w:sz w:val="7"/>
                <w:szCs w:val="7"/>
                <w:color w:val="auto"/>
              </w:rPr>
            </w:pPr>
          </w:p>
        </w:tc>
        <w:tc>
          <w:tcPr>
            <w:tcW w:w="2520" w:type="dxa"/>
            <w:vAlign w:val="bottom"/>
            <w:tcBorders>
              <w:right w:val="single" w:sz="8" w:color="auto"/>
            </w:tcBorders>
            <w:gridSpan w:val="7"/>
            <w:vMerge w:val="continue"/>
          </w:tcPr>
          <w:p>
            <w:pPr>
              <w:spacing w:after="0"/>
              <w:rPr>
                <w:sz w:val="7"/>
                <w:szCs w:val="7"/>
                <w:color w:val="auto"/>
              </w:rPr>
            </w:pPr>
          </w:p>
        </w:tc>
        <w:tc>
          <w:tcPr>
            <w:tcW w:w="2520" w:type="dxa"/>
            <w:vAlign w:val="bottom"/>
            <w:tcBorders>
              <w:right w:val="single" w:sz="8" w:color="auto"/>
            </w:tcBorders>
            <w:gridSpan w:val="7"/>
            <w:vMerge w:val="continue"/>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gridSpan w:val="2"/>
            <w:vMerge w:val="restart"/>
          </w:tcPr>
          <w:p>
            <w:pPr>
              <w:jc w:val="center"/>
              <w:ind w:right="480"/>
              <w:spacing w:after="0" w:line="196" w:lineRule="exact"/>
              <w:rPr>
                <w:sz w:val="20"/>
                <w:szCs w:val="20"/>
                <w:color w:val="auto"/>
              </w:rPr>
            </w:pPr>
            <w:r>
              <w:rPr>
                <w:rFonts w:ascii="Arial" w:cs="Arial" w:eastAsia="Arial" w:hAnsi="Arial"/>
                <w:sz w:val="18"/>
                <w:szCs w:val="18"/>
                <w:color w:val="auto"/>
                <w:w w:val="86"/>
              </w:rPr>
              <w:t>Spread</w:t>
            </w:r>
          </w:p>
        </w:tc>
        <w:tc>
          <w:tcPr>
            <w:tcW w:w="540" w:type="dxa"/>
            <w:vAlign w:val="bottom"/>
            <w:tcBorders>
              <w:right w:val="single" w:sz="8" w:color="auto"/>
            </w:tcBorders>
            <w:vMerge w:val="restart"/>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1320" w:type="dxa"/>
            <w:vAlign w:val="bottom"/>
            <w:tcBorders>
              <w:top w:val="single" w:sz="8" w:color="auto"/>
            </w:tcBorders>
            <w:gridSpan w:val="5"/>
            <w:vMerge w:val="continue"/>
          </w:tcPr>
          <w:p>
            <w:pPr>
              <w:spacing w:after="0"/>
              <w:rPr>
                <w:sz w:val="7"/>
                <w:szCs w:val="7"/>
                <w:color w:val="auto"/>
              </w:rPr>
            </w:pPr>
          </w:p>
        </w:tc>
        <w:tc>
          <w:tcPr>
            <w:tcW w:w="620" w:type="dxa"/>
            <w:vAlign w:val="bottom"/>
            <w:tcBorders>
              <w:right w:val="single" w:sz="8" w:color="auto"/>
            </w:tcBorders>
            <w:vMerge w:val="continue"/>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3"/>
            <w:vMerge w:val="restart"/>
          </w:tcPr>
          <w:p>
            <w:pPr>
              <w:jc w:val="center"/>
              <w:ind w:right="380"/>
              <w:spacing w:after="0" w:line="196" w:lineRule="exact"/>
              <w:rPr>
                <w:sz w:val="20"/>
                <w:szCs w:val="20"/>
                <w:color w:val="auto"/>
              </w:rPr>
            </w:pPr>
            <w:r>
              <w:rPr>
                <w:rFonts w:ascii="Arial" w:cs="Arial" w:eastAsia="Arial" w:hAnsi="Arial"/>
                <w:sz w:val="18"/>
                <w:szCs w:val="18"/>
                <w:color w:val="auto"/>
                <w:w w:val="86"/>
              </w:rPr>
              <w:t>Spread</w:t>
            </w:r>
          </w:p>
        </w:tc>
        <w:tc>
          <w:tcPr>
            <w:tcW w:w="640" w:type="dxa"/>
            <w:vAlign w:val="bottom"/>
            <w:tcBorders>
              <w:right w:val="single" w:sz="8" w:color="auto"/>
            </w:tcBorders>
            <w:vMerge w:val="restart"/>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880" w:type="dxa"/>
            <w:vAlign w:val="bottom"/>
            <w:tcBorders>
              <w:top w:val="single" w:sz="8" w:color="auto"/>
            </w:tcBorders>
            <w:gridSpan w:val="4"/>
            <w:vMerge w:val="restart"/>
          </w:tcPr>
          <w:p>
            <w:pPr>
              <w:jc w:val="center"/>
              <w:ind w:right="220"/>
              <w:spacing w:after="0" w:line="196" w:lineRule="exact"/>
              <w:rPr>
                <w:sz w:val="20"/>
                <w:szCs w:val="20"/>
                <w:color w:val="auto"/>
              </w:rPr>
            </w:pPr>
            <w:r>
              <w:rPr>
                <w:rFonts w:ascii="Arial" w:cs="Arial" w:eastAsia="Arial" w:hAnsi="Arial"/>
                <w:sz w:val="18"/>
                <w:szCs w:val="18"/>
                <w:color w:val="auto"/>
                <w:w w:val="86"/>
              </w:rPr>
              <w:t>Spread</w:t>
            </w:r>
          </w:p>
        </w:tc>
        <w:tc>
          <w:tcPr>
            <w:tcW w:w="720" w:type="dxa"/>
            <w:vAlign w:val="bottom"/>
            <w:tcBorders>
              <w:right w:val="single" w:sz="8" w:color="auto"/>
            </w:tcBorders>
            <w:vMerge w:val="restart"/>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Borders>
              <w:top w:val="single" w:sz="8" w:color="auto"/>
            </w:tcBorders>
            <w:gridSpan w:val="2"/>
            <w:vMerge w:val="continue"/>
          </w:tcPr>
          <w:p>
            <w:pPr>
              <w:spacing w:after="0"/>
              <w:rPr>
                <w:sz w:val="7"/>
                <w:szCs w:val="7"/>
                <w:color w:val="auto"/>
              </w:rPr>
            </w:pPr>
          </w:p>
        </w:tc>
        <w:tc>
          <w:tcPr>
            <w:tcW w:w="5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600" w:type="dxa"/>
            <w:vAlign w:val="bottom"/>
            <w:tcBorders>
              <w:left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620" w:type="dxa"/>
            <w:vAlign w:val="bottom"/>
            <w:tcBorders>
              <w:right w:val="single" w:sz="8" w:color="auto"/>
            </w:tcBorders>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Borders>
              <w:top w:val="single" w:sz="8" w:color="auto"/>
            </w:tcBorders>
            <w:gridSpan w:val="3"/>
            <w:vMerge w:val="continue"/>
          </w:tcPr>
          <w:p>
            <w:pPr>
              <w:spacing w:after="0"/>
              <w:rPr>
                <w:sz w:val="7"/>
                <w:szCs w:val="7"/>
                <w:color w:val="auto"/>
              </w:rPr>
            </w:pPr>
          </w:p>
        </w:tc>
        <w:tc>
          <w:tcPr>
            <w:tcW w:w="640" w:type="dxa"/>
            <w:vAlign w:val="bottom"/>
            <w:tcBorders>
              <w:right w:val="single" w:sz="8" w:color="auto"/>
            </w:tcBorders>
            <w:vMerge w:val="continue"/>
          </w:tcPr>
          <w:p>
            <w:pPr>
              <w:spacing w:after="0"/>
              <w:rPr>
                <w:sz w:val="7"/>
                <w:szCs w:val="7"/>
                <w:color w:val="auto"/>
              </w:rPr>
            </w:pPr>
          </w:p>
        </w:tc>
        <w:tc>
          <w:tcPr>
            <w:tcW w:w="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80" w:type="dxa"/>
            <w:vAlign w:val="bottom"/>
            <w:tcBorders>
              <w:top w:val="single" w:sz="8" w:color="auto"/>
            </w:tcBorders>
            <w:gridSpan w:val="4"/>
            <w:vMerge w:val="continue"/>
          </w:tcPr>
          <w:p>
            <w:pPr>
              <w:spacing w:after="0"/>
              <w:rPr>
                <w:sz w:val="7"/>
                <w:szCs w:val="7"/>
                <w:color w:val="auto"/>
              </w:rPr>
            </w:pPr>
          </w:p>
        </w:tc>
        <w:tc>
          <w:tcPr>
            <w:tcW w:w="720" w:type="dxa"/>
            <w:vAlign w:val="bottom"/>
            <w:tcBorders>
              <w:right w:val="single" w:sz="8" w:color="auto"/>
            </w:tcBorders>
            <w:vMerge w:val="continue"/>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00" w:type="dxa"/>
            <w:vAlign w:val="bottom"/>
            <w:tcBorders>
              <w:left w:val="single" w:sz="8" w:color="auto"/>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right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right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0"/>
              </w:rPr>
              <w:t>Category 1</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auto"/>
            </w:tcBorders>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540" w:type="dxa"/>
            <w:vAlign w:val="bottom"/>
            <w:tcBorders>
              <w:left w:val="single" w:sz="8" w:color="auto"/>
              <w:right w:val="single" w:sz="8" w:color="auto"/>
            </w:tcBorders>
            <w:gridSpan w:val="7"/>
          </w:tcPr>
          <w:p>
            <w:pPr>
              <w:jc w:val="center"/>
              <w:ind w:right="20"/>
              <w:spacing w:after="0"/>
              <w:rPr>
                <w:sz w:val="20"/>
                <w:szCs w:val="20"/>
                <w:color w:val="auto"/>
              </w:rPr>
            </w:pPr>
            <w:r>
              <w:rPr>
                <w:rFonts w:ascii="Arial" w:cs="Arial" w:eastAsia="Arial" w:hAnsi="Arial"/>
                <w:sz w:val="18"/>
                <w:szCs w:val="18"/>
                <w:color w:val="auto"/>
                <w:w w:val="93"/>
              </w:rPr>
              <w:t>³ 20% of the Borrowing</w:t>
            </w:r>
          </w:p>
        </w:tc>
        <w:tc>
          <w:tcPr>
            <w:tcW w:w="1500" w:type="dxa"/>
            <w:vAlign w:val="bottom"/>
            <w:gridSpan w:val="4"/>
            <w:vMerge w:val="restart"/>
          </w:tcPr>
          <w:p>
            <w:pPr>
              <w:jc w:val="center"/>
              <w:ind w:left="910"/>
              <w:spacing w:after="0"/>
              <w:rPr>
                <w:sz w:val="20"/>
                <w:szCs w:val="20"/>
                <w:color w:val="auto"/>
              </w:rPr>
            </w:pPr>
            <w:r>
              <w:rPr>
                <w:rFonts w:ascii="Arial" w:cs="Arial" w:eastAsia="Arial" w:hAnsi="Arial"/>
                <w:sz w:val="18"/>
                <w:szCs w:val="18"/>
                <w:color w:val="auto"/>
                <w:w w:val="90"/>
              </w:rPr>
              <w:t>0.00%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500" w:type="dxa"/>
            <w:vAlign w:val="bottom"/>
            <w:gridSpan w:val="4"/>
            <w:vMerge w:val="restart"/>
          </w:tcPr>
          <w:p>
            <w:pPr>
              <w:jc w:val="center"/>
              <w:ind w:left="910"/>
              <w:spacing w:after="0"/>
              <w:rPr>
                <w:sz w:val="20"/>
                <w:szCs w:val="20"/>
                <w:color w:val="auto"/>
              </w:rPr>
            </w:pPr>
            <w:r>
              <w:rPr>
                <w:rFonts w:ascii="Arial" w:cs="Arial" w:eastAsia="Arial" w:hAnsi="Arial"/>
                <w:sz w:val="18"/>
                <w:szCs w:val="18"/>
                <w:color w:val="auto"/>
                <w:w w:val="90"/>
              </w:rPr>
              <w:t>2.00%</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500" w:type="dxa"/>
            <w:vAlign w:val="bottom"/>
            <w:gridSpan w:val="3"/>
            <w:vMerge w:val="restart"/>
          </w:tcPr>
          <w:p>
            <w:pPr>
              <w:jc w:val="center"/>
              <w:ind w:left="910"/>
              <w:spacing w:after="0"/>
              <w:rPr>
                <w:sz w:val="20"/>
                <w:szCs w:val="20"/>
                <w:color w:val="auto"/>
              </w:rPr>
            </w:pPr>
            <w:r>
              <w:rPr>
                <w:rFonts w:ascii="Arial" w:cs="Arial" w:eastAsia="Arial" w:hAnsi="Arial"/>
                <w:sz w:val="18"/>
                <w:szCs w:val="18"/>
                <w:color w:val="auto"/>
                <w:w w:val="90"/>
              </w:rPr>
              <w:t>2.00%</w:t>
            </w:r>
          </w:p>
        </w:tc>
        <w:tc>
          <w:tcPr>
            <w:tcW w:w="4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80" w:type="dxa"/>
            <w:vAlign w:val="bottom"/>
            <w:tcBorders>
              <w:right w:val="single" w:sz="8" w:color="auto"/>
            </w:tcBorders>
            <w:gridSpan w:val="4"/>
            <w:vMerge w:val="restart"/>
          </w:tcPr>
          <w:p>
            <w:pPr>
              <w:jc w:val="center"/>
              <w:ind w:right="880"/>
              <w:spacing w:after="0"/>
              <w:rPr>
                <w:sz w:val="20"/>
                <w:szCs w:val="20"/>
                <w:color w:val="auto"/>
              </w:rPr>
            </w:pPr>
            <w:r>
              <w:rPr>
                <w:rFonts w:ascii="Arial" w:cs="Arial" w:eastAsia="Arial" w:hAnsi="Arial"/>
                <w:sz w:val="18"/>
                <w:szCs w:val="18"/>
                <w:color w:val="auto"/>
                <w:w w:val="87"/>
              </w:rPr>
              <w:t>Base</w:t>
            </w:r>
          </w:p>
        </w:tc>
        <w:tc>
          <w:tcPr>
            <w:tcW w:w="15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5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1500" w:type="dxa"/>
            <w:vAlign w:val="bottom"/>
            <w:gridSpan w:val="3"/>
            <w:vMerge w:val="continue"/>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00" w:type="dxa"/>
            <w:vAlign w:val="bottom"/>
            <w:tcBorders>
              <w:left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right w:val="single" w:sz="8" w:color="auto"/>
            </w:tcBorders>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60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Borders>
              <w:right w:val="single" w:sz="8" w:color="auto"/>
            </w:tcBorders>
            <w:gridSpan w:val="4"/>
          </w:tcPr>
          <w:p>
            <w:pPr>
              <w:jc w:val="center"/>
              <w:ind w:right="880"/>
              <w:spacing w:after="0"/>
              <w:rPr>
                <w:sz w:val="20"/>
                <w:szCs w:val="20"/>
                <w:color w:val="auto"/>
              </w:rPr>
            </w:pPr>
            <w:r>
              <w:rPr>
                <w:rFonts w:ascii="Arial" w:cs="Arial" w:eastAsia="Arial" w:hAnsi="Arial"/>
                <w:sz w:val="18"/>
                <w:szCs w:val="18"/>
                <w:color w:val="auto"/>
                <w:w w:val="90"/>
              </w:rPr>
              <w:t>Category 2</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60" w:type="dxa"/>
            <w:vAlign w:val="bottom"/>
            <w:tcBorders>
              <w:left w:val="single" w:sz="8" w:color="auto"/>
            </w:tcBorders>
            <w:gridSpan w:val="3"/>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gridSpan w:val="3"/>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40" w:type="dxa"/>
            <w:vAlign w:val="bottom"/>
            <w:tcBorders>
              <w:left w:val="single" w:sz="8" w:color="auto"/>
              <w:right w:val="single" w:sz="8" w:color="auto"/>
            </w:tcBorders>
            <w:gridSpan w:val="7"/>
          </w:tcPr>
          <w:p>
            <w:pPr>
              <w:jc w:val="center"/>
              <w:ind w:right="20"/>
              <w:spacing w:after="0"/>
              <w:rPr>
                <w:sz w:val="20"/>
                <w:szCs w:val="20"/>
                <w:color w:val="auto"/>
              </w:rPr>
            </w:pPr>
            <w:r>
              <w:rPr>
                <w:rFonts w:ascii="Arial" w:cs="Arial" w:eastAsia="Arial" w:hAnsi="Arial"/>
                <w:sz w:val="18"/>
                <w:szCs w:val="18"/>
                <w:color w:val="auto"/>
                <w:w w:val="92"/>
              </w:rPr>
              <w:t>&lt; 20% of the Borrowing Base</w:t>
            </w:r>
          </w:p>
        </w:tc>
        <w:tc>
          <w:tcPr>
            <w:tcW w:w="1500" w:type="dxa"/>
            <w:vAlign w:val="bottom"/>
            <w:gridSpan w:val="4"/>
          </w:tcPr>
          <w:p>
            <w:pPr>
              <w:jc w:val="center"/>
              <w:ind w:left="910"/>
              <w:spacing w:after="0"/>
              <w:rPr>
                <w:sz w:val="20"/>
                <w:szCs w:val="20"/>
                <w:color w:val="auto"/>
              </w:rPr>
            </w:pPr>
            <w:r>
              <w:rPr>
                <w:rFonts w:ascii="Arial" w:cs="Arial" w:eastAsia="Arial" w:hAnsi="Arial"/>
                <w:sz w:val="18"/>
                <w:szCs w:val="18"/>
                <w:color w:val="auto"/>
                <w:w w:val="90"/>
              </w:rPr>
              <w:t>0.25%</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500" w:type="dxa"/>
            <w:vAlign w:val="bottom"/>
            <w:gridSpan w:val="4"/>
          </w:tcPr>
          <w:p>
            <w:pPr>
              <w:jc w:val="center"/>
              <w:ind w:left="910"/>
              <w:spacing w:after="0"/>
              <w:rPr>
                <w:sz w:val="20"/>
                <w:szCs w:val="20"/>
                <w:color w:val="auto"/>
              </w:rPr>
            </w:pPr>
            <w:r>
              <w:rPr>
                <w:rFonts w:ascii="Arial" w:cs="Arial" w:eastAsia="Arial" w:hAnsi="Arial"/>
                <w:sz w:val="18"/>
                <w:szCs w:val="18"/>
                <w:color w:val="auto"/>
                <w:w w:val="90"/>
              </w:rPr>
              <w:t>2.25%</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right w:val="single" w:sz="8" w:color="auto"/>
            </w:tcBorders>
          </w:tcPr>
          <w:p>
            <w:pPr>
              <w:spacing w:after="0"/>
              <w:rPr>
                <w:sz w:val="24"/>
                <w:szCs w:val="24"/>
                <w:color w:val="auto"/>
              </w:rPr>
            </w:pPr>
          </w:p>
        </w:tc>
        <w:tc>
          <w:tcPr>
            <w:tcW w:w="1500" w:type="dxa"/>
            <w:vAlign w:val="bottom"/>
            <w:gridSpan w:val="3"/>
          </w:tcPr>
          <w:p>
            <w:pPr>
              <w:jc w:val="center"/>
              <w:ind w:left="910"/>
              <w:spacing w:after="0"/>
              <w:rPr>
                <w:sz w:val="20"/>
                <w:szCs w:val="20"/>
                <w:color w:val="auto"/>
              </w:rPr>
            </w:pPr>
            <w:r>
              <w:rPr>
                <w:rFonts w:ascii="Arial" w:cs="Arial" w:eastAsia="Arial" w:hAnsi="Arial"/>
                <w:sz w:val="18"/>
                <w:szCs w:val="18"/>
                <w:color w:val="auto"/>
                <w:w w:val="90"/>
              </w:rPr>
              <w:t>2.25%</w:t>
            </w:r>
          </w:p>
        </w:tc>
        <w:tc>
          <w:tcPr>
            <w:tcW w:w="48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For purposes of the foregoing, each change in the Applicable Rate resulting from a change in Average Quarterly Availability shall be effective during the period commencing on and including the first day of each fiscal quarter of the Company and ending on the last day of such fiscal quarter, it being understood and agreed that, for purposes of determining the Applicable Rate on the first day of any fiscal quarter of the Company, the Average Quarterly Availability during the most recently ended fiscal quarter of the Company shall be used. Notwithstanding the foregoing, the Average Quarterly Availability shall be deemed to be in Category 2 (A) at any time that an Event of Default has occurred and is continuing or (B) at the option of the Administrative Agent or at the request of the Required Lenders if the Borrowers fail to deliver any Borrowing Base Certificate or related information required to be delivered by them pursuant to Section 5.01, during the period from the expiration of the time for delivery thereof until each such Borrowing Base Certificate and related information is so delivered.</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color w:val="auto"/>
        </w:rPr>
        <w:t>If at any time the Administrative Agent determines that any Borrowing Base Certificate or related information based on which Availability and/or such Average Quarterly Availability and the corresponding Applicable Rate was determined, as applicable, was incorrect (whether based on a restatement, fraud or otherwise), the Borrowers shall be required to retroactively pay any additional amount that the Borrowers would have been required to pay if such Borrowing Base Certificate or related information based upon which Availability and/or such Average Quarterly Availability was determined had been accurate at the time it was delivered.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Electronic Platform</w:t>
      </w:r>
      <w:r>
        <w:rPr>
          <w:rFonts w:ascii="Arial" w:cs="Arial" w:eastAsia="Arial" w:hAnsi="Arial"/>
          <w:sz w:val="18"/>
          <w:szCs w:val="18"/>
          <w:color w:val="auto"/>
        </w:rPr>
        <w:t>” has the meaning assigned to it in Section 8.03(a).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Approved Fund</w:t>
      </w:r>
      <w:r>
        <w:rPr>
          <w:rFonts w:ascii="Arial" w:cs="Arial" w:eastAsia="Arial" w:hAnsi="Arial"/>
          <w:sz w:val="18"/>
          <w:szCs w:val="18"/>
          <w:color w:val="auto"/>
        </w:rPr>
        <w:t>” has the meaning assigned to such term in Section 9.04.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JPMorgan Chase Bank, N.A. in its capacity as sole bookrunner and sole lead arranger hereunder.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means an assignment and assumption agreement entered into by a Lender and an assignee (with the consent of any party whose consent is required by Section 9.04), and accepted by the Administrative Agent, in the form of Exhibit A or any other form (including electronic records generated by the use of an electronic platform) approved by the Administrative Agent.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w:t>
      </w:r>
      <w:r>
        <w:rPr>
          <w:rFonts w:ascii="Arial" w:cs="Arial" w:eastAsia="Arial" w:hAnsi="Arial"/>
          <w:sz w:val="18"/>
          <w:szCs w:val="18"/>
          <w:color w:val="auto"/>
        </w:rPr>
        <w:t xml:space="preserve">” means, at any time, an amount equal to (a) the lesser of (i) the Aggregate Revolving Commitment and (ii) the Borrowing Base </w:t>
      </w:r>
      <w:r>
        <w:rPr>
          <w:rFonts w:ascii="Arial" w:cs="Arial" w:eastAsia="Arial" w:hAnsi="Arial"/>
          <w:sz w:val="18"/>
          <w:szCs w:val="18"/>
          <w:i w:val="1"/>
          <w:iCs w:val="1"/>
          <w:u w:val="single" w:color="auto"/>
          <w:color w:val="auto"/>
        </w:rPr>
        <w:t>minus</w:t>
      </w:r>
      <w:r>
        <w:rPr>
          <w:rFonts w:ascii="Arial" w:cs="Arial" w:eastAsia="Arial" w:hAnsi="Arial"/>
          <w:sz w:val="18"/>
          <w:szCs w:val="18"/>
          <w:i w:val="1"/>
          <w:iCs w:val="1"/>
          <w:color w:val="auto"/>
        </w:rPr>
        <w:t xml:space="preserve"> </w:t>
      </w:r>
      <w:r>
        <w:rPr>
          <w:rFonts w:ascii="Arial" w:cs="Arial" w:eastAsia="Arial" w:hAnsi="Arial"/>
          <w:sz w:val="18"/>
          <w:szCs w:val="18"/>
          <w:color w:val="auto"/>
        </w:rPr>
        <w:t>(b) the Aggregate Revolving Exposure (calculated, with respect to any Defaulting Lender, as if such Defaulting Lender had funded its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Percentage of all outstanding Borrowings).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Revolving Commitments.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Revolving Commitment</w:t>
      </w:r>
      <w:r>
        <w:rPr>
          <w:rFonts w:ascii="Arial" w:cs="Arial" w:eastAsia="Arial" w:hAnsi="Arial"/>
          <w:sz w:val="17"/>
          <w:szCs w:val="17"/>
          <w:color w:val="auto"/>
        </w:rPr>
        <w:t xml:space="preserve">” means, at any time, the Aggregate Revolving Commitment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the Aggregate Revolving Exposure (calculated, with respect to any Defaulting Lender, as if such Defaulting Lender had funded its Applicable Percentage of all outstanding Borrowings).</w:t>
      </w:r>
    </w:p>
    <w:p>
      <w:pPr>
        <w:spacing w:after="0" w:line="1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w:t>
      </w:r>
      <w:r>
        <w:rPr>
          <w:rFonts w:ascii="Arial" w:cs="Arial" w:eastAsia="Arial" w:hAnsi="Arial"/>
          <w:sz w:val="18"/>
          <w:szCs w:val="18"/>
          <w:u w:val="single" w:color="auto"/>
          <w:color w:val="auto"/>
        </w:rPr>
        <w:t>Interest Period</w:t>
      </w:r>
      <w:r>
        <w:rPr>
          <w:rFonts w:ascii="Arial" w:cs="Arial" w:eastAsia="Arial" w:hAnsi="Arial"/>
          <w:sz w:val="18"/>
          <w:szCs w:val="18"/>
          <w:color w:val="auto"/>
        </w:rPr>
        <w:t>” pursuant to clause (g) of Section 2.14.</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Quarterly Availability</w:t>
      </w:r>
      <w:r>
        <w:rPr>
          <w:rFonts w:ascii="Arial" w:cs="Arial" w:eastAsia="Arial" w:hAnsi="Arial"/>
          <w:sz w:val="18"/>
          <w:szCs w:val="18"/>
          <w:color w:val="auto"/>
        </w:rPr>
        <w:t xml:space="preserve">” means, for any fiscal quarter of the Company, an amount equal to the average daily Availability during such fiscal quarter, as determined by the Administrative Agent’s system of records; </w:t>
      </w:r>
      <w:r>
        <w:rPr>
          <w:rFonts w:ascii="Arial" w:cs="Arial" w:eastAsia="Arial" w:hAnsi="Arial"/>
          <w:sz w:val="18"/>
          <w:szCs w:val="18"/>
          <w:u w:val="single" w:color="auto"/>
          <w:color w:val="auto"/>
        </w:rPr>
        <w:t>provided</w:t>
      </w:r>
      <w:r>
        <w:rPr>
          <w:rFonts w:ascii="Arial" w:cs="Arial" w:eastAsia="Arial" w:hAnsi="Arial"/>
          <w:sz w:val="18"/>
          <w:szCs w:val="18"/>
          <w:color w:val="auto"/>
        </w:rPr>
        <w:t>, that in order to determine Availability on any day for purposes of this definition, the Borrowing Base for such day shall be determined by reference to the most recent Borrowing Base Certificate delivered to the Administrative Agent pursuant to Section 5.01 as of such day.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Revolver Usage</w:t>
      </w:r>
      <w:r>
        <w:rPr>
          <w:rFonts w:ascii="Arial" w:cs="Arial" w:eastAsia="Arial" w:hAnsi="Arial"/>
          <w:sz w:val="18"/>
          <w:szCs w:val="18"/>
          <w:color w:val="auto"/>
        </w:rPr>
        <w:t>” shall mean, with respect to any period, the sum of the aggregate amount of Revolving Exposure for each day in such period (calculated as of the end of each respective day) divided by the number of days in such period.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1" w:name="page42"/>
    <w:bookmarkEnd w:id="4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Bail-In Legislation</w:t>
      </w:r>
      <w:r>
        <w:rPr>
          <w:rFonts w:ascii="Arial" w:cs="Arial" w:eastAsia="Arial" w:hAnsi="Arial"/>
          <w:sz w:val="16"/>
          <w:szCs w:val="16"/>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w:t>
      </w:r>
      <w:r>
        <w:rPr>
          <w:rFonts w:ascii="Arial" w:cs="Arial" w:eastAsia="Arial" w:hAnsi="Arial"/>
          <w:sz w:val="18"/>
          <w:szCs w:val="18"/>
          <w:color w:val="auto"/>
        </w:rPr>
        <w:t>” means each and any of the following bank services provided to any Loan Party or its Subsidiaries by JPMCB or any of its Affiliates: (a) credit cards for commercial customers (including, without limitation, “</w:t>
      </w:r>
      <w:r>
        <w:rPr>
          <w:rFonts w:ascii="Arial" w:cs="Arial" w:eastAsia="Arial" w:hAnsi="Arial"/>
          <w:sz w:val="18"/>
          <w:szCs w:val="18"/>
          <w:u w:val="single" w:color="auto"/>
          <w:color w:val="auto"/>
        </w:rPr>
        <w:t>commercial credit cards</w:t>
      </w:r>
      <w:r>
        <w:rPr>
          <w:rFonts w:ascii="Arial" w:cs="Arial" w:eastAsia="Arial" w:hAnsi="Arial"/>
          <w:sz w:val="18"/>
          <w:szCs w:val="18"/>
          <w:color w:val="auto"/>
        </w:rPr>
        <w:t>” and purchasing cards), (b) stored value cards, (c) merchant processing services, (d) treasury management services (including, without limitation, controlled disbursement, automated clearinghouse transactions, return items, any direct debit scheme or arrangement, overdrafts, cash pooling services, and interstate depository network services), and (e) Lease Financing.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xml:space="preserve">” means any and all obligations of the Loan Parties and their Subsidiaries, whether absolute or contingent and howsoever and whensoever created, arising, evidenced or acquired (including all renewals, extensions and modifications thereof and substitutions therefor) in connection with Banking Services;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Banking Services Obligations in respect of Lease Financing shall be limited to Lease Deficiency Obligations.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Reserves</w:t>
      </w:r>
      <w:r>
        <w:rPr>
          <w:rFonts w:ascii="Arial" w:cs="Arial" w:eastAsia="Arial" w:hAnsi="Arial"/>
          <w:sz w:val="18"/>
          <w:szCs w:val="18"/>
          <w:color w:val="auto"/>
        </w:rPr>
        <w:t>” means all Reserves which the Administrative Agent from time to time establishes in its Permitted Discretion for Banking Services then provided or outstanding.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means Title 11 of the United States Code entitled “</w:t>
      </w:r>
      <w:r>
        <w:rPr>
          <w:rFonts w:ascii="Arial" w:cs="Arial" w:eastAsia="Arial" w:hAnsi="Arial"/>
          <w:sz w:val="17"/>
          <w:szCs w:val="17"/>
          <w:u w:val="single" w:color="auto"/>
          <w:color w:val="auto"/>
        </w:rPr>
        <w:t>Bankruptcy</w:t>
      </w:r>
      <w:r>
        <w:rPr>
          <w:rFonts w:ascii="Arial" w:cs="Arial" w:eastAsia="Arial" w:hAnsi="Arial"/>
          <w:sz w:val="17"/>
          <w:szCs w:val="17"/>
          <w:color w:val="auto"/>
        </w:rPr>
        <w:t>”, as now and hereafter in effect, or any successor statute.</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Event</w:t>
      </w:r>
      <w:r>
        <w:rPr>
          <w:rFonts w:ascii="Arial" w:cs="Arial" w:eastAsia="Arial" w:hAnsi="Arial"/>
          <w:sz w:val="18"/>
          <w:szCs w:val="18"/>
          <w:color w:val="auto"/>
        </w:rPr>
        <w:t xml:space="preserve">” means, with respect to any Person, when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U.S. or from the enforcement of judgments or writs of attachment on its assets or permits such Person (or such Governmental Authority or instrumentality) to reject, repudiate, disavow or disaffirm any contracts or agreements made by such Person.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means, initially, LIBO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a Benchmark Transition Event, a Term SOFR Transition Event, an Early Opt-in Election or an Other Benchmark Rate Election, as applicable, and its related Benchmark Replacement Date have occurred with respect to LIBO Rate or the then-current Benchmark, then “</w:t>
      </w:r>
      <w:r>
        <w:rPr>
          <w:rFonts w:ascii="Arial" w:cs="Arial" w:eastAsia="Arial" w:hAnsi="Arial"/>
          <w:sz w:val="18"/>
          <w:szCs w:val="18"/>
          <w:u w:val="single" w:color="auto"/>
          <w:color w:val="auto"/>
        </w:rPr>
        <w:t>Benchmark</w:t>
      </w:r>
      <w:r>
        <w:rPr>
          <w:rFonts w:ascii="Arial" w:cs="Arial" w:eastAsia="Arial" w:hAnsi="Arial"/>
          <w:sz w:val="18"/>
          <w:szCs w:val="18"/>
          <w:color w:val="auto"/>
        </w:rPr>
        <w:t>” means the applicable Benchmark Replacement to the extent that such Benchmark Replacement has replaced such prior benchmark rate pursuant to clause (c) or clause (d) of Section 2.14.</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2" w:name="page43"/>
    <w:bookmarkEnd w:id="42"/>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 Other Benchmark Rate Election, “</w:t>
      </w:r>
      <w:r>
        <w:rPr>
          <w:rFonts w:ascii="Arial" w:cs="Arial" w:eastAsia="Arial" w:hAnsi="Arial"/>
          <w:sz w:val="18"/>
          <w:szCs w:val="18"/>
          <w:u w:val="single" w:color="auto"/>
          <w:color w:val="auto"/>
        </w:rPr>
        <w:t>Benchmark</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w:t>
      </w:r>
      <w:r>
        <w:rPr>
          <w:rFonts w:ascii="Arial" w:cs="Arial" w:eastAsia="Arial" w:hAnsi="Arial"/>
          <w:sz w:val="18"/>
          <w:szCs w:val="18"/>
          <w:color w:val="auto"/>
        </w:rPr>
        <w:t>” shall mean the alternative set forth in (3) below:</w:t>
      </w:r>
    </w:p>
    <w:p>
      <w:pPr>
        <w:spacing w:after="0" w:line="184" w:lineRule="exact"/>
        <w:rPr>
          <w:sz w:val="20"/>
          <w:szCs w:val="20"/>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(a) Term SOFR and (b) the related Benchmark Replacement Adjustment;</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(a) Daily Simple SOFR and (b) the related Benchmark Replacement Adjustment;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9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(a) the alternate benchmark rate that has been selected by the Administrative Agent and the Borrower Representative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88"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further that, in the case of clause (3), when such clause is used to determine the Benchmark Replacement in connection with the occurrence of an Other Benchmark Rate Election, the alternate benchmark rate selected by the Administrative Agent and the Borrower shall be the term benchmark rate that is used in lieu of a LIBOR-based rate in the relevant other Dollar-denominated syndicated credit facilities;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notwithstanding anything to the contrary in this Agreement or in any other Loan Document, upon the occurrence of a Term SOFR Transition Event, and the delivery of a Term SOFR Notice, on the applicable Benchmark Replacement Date the “</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shall revert to and shall be deemed to be the sum of (a) Term SOFR and (b) the related Benchmark Replacement Adjustment, as set forth in clause (1) of this definition (subject to the first proviso above).</w:t>
      </w:r>
    </w:p>
    <w:p>
      <w:pPr>
        <w:spacing w:after="0" w:line="16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Loan Documents.</w:t>
      </w:r>
    </w:p>
    <w:p>
      <w:pPr>
        <w:spacing w:after="0" w:line="170"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Benchmark Replacement Adjustment</w:t>
      </w:r>
      <w:r>
        <w:rPr>
          <w:rFonts w:ascii="Arial" w:cs="Arial" w:eastAsia="Arial" w:hAnsi="Arial"/>
          <w:sz w:val="17"/>
          <w:szCs w:val="17"/>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46" w:lineRule="exact"/>
        <w:rPr>
          <w:sz w:val="20"/>
          <w:szCs w:val="20"/>
          <w:color w:val="auto"/>
        </w:rPr>
      </w:pPr>
    </w:p>
    <w:p>
      <w:pPr>
        <w:ind w:right="20" w:firstLine="656"/>
        <w:spacing w:after="0" w:line="277" w:lineRule="auto"/>
        <w:tabs>
          <w:tab w:leader="none" w:pos="91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w:t>
      </w:r>
      <w:r>
        <w:rPr>
          <w:rFonts w:ascii="Arial" w:cs="Arial" w:eastAsia="Arial" w:hAnsi="Arial"/>
          <w:sz w:val="18"/>
          <w:szCs w:val="18"/>
          <w:u w:val="single" w:color="auto"/>
          <w:color w:val="auto"/>
        </w:rPr>
        <w:t>Benchmark Replacement,</w:t>
      </w:r>
      <w:r>
        <w:rPr>
          <w:rFonts w:ascii="Arial" w:cs="Arial" w:eastAsia="Arial" w:hAnsi="Arial"/>
          <w:sz w:val="18"/>
          <w:szCs w:val="18"/>
          <w:color w:val="auto"/>
        </w:rPr>
        <w:t>” the first alternative set forth in the order below that can be determined by the Administrative Agent: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15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155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3" w:name="page44"/>
    <w:bookmarkEnd w:id="43"/>
    <w:p>
      <w:pPr>
        <w:jc w:val="both"/>
        <w:ind w:firstLine="656"/>
        <w:spacing w:after="0" w:line="272" w:lineRule="auto"/>
        <w:tabs>
          <w:tab w:leader="none" w:pos="903" w:val="left"/>
        </w:tabs>
        <w:numPr>
          <w:ilvl w:val="0"/>
          <w:numId w:val="13"/>
        </w:numPr>
        <w:rPr>
          <w:rFonts w:ascii="Arial" w:cs="Arial" w:eastAsia="Arial" w:hAnsi="Arial"/>
          <w:sz w:val="17"/>
          <w:szCs w:val="17"/>
          <w:color w:val="auto"/>
        </w:rPr>
      </w:pPr>
      <w:r>
        <w:rPr>
          <w:rFonts w:ascii="Arial" w:cs="Arial" w:eastAsia="Arial" w:hAnsi="Arial"/>
          <w:sz w:val="17"/>
          <w:szCs w:val="17"/>
          <w:color w:val="auto"/>
        </w:rPr>
        <w:t>for purposes of clause (3) of the definition of “</w:t>
      </w:r>
      <w:r>
        <w:rPr>
          <w:rFonts w:ascii="Arial" w:cs="Arial" w:eastAsia="Arial" w:hAnsi="Arial"/>
          <w:sz w:val="17"/>
          <w:szCs w:val="17"/>
          <w:u w:val="single" w:color="auto"/>
          <w:color w:val="auto"/>
        </w:rPr>
        <w:t>Benchmark Replacement,</w:t>
      </w:r>
      <w:r>
        <w:rPr>
          <w:rFonts w:ascii="Arial" w:cs="Arial" w:eastAsia="Arial" w:hAnsi="Arial"/>
          <w:sz w:val="17"/>
          <w:szCs w:val="17"/>
          <w:color w:val="auto"/>
        </w:rPr>
        <w:t>” the spread adjustment, or method for calculating or determining such spread adjustment, (which may be a positive or negative value or zero) that has been selected by the Administrative Agent and the Borrower Representative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u w:val="single" w:color="auto"/>
          <w:color w:val="auto"/>
        </w:rPr>
        <w:t>provided that</w:t>
      </w:r>
      <w:r>
        <w:rPr>
          <w:rFonts w:ascii="Arial" w:cs="Arial" w:eastAsia="Arial" w:hAnsi="Arial"/>
          <w:sz w:val="18"/>
          <w:szCs w:val="18"/>
          <w:color w:val="auto"/>
        </w:rPr>
        <w: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means, with respect to any Benchmark Replacement, any technical, administrative or operational changes (including changes to the definition of “</w:t>
      </w:r>
      <w:r>
        <w:rPr>
          <w:rFonts w:ascii="Arial" w:cs="Arial" w:eastAsia="Arial" w:hAnsi="Arial"/>
          <w:sz w:val="18"/>
          <w:szCs w:val="18"/>
          <w:u w:val="single" w:color="auto"/>
          <w:color w:val="auto"/>
        </w:rPr>
        <w:t>Business Day,</w:t>
      </w:r>
      <w:r>
        <w:rPr>
          <w:rFonts w:ascii="Arial" w:cs="Arial" w:eastAsia="Arial" w:hAnsi="Arial"/>
          <w:sz w:val="18"/>
          <w:szCs w:val="18"/>
          <w:color w:val="auto"/>
        </w:rPr>
        <w:t>” the definition of “</w:t>
      </w:r>
      <w:r>
        <w:rPr>
          <w:rFonts w:ascii="Arial" w:cs="Arial" w:eastAsia="Arial" w:hAnsi="Arial"/>
          <w:sz w:val="18"/>
          <w:szCs w:val="18"/>
          <w:u w:val="single" w:color="auto"/>
          <w:color w:val="auto"/>
        </w:rPr>
        <w:t>Interest Period,</w:t>
      </w:r>
      <w:r>
        <w:rPr>
          <w:rFonts w:ascii="Arial" w:cs="Arial" w:eastAsia="Arial" w:hAnsi="Arial"/>
          <w:sz w:val="18"/>
          <w:szCs w:val="18"/>
          <w:color w:val="auto"/>
        </w:rPr>
        <w:t>”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Loan Documents).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means the earliest to occur of the following events with respect to the then-current Benchmark:</w:t>
      </w:r>
    </w:p>
    <w:p>
      <w:pPr>
        <w:spacing w:after="0" w:line="225" w:lineRule="exact"/>
        <w:rPr>
          <w:sz w:val="20"/>
          <w:szCs w:val="20"/>
          <w:color w:val="auto"/>
        </w:rPr>
      </w:pPr>
    </w:p>
    <w:p>
      <w:pPr>
        <w:jc w:val="both"/>
        <w:ind w:firstLine="656"/>
        <w:spacing w:after="0" w:line="286" w:lineRule="auto"/>
        <w:tabs>
          <w:tab w:leader="none" w:pos="904"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case of clause (1) or (2) of the definition of “</w:t>
      </w:r>
      <w:r>
        <w:rPr>
          <w:rFonts w:ascii="Arial" w:cs="Arial" w:eastAsia="Arial" w:hAnsi="Arial"/>
          <w:sz w:val="17"/>
          <w:szCs w:val="17"/>
          <w:u w:val="single" w:color="auto"/>
          <w:color w:val="auto"/>
        </w:rPr>
        <w:t>Benchmark Transition Event,</w:t>
      </w:r>
      <w:r>
        <w:rPr>
          <w:rFonts w:ascii="Arial" w:cs="Arial" w:eastAsia="Arial" w:hAnsi="Arial"/>
          <w:sz w:val="17"/>
          <w:szCs w:val="17"/>
          <w:color w:val="auto"/>
        </w:rPr>
        <w: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65" w:lineRule="exact"/>
        <w:rPr>
          <w:rFonts w:ascii="Arial" w:cs="Arial" w:eastAsia="Arial" w:hAnsi="Arial"/>
          <w:sz w:val="17"/>
          <w:szCs w:val="17"/>
          <w:color w:val="auto"/>
        </w:rPr>
      </w:pPr>
    </w:p>
    <w:p>
      <w:pPr>
        <w:jc w:val="both"/>
        <w:ind w:firstLine="656"/>
        <w:spacing w:after="0" w:line="257" w:lineRule="auto"/>
        <w:tabs>
          <w:tab w:leader="none" w:pos="9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clause (3) of the definition of “</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xml:space="preserve">”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Arial" w:cs="Arial" w:eastAsia="Arial" w:hAnsi="Arial"/>
          <w:sz w:val="18"/>
          <w:szCs w:val="18"/>
          <w:u w:val="single" w:color="auto"/>
          <w:color w:val="auto"/>
        </w:rPr>
        <w:t>provided</w:t>
      </w:r>
      <w:r>
        <w:rPr>
          <w:rFonts w:ascii="Arial" w:cs="Arial" w:eastAsia="Arial" w:hAnsi="Arial"/>
          <w:sz w:val="18"/>
          <w:szCs w:val="18"/>
          <w:color w:val="auto"/>
        </w:rPr>
        <w:t>, that such non-representativeness will be determined by reference to the most recent statement or publication referenced in such clause (3) and even if any Available Tenor of such Benchmark (or such component thereof) continues to be provided on such date;</w:t>
      </w:r>
    </w:p>
    <w:p>
      <w:pPr>
        <w:spacing w:after="0" w:line="187" w:lineRule="exact"/>
        <w:rPr>
          <w:rFonts w:ascii="Arial" w:cs="Arial" w:eastAsia="Arial" w:hAnsi="Arial"/>
          <w:sz w:val="18"/>
          <w:szCs w:val="18"/>
          <w:color w:val="auto"/>
        </w:rPr>
      </w:pPr>
    </w:p>
    <w:p>
      <w:pPr>
        <w:ind w:firstLine="656"/>
        <w:spacing w:after="0" w:line="277" w:lineRule="auto"/>
        <w:tabs>
          <w:tab w:leader="none" w:pos="9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case of a Term SOFR Transition Event, the date that is thirty (30) days after the date a Term SOFR Notice is provided to the Lenders and the Borrower Representative pursuant to Section 2.14(d); or</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4" w:name="page45"/>
    <w:bookmarkEnd w:id="44"/>
    <w:p>
      <w:pPr>
        <w:jc w:val="both"/>
        <w:ind w:firstLine="656"/>
        <w:spacing w:after="0" w:line="257" w:lineRule="auto"/>
        <w:tabs>
          <w:tab w:leader="none" w:pos="91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case of an Early Opt-in Election or an Other Benchmark Rate Election, the sixth (6th) Business Day after the date notice of such Early Opt-in Election or Other Benchmark Rate Election, as applicable, is provided to the Lenders, so long as the Administrative Agent has not received, by 5:00 p.m. (New York City time) on the fifth (5th) Business Day after the date notice of such Early Opt-in Election or Other Benchmark Rate Election, as applicable, is provided to the Lenders, written notice of objection to such Early Opt-in Election or Other Benchmark Rate Election, as applicable, from Lenders comprising the Required Lenders.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w:t>
      </w:r>
      <w:r>
        <w:rPr>
          <w:rFonts w:ascii="Arial" w:cs="Arial" w:eastAsia="Arial" w:hAnsi="Arial"/>
          <w:sz w:val="18"/>
          <w:szCs w:val="18"/>
          <w:u w:val="single" w:color="auto"/>
          <w:color w:val="auto"/>
        </w:rPr>
        <w:t>Benchmark Replacement Date</w:t>
      </w:r>
      <w:r>
        <w:rPr>
          <w:rFonts w:ascii="Arial" w:cs="Arial" w:eastAsia="Arial" w:hAnsi="Arial"/>
          <w:sz w:val="18"/>
          <w:szCs w:val="18"/>
          <w:color w:val="auto"/>
        </w:rPr>
        <w:t>”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means the occurrence of one or more of the following events with respect to the then-current Benchmark:</w:t>
      </w:r>
    </w:p>
    <w:p>
      <w:pPr>
        <w:spacing w:after="0" w:line="225" w:lineRule="exact"/>
        <w:rPr>
          <w:sz w:val="20"/>
          <w:szCs w:val="20"/>
          <w:color w:val="auto"/>
        </w:rPr>
      </w:pPr>
    </w:p>
    <w:p>
      <w:pPr>
        <w:jc w:val="both"/>
        <w:ind w:firstLine="656"/>
        <w:spacing w:after="0" w:line="259" w:lineRule="auto"/>
        <w:tabs>
          <w:tab w:leader="none" w:pos="91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6" w:lineRule="exact"/>
        <w:rPr>
          <w:rFonts w:ascii="Arial" w:cs="Arial" w:eastAsia="Arial" w:hAnsi="Arial"/>
          <w:sz w:val="18"/>
          <w:szCs w:val="18"/>
          <w:color w:val="auto"/>
        </w:rPr>
      </w:pPr>
    </w:p>
    <w:p>
      <w:pPr>
        <w:jc w:val="both"/>
        <w:ind w:firstLine="656"/>
        <w:spacing w:after="0" w:line="272" w:lineRule="auto"/>
        <w:tabs>
          <w:tab w:leader="none" w:pos="9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Federal Reserve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177" w:lineRule="exact"/>
        <w:rPr>
          <w:rFonts w:ascii="Arial" w:cs="Arial" w:eastAsia="Arial" w:hAnsi="Arial"/>
          <w:sz w:val="17"/>
          <w:szCs w:val="17"/>
          <w:color w:val="auto"/>
        </w:rPr>
      </w:pPr>
    </w:p>
    <w:p>
      <w:pPr>
        <w:jc w:val="both"/>
        <w:ind w:firstLine="656"/>
        <w:spacing w:after="0" w:line="263" w:lineRule="auto"/>
        <w:tabs>
          <w:tab w:leader="none" w:pos="9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avoidance of doubt, a “</w:t>
      </w:r>
      <w:r>
        <w:rPr>
          <w:rFonts w:ascii="Arial" w:cs="Arial" w:eastAsia="Arial" w:hAnsi="Arial"/>
          <w:sz w:val="18"/>
          <w:szCs w:val="18"/>
          <w:u w:val="single" w:color="auto"/>
          <w:color w:val="auto"/>
        </w:rPr>
        <w:t>Benchmark Transition Event</w:t>
      </w:r>
      <w:r>
        <w:rPr>
          <w:rFonts w:ascii="Arial" w:cs="Arial" w:eastAsia="Arial" w:hAnsi="Arial"/>
          <w:sz w:val="18"/>
          <w:szCs w:val="18"/>
          <w:color w:val="auto"/>
        </w:rPr>
        <w: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Benchmark Unavailability Period</w:t>
      </w:r>
      <w:r>
        <w:rPr>
          <w:rFonts w:ascii="Arial" w:cs="Arial" w:eastAsia="Arial" w:hAnsi="Arial"/>
          <w:sz w:val="16"/>
          <w:szCs w:val="16"/>
          <w:color w:val="auto"/>
        </w:rPr>
        <w:t>” means the period (if any) (x) beginning at the time that a Benchmark Replacement Date pursuant to clauses</w:t>
      </w:r>
    </w:p>
    <w:p>
      <w:pPr>
        <w:spacing w:after="0" w:line="46" w:lineRule="exact"/>
        <w:rPr>
          <w:sz w:val="20"/>
          <w:szCs w:val="20"/>
          <w:color w:val="auto"/>
        </w:rPr>
      </w:pPr>
    </w:p>
    <w:p>
      <w:pPr>
        <w:jc w:val="both"/>
        <w:ind w:firstLine="8"/>
        <w:spacing w:after="0" w:line="277" w:lineRule="auto"/>
        <w:tabs>
          <w:tab w:leader="none" w:pos="262" w:val="left"/>
        </w:tabs>
        <w:numPr>
          <w:ilvl w:val="0"/>
          <w:numId w:val="17"/>
        </w:numPr>
        <w:rPr>
          <w:rFonts w:ascii="Arial" w:cs="Arial" w:eastAsia="Arial" w:hAnsi="Arial"/>
          <w:sz w:val="17"/>
          <w:szCs w:val="17"/>
          <w:color w:val="auto"/>
        </w:rPr>
      </w:pPr>
      <w:r>
        <w:rPr>
          <w:rFonts w:ascii="Arial" w:cs="Arial" w:eastAsia="Arial" w:hAnsi="Arial"/>
          <w:sz w:val="17"/>
          <w:szCs w:val="17"/>
          <w:color w:val="auto"/>
        </w:rPr>
        <w:t>or (2) of that definition has occurred if, at such time, no Benchmark Replacement has replaced the then-current Benchmark for all purposes hereunder and under any Loan Document in accordance with Section 2.14 and (y) ending at the time that a Benchmark Replacement has replaced the then-current Benchmark for all purposes hereunder and under any Loan Document in accordance with Section 2.14.</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5" w:name="page46"/>
    <w:bookmarkEnd w:id="45"/>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Benefit Plan</w:t>
      </w:r>
      <w:r>
        <w:rPr>
          <w:rFonts w:ascii="Arial" w:cs="Arial" w:eastAsia="Arial" w:hAnsi="Arial"/>
          <w:sz w:val="16"/>
          <w:szCs w:val="16"/>
          <w:color w:val="auto"/>
        </w:rPr>
        <w:t>” means any of (a) an “</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(as defined in Section 3(3) of ERISA) that is subject to Title I of ERISA, (b) a “</w:t>
      </w:r>
      <w:r>
        <w:rPr>
          <w:rFonts w:ascii="Arial" w:cs="Arial" w:eastAsia="Arial" w:hAnsi="Arial"/>
          <w:sz w:val="16"/>
          <w:szCs w:val="16"/>
          <w:u w:val="single" w:color="auto"/>
          <w:color w:val="auto"/>
        </w:rPr>
        <w:t>plan</w:t>
      </w:r>
      <w:r>
        <w:rPr>
          <w:rFonts w:ascii="Arial" w:cs="Arial" w:eastAsia="Arial" w:hAnsi="Arial"/>
          <w:sz w:val="16"/>
          <w:szCs w:val="16"/>
          <w:color w:val="auto"/>
        </w:rPr>
        <w:t>” as defined in Section 4975 of the Code to which Section 4975 of the Code applies, and (c) any Person whose assets include (for purposes of the Plan Asset Regulations or otherwise for purposes of Title I of ERISA or Section 4975 of the Code) the assets of any such “</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or “</w:t>
      </w:r>
      <w:r>
        <w:rPr>
          <w:rFonts w:ascii="Arial" w:cs="Arial" w:eastAsia="Arial" w:hAnsi="Arial"/>
          <w:sz w:val="16"/>
          <w:szCs w:val="16"/>
          <w:u w:val="single" w:color="auto"/>
          <w:color w:val="auto"/>
        </w:rPr>
        <w:t>plan</w:t>
      </w:r>
      <w:r>
        <w:rPr>
          <w:rFonts w:ascii="Arial" w:cs="Arial" w:eastAsia="Arial" w:hAnsi="Arial"/>
          <w:sz w:val="16"/>
          <w:szCs w:val="16"/>
          <w:color w:val="auto"/>
        </w:rPr>
        <w: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BHC Act Affiliate</w:t>
      </w:r>
      <w:r>
        <w:rPr>
          <w:rFonts w:ascii="Arial" w:cs="Arial" w:eastAsia="Arial" w:hAnsi="Arial"/>
          <w:sz w:val="16"/>
          <w:szCs w:val="16"/>
          <w:color w:val="auto"/>
        </w:rPr>
        <w:t>” of a party means an “</w:t>
      </w:r>
      <w:r>
        <w:rPr>
          <w:rFonts w:ascii="Arial" w:cs="Arial" w:eastAsia="Arial" w:hAnsi="Arial"/>
          <w:sz w:val="16"/>
          <w:szCs w:val="16"/>
          <w:u w:val="single" w:color="auto"/>
          <w:color w:val="auto"/>
        </w:rPr>
        <w:t>affiliate</w:t>
      </w:r>
      <w:r>
        <w:rPr>
          <w:rFonts w:ascii="Arial" w:cs="Arial" w:eastAsia="Arial" w:hAnsi="Arial"/>
          <w:sz w:val="16"/>
          <w:szCs w:val="16"/>
          <w:color w:val="auto"/>
        </w:rPr>
        <w:t>” (as such term is defined under, and interpreted in accordance with, 12 U.S.C. 1841(k))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w:t>
      </w:r>
      <w:r>
        <w:rPr>
          <w:rFonts w:ascii="Arial" w:cs="Arial" w:eastAsia="Arial" w:hAnsi="Arial"/>
          <w:sz w:val="18"/>
          <w:szCs w:val="18"/>
          <w:color w:val="auto"/>
        </w:rPr>
        <w:t>” or “</w:t>
      </w:r>
      <w:r>
        <w:rPr>
          <w:rFonts w:ascii="Arial" w:cs="Arial" w:eastAsia="Arial" w:hAnsi="Arial"/>
          <w:sz w:val="18"/>
          <w:szCs w:val="18"/>
          <w:u w:val="single" w:color="auto"/>
          <w:color w:val="auto"/>
        </w:rPr>
        <w:t>Borrowers</w:t>
      </w:r>
      <w:r>
        <w:rPr>
          <w:rFonts w:ascii="Arial" w:cs="Arial" w:eastAsia="Arial" w:hAnsi="Arial"/>
          <w:sz w:val="18"/>
          <w:szCs w:val="18"/>
          <w:color w:val="auto"/>
        </w:rPr>
        <w:t>” have the respective meanings specified therefor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Representative</w:t>
      </w:r>
      <w:r>
        <w:rPr>
          <w:rFonts w:ascii="Arial" w:cs="Arial" w:eastAsia="Arial" w:hAnsi="Arial"/>
          <w:sz w:val="18"/>
          <w:szCs w:val="18"/>
          <w:color w:val="auto"/>
        </w:rPr>
        <w:t>” has the meaning assigned to such term in Section 11.01.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w:t>
      </w:r>
      <w:r>
        <w:rPr>
          <w:rFonts w:ascii="Arial" w:cs="Arial" w:eastAsia="Arial" w:hAnsi="Arial"/>
          <w:sz w:val="18"/>
          <w:szCs w:val="18"/>
          <w:color w:val="auto"/>
        </w:rPr>
        <w:t>” means (a) a Revolving Borrowing, (b) a Swingline Loan, (c) a Protective Advance and (d) an Overadvance.</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Borrowing Base</w:t>
      </w:r>
      <w:r>
        <w:rPr>
          <w:rFonts w:ascii="Arial" w:cs="Arial" w:eastAsia="Arial" w:hAnsi="Arial"/>
          <w:sz w:val="16"/>
          <w:szCs w:val="16"/>
          <w:color w:val="auto"/>
        </w:rPr>
        <w:t xml:space="preserve">” means, at any time, the sum of (a) 90% of the Borrowers’ Eligible Credit Card Receivables based on Borrowers’ most recent Borrowing Base Certificate and financial reporting,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(b) 85% of the Borrowers’ Eligible Accounts based on Borrowers’ most recent Borrowing Base Certificate and financial reporting,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(c) the lesser of (i) 65% of Borrowers’ Eligible Inventory, based on Borrowers’ most recent Borrowing Base Certificate and financial reporting, valued at cost and (ii) the product of 85%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Net Orderly Liquidation Value percentage identified in the most recent inventory appraisal ordered by the Administrative Agent </w:t>
      </w:r>
      <w:r>
        <w:rPr>
          <w:rFonts w:ascii="Arial" w:cs="Arial" w:eastAsia="Arial" w:hAnsi="Arial"/>
          <w:sz w:val="16"/>
          <w:szCs w:val="16"/>
          <w:i w:val="1"/>
          <w:iCs w:val="1"/>
          <w:u w:val="single" w:color="auto"/>
          <w:color w:val="auto"/>
        </w:rPr>
        <w:t>multiplied by</w:t>
      </w:r>
      <w:r>
        <w:rPr>
          <w:rFonts w:ascii="Arial" w:cs="Arial" w:eastAsia="Arial" w:hAnsi="Arial"/>
          <w:sz w:val="16"/>
          <w:szCs w:val="16"/>
          <w:color w:val="auto"/>
        </w:rPr>
        <w:t xml:space="preserve"> the Borrowers’ Eligible Inventory, valued at cost;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Borrowers’ in transit Inventory (as further described in clause (g) of the definition of “Eligible Inventory”) shall not exceed $5,000,000 at any time, </w:t>
      </w:r>
      <w:r>
        <w:rPr>
          <w:rFonts w:ascii="Arial" w:cs="Arial" w:eastAsia="Arial" w:hAnsi="Arial"/>
          <w:sz w:val="16"/>
          <w:szCs w:val="16"/>
          <w:i w:val="1"/>
          <w:iCs w:val="1"/>
          <w:u w:val="single" w:color="auto"/>
          <w:color w:val="auto"/>
        </w:rPr>
        <w:t>minus</w:t>
      </w:r>
    </w:p>
    <w:p>
      <w:pPr>
        <w:spacing w:after="0" w:line="4" w:lineRule="exact"/>
        <w:rPr>
          <w:sz w:val="20"/>
          <w:szCs w:val="20"/>
          <w:color w:val="auto"/>
        </w:rPr>
      </w:pPr>
    </w:p>
    <w:p>
      <w:pPr>
        <w:jc w:val="both"/>
        <w:ind w:firstLine="8"/>
        <w:spacing w:after="0" w:line="287" w:lineRule="auto"/>
        <w:tabs>
          <w:tab w:leader="none" w:pos="255"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Reserves; </w:t>
      </w:r>
      <w:r>
        <w:rPr>
          <w:rFonts w:ascii="Arial" w:cs="Arial" w:eastAsia="Arial" w:hAnsi="Arial"/>
          <w:sz w:val="16"/>
          <w:szCs w:val="16"/>
          <w:i w:val="1"/>
          <w:iCs w:val="1"/>
          <w:u w:val="single" w:color="auto"/>
          <w:color w:val="auto"/>
        </w:rPr>
        <w:t>provided</w:t>
      </w:r>
      <w:r>
        <w:rPr>
          <w:rFonts w:ascii="Arial" w:cs="Arial" w:eastAsia="Arial" w:hAnsi="Arial"/>
          <w:sz w:val="16"/>
          <w:szCs w:val="16"/>
          <w:color w:val="auto"/>
        </w:rPr>
        <w:t xml:space="preserve"> that so long as no Default or Event of Default exists, the Borrowers may include in the Borrowing Base during any calendar year for any four individual months during such calendar year (x) an Account overadvance in an amount not to exceed an additional 5% of the Borrowers’ Accounts identified as “eligible” in the most recent Borrowing Base Certificate delivered to the Administrative Agent above the Account component of the Borrowing Base from time to time under clause (a)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percentage shall be reduced by 1% for each percentage point that the Dilution Ratio exceeds 2.5%), and (y) an Inventory overadvance in an amount not to exceed an additional 5% of the Net Orderly Liquidation Value of the Borrowers’ Inventory identified as “eligible” in the most recent Borrowing Base Certificate delivered to the Administrative Agent above the Inventory component of the Borrowing Base from time to time under clause (b) above. The Administrative Agent may, in its Permitted Discretion, reduce the advance rates set forth above, adjust Reserves or reduce one or more of the other elements used in computing the Borrowing Base.</w:t>
      </w:r>
    </w:p>
    <w:p>
      <w:pPr>
        <w:spacing w:after="0" w:line="170"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Base Certificate</w:t>
      </w:r>
      <w:r>
        <w:rPr>
          <w:rFonts w:ascii="Arial" w:cs="Arial" w:eastAsia="Arial" w:hAnsi="Arial"/>
          <w:sz w:val="17"/>
          <w:szCs w:val="17"/>
          <w:color w:val="auto"/>
        </w:rPr>
        <w:t>” means a certificate, signed and certified as accurate and complete by a Financial Officer of the Borrower Representative, in substantially the form of Exhibit B or another form which is acceptable to the Administrative Agent in its sole discretion.</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6" w:name="page47"/>
    <w:bookmarkEnd w:id="4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Request</w:t>
      </w:r>
      <w:r>
        <w:rPr>
          <w:rFonts w:ascii="Arial" w:cs="Arial" w:eastAsia="Arial" w:hAnsi="Arial"/>
          <w:sz w:val="18"/>
          <w:szCs w:val="18"/>
          <w:color w:val="auto"/>
        </w:rPr>
        <w:t>” means a request by the Borrower Representative for a Revolving Borrowing in accordance with Section 2.03.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Burdensome Restrictions</w:t>
      </w:r>
      <w:r>
        <w:rPr>
          <w:rFonts w:ascii="Arial" w:cs="Arial" w:eastAsia="Arial" w:hAnsi="Arial"/>
          <w:sz w:val="17"/>
          <w:szCs w:val="17"/>
          <w:color w:val="auto"/>
        </w:rPr>
        <w:t>” means any consensual encumbrance or restriction of the type described in clause (a) or (b) of Section 6.10.</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or Los Angeles, California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Eurodollar Loan or a Loan accruing interest at REVLIBOR30 Rate without giving effect to the proviso contained in the definition for “REVLIBOR30 Rate,”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general business in London.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without duplication, any expenditure or commitment to expend money for any purchase or other acquisition of any asset which would be classified as a fixed or capital asset on a consolidated balance sheet of the Company and its Subsidiaries prepared in accordance with GAAP.</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or financing leases on a balance sheet of such Person under GAAP, and the amount of such obligations shall be the capitalized amount thereof determined in accordance with GAAP.</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Dominion Period</w:t>
      </w:r>
      <w:r>
        <w:rPr>
          <w:rFonts w:ascii="Arial" w:cs="Arial" w:eastAsia="Arial" w:hAnsi="Arial"/>
          <w:sz w:val="18"/>
          <w:szCs w:val="18"/>
          <w:color w:val="auto"/>
        </w:rPr>
        <w:t>” means the period (a) commencing on any day that (i) Excess Availability is less than the greater of (x) $4,000,000, or (y) an amount equal to 15% of the Aggregate Revolving Commitment, or (ii) an Event of Default has occurred, and (b) continuing until no Event of Default has existed and Availability has been greater than or equal to the greater of $4,000,000, or (y) an amount equal to 15% of the Aggregate Revolving Commitment, in each case, at all times for 30 consecutive calendar days.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 Floating Rate</w:t>
      </w:r>
      <w:r>
        <w:rPr>
          <w:rFonts w:ascii="Arial" w:cs="Arial" w:eastAsia="Arial" w:hAnsi="Arial"/>
          <w:sz w:val="18"/>
          <w:szCs w:val="18"/>
          <w:color w:val="auto"/>
        </w:rPr>
        <w:t xml:space="preserve">” means the Prime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CB Floating Rate shall never be less than the Adjusted One Month LIBOR Rate on such day (or if such day is not a Business Day, the immediately preceding Business Day). Any change in the CB Floating Rate due to a change in the Prime Rate or the Adjusted One Month LIBOR Rate shall be effective from and including the effective date of such change in the Prime Rate or the Adjusted One Month LIBOR Rate, respectively.</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CBFR</w:t>
      </w:r>
      <w:r>
        <w:rPr>
          <w:rFonts w:ascii="Arial" w:cs="Arial" w:eastAsia="Arial" w:hAnsi="Arial"/>
          <w:sz w:val="18"/>
          <w:szCs w:val="18"/>
          <w:color w:val="auto"/>
        </w:rPr>
        <w:t>”, when used in reference to: (a) a rate of interest, refers to the REVLIBOR30 Rate and (b) any Loan or Borrowing, refers to whether such Loan, or the Loans comprising such Borrowing, bear interest at a rate determined by reference to the REVLIBOR30 Rate.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Control</w:t>
      </w:r>
      <w:r>
        <w:rPr>
          <w:rFonts w:ascii="Arial" w:cs="Arial" w:eastAsia="Arial" w:hAnsi="Arial"/>
          <w:sz w:val="17"/>
          <w:szCs w:val="17"/>
          <w:color w:val="auto"/>
        </w:rPr>
        <w:t>” means (a) the acquisition of ownership, directly or indirectly, beneficially or of record, by any Person or group (within the meaning of the Securities Exchange Act of 1934 and the rules of the SEC thereunder as in effect on the date hereof), of Equity Interests representing more than 35% of the aggregate ordinary voting power represented by the issued and outstanding Equity Interests of the Company on a fully-diluted basis; (b) occupation at any time of a majority of the seats (other than vacant seats) on the board of directors of the Company by Persons who were not (i) directors of the Company on the date of this Agreement, nor (ii) appointed by directors so nominated, appointed or approved; (c) the acquisition of direct or indirect Control of the Company by any Person or group (within the meaning of the Securities Exchange Act of 1934 and the rules of the SEC thereunder as in effect on the date hereof); or (d) the Company shall cease to own, free and clear of all Liens or other encumbrances, at least 100% of the outstanding voting Equity Interests of the other Borrowers on a fully diluted basis.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7" w:name="page48"/>
    <w:bookmarkEnd w:id="47"/>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date of this Agreement of any of the following: (a) the adoption of or taking effect of any law, rule, regulation or treaty; (b) any change in any law, rule, regulation or treaty or in the administration, interpretation, implementation or application thereof by any Governmental Authority; or (c) compliance by any Lender or the Issuing Bank (or, for purposes of Section 2.15(b), by any lending office of such Lender or by such Lender’s or the Issuing Bank’s holding company, if any) with any request, guideline, requirement or directive (whether or not having the force of law) of any Governmental Authority made or issued after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(x) the Dodd-Frank Wall Street Reform and Consumer Protection Act and all requests, rules, guidelines, requirements or directives thereunder or issued in connection therewith or in the implementation thereof, and (y) all requests, rules, guidelines, requirements or directives promulgated by the Bank for International Settlements, the Basel Committee on Banking Supervision (or any successor or similar authority) or the United States or foreign regulatory authorities, in each case pursuant to Basel III, shall in each case be deemed to be a “</w:t>
      </w:r>
      <w:r>
        <w:rPr>
          <w:rFonts w:ascii="Arial" w:cs="Arial" w:eastAsia="Arial" w:hAnsi="Arial"/>
          <w:sz w:val="17"/>
          <w:szCs w:val="17"/>
          <w:u w:val="single" w:color="auto"/>
          <w:color w:val="auto"/>
        </w:rPr>
        <w:t>Change in Law</w:t>
      </w:r>
      <w:r>
        <w:rPr>
          <w:rFonts w:ascii="Arial" w:cs="Arial" w:eastAsia="Arial" w:hAnsi="Arial"/>
          <w:sz w:val="17"/>
          <w:szCs w:val="17"/>
          <w:color w:val="auto"/>
        </w:rPr>
        <w:t>”, regardless of the date enacted, adopted, issued or implemented.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Charges</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w:t>
      </w:r>
      <w:r>
        <w:rPr>
          <w:rFonts w:ascii="Arial" w:cs="Arial" w:eastAsia="Arial" w:hAnsi="Arial"/>
          <w:sz w:val="18"/>
          <w:szCs w:val="18"/>
          <w:color w:val="auto"/>
        </w:rPr>
        <w:t>”, when used in reference to any Loan or Borrowing, refers to whether such Loan, or the Loans comprising such Borrowing, are Revolving Loans, Swingline Loans or Protective Advances or Overadvances.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w:t>
      </w:r>
      <w:r>
        <w:rPr>
          <w:rFonts w:ascii="Arial" w:cs="Arial" w:eastAsia="Arial" w:hAnsi="Arial"/>
          <w:sz w:val="17"/>
          <w:szCs w:val="17"/>
          <w:color w:val="auto"/>
        </w:rPr>
        <w:t>” means any and all property owned, leased or operated by a Person covered by the Collateral Documents and any and all other property of any Loan Party, now existing or hereafter acquired, that may at any time be, become or be intended to be, subject to a security interest or Lien in favor of the Administrative Agent, on behalf of itself and the Lenders and other Secured Parties, to secure the Secured Obligations.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Collateral Documents</w:t>
      </w:r>
      <w:r>
        <w:rPr>
          <w:rFonts w:ascii="Arial" w:cs="Arial" w:eastAsia="Arial" w:hAnsi="Arial"/>
          <w:sz w:val="17"/>
          <w:szCs w:val="17"/>
          <w:color w:val="auto"/>
        </w:rPr>
        <w:t>” means, collectively, the Security Agreement and any other agreements, instruments and documents executed in connection with this Agreement that are intended to create, perfect or evidence Liens to secure the Secured Obligations, including, without limitation, all other security agreements, pledge agreements, mortgages, deeds of trust, loan agreements, notes, guarantees, subordination agreements, pledges, powers of attorney, consents, assignments, contracts, fee letters, notices, leases, financing statements and all other written matter whether theretofore, now or hereafter executed by any Loan Party and delivered to the Administrative Agent.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Fee Rate</w:t>
      </w:r>
      <w:r>
        <w:rPr>
          <w:rFonts w:ascii="Arial" w:cs="Arial" w:eastAsia="Arial" w:hAnsi="Arial"/>
          <w:sz w:val="18"/>
          <w:szCs w:val="18"/>
          <w:color w:val="auto"/>
        </w:rPr>
        <w:t>” shall mean, for any day, with respect to the commitment fees payable hereunder, the applicable rate per annum set forth below under the caption “</w:t>
      </w:r>
      <w:r>
        <w:rPr>
          <w:rFonts w:ascii="Arial" w:cs="Arial" w:eastAsia="Arial" w:hAnsi="Arial"/>
          <w:sz w:val="18"/>
          <w:szCs w:val="18"/>
          <w:u w:val="single" w:color="auto"/>
          <w:color w:val="auto"/>
        </w:rPr>
        <w:t>Commitment Fee Rate</w:t>
      </w:r>
      <w:r>
        <w:rPr>
          <w:rFonts w:ascii="Arial" w:cs="Arial" w:eastAsia="Arial" w:hAnsi="Arial"/>
          <w:sz w:val="18"/>
          <w:szCs w:val="18"/>
          <w:color w:val="auto"/>
        </w:rPr>
        <w:t xml:space="preserve">”, based upon the Average Revolver Usage during the most recently ended calendar month;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w:t>
      </w:r>
      <w:r>
        <w:rPr>
          <w:rFonts w:ascii="Arial" w:cs="Arial" w:eastAsia="Arial" w:hAnsi="Arial"/>
          <w:sz w:val="18"/>
          <w:szCs w:val="18"/>
          <w:u w:val="single" w:color="auto"/>
          <w:color w:val="auto"/>
        </w:rPr>
        <w:t>Commitment Fee Rate</w:t>
      </w:r>
      <w:r>
        <w:rPr>
          <w:rFonts w:ascii="Arial" w:cs="Arial" w:eastAsia="Arial" w:hAnsi="Arial"/>
          <w:sz w:val="18"/>
          <w:szCs w:val="18"/>
          <w:color w:val="auto"/>
        </w:rPr>
        <w:t>” shall be the applicable rate per annum set forth below in Category 1 during the period from the Effective Date to, and including, the last day of the calendar month of the Company; ending on or about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127635</wp:posOffset>
            </wp:positionV>
            <wp:extent cx="5700395" cy="10115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00395" cy="1011555"/>
                    </a:xfrm>
                    <a:prstGeom prst="rect">
                      <a:avLst/>
                    </a:prstGeom>
                    <a:noFill/>
                  </pic:spPr>
                </pic:pic>
              </a:graphicData>
            </a:graphic>
          </wp:anchor>
        </w:drawing>
      </w:r>
    </w:p>
    <w:p>
      <w:pPr>
        <w:spacing w:after="0" w:line="176"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5920" w:type="dxa"/>
            <w:vAlign w:val="bottom"/>
            <w:gridSpan w:val="5"/>
          </w:tcPr>
          <w:p>
            <w:pPr>
              <w:jc w:val="center"/>
              <w:ind w:right="1380"/>
              <w:spacing w:after="0"/>
              <w:rPr>
                <w:sz w:val="20"/>
                <w:szCs w:val="20"/>
                <w:color w:val="auto"/>
              </w:rPr>
            </w:pPr>
            <w:r>
              <w:rPr>
                <w:rFonts w:ascii="Arial" w:cs="Arial" w:eastAsia="Arial" w:hAnsi="Arial"/>
                <w:sz w:val="18"/>
                <w:szCs w:val="18"/>
                <w:color w:val="auto"/>
                <w:w w:val="88"/>
              </w:rPr>
              <w:t>Average Revolver Usage</w:t>
            </w:r>
          </w:p>
        </w:tc>
        <w:tc>
          <w:tcPr>
            <w:tcW w:w="3060" w:type="dxa"/>
            <w:vAlign w:val="bottom"/>
            <w:gridSpan w:val="2"/>
          </w:tcPr>
          <w:p>
            <w:pPr>
              <w:jc w:val="center"/>
              <w:ind w:right="1440"/>
              <w:spacing w:after="0"/>
              <w:rPr>
                <w:sz w:val="20"/>
                <w:szCs w:val="20"/>
                <w:color w:val="auto"/>
              </w:rPr>
            </w:pPr>
            <w:r>
              <w:rPr>
                <w:rFonts w:ascii="Arial" w:cs="Arial" w:eastAsia="Arial" w:hAnsi="Arial"/>
                <w:sz w:val="18"/>
                <w:szCs w:val="18"/>
                <w:color w:val="auto"/>
                <w:w w:val="89"/>
              </w:rPr>
              <w:t>Commitment Fee Rate</w:t>
            </w:r>
          </w:p>
        </w:tc>
      </w:tr>
      <w:tr>
        <w:trPr>
          <w:trHeight w:val="21"/>
        </w:trPr>
        <w:tc>
          <w:tcPr>
            <w:tcW w:w="1380" w:type="dxa"/>
            <w:vAlign w:val="bottom"/>
            <w:tcBorders>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69"/>
        </w:trPr>
        <w:tc>
          <w:tcPr>
            <w:tcW w:w="1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40" w:type="dxa"/>
            <w:vAlign w:val="bottom"/>
            <w:gridSpan w:val="3"/>
          </w:tcPr>
          <w:p>
            <w:pPr>
              <w:jc w:val="center"/>
              <w:ind w:right="3260"/>
              <w:spacing w:after="0" w:line="169" w:lineRule="exact"/>
              <w:rPr>
                <w:sz w:val="20"/>
                <w:szCs w:val="20"/>
                <w:color w:val="auto"/>
              </w:rPr>
            </w:pPr>
            <w:r>
              <w:rPr>
                <w:rFonts w:ascii="Arial" w:cs="Arial" w:eastAsia="Arial" w:hAnsi="Arial"/>
                <w:sz w:val="18"/>
                <w:szCs w:val="18"/>
                <w:color w:val="auto"/>
                <w:w w:val="88"/>
              </w:rPr>
              <w:t>Category 1</w:t>
            </w:r>
          </w:p>
        </w:tc>
        <w:tc>
          <w:tcPr>
            <w:tcW w:w="1620" w:type="dxa"/>
            <w:vAlign w:val="bottom"/>
          </w:tcPr>
          <w:p>
            <w:pPr>
              <w:jc w:val="right"/>
              <w:ind w:right="430"/>
              <w:spacing w:after="0" w:line="169" w:lineRule="exact"/>
              <w:rPr>
                <w:sz w:val="20"/>
                <w:szCs w:val="20"/>
                <w:color w:val="auto"/>
              </w:rPr>
            </w:pPr>
            <w:r>
              <w:rPr>
                <w:rFonts w:ascii="Arial" w:cs="Arial" w:eastAsia="Arial" w:hAnsi="Arial"/>
                <w:sz w:val="18"/>
                <w:szCs w:val="18"/>
                <w:color w:val="auto"/>
              </w:rPr>
              <w:t>0.250%</w:t>
            </w:r>
          </w:p>
        </w:tc>
        <w:tc>
          <w:tcPr>
            <w:tcW w:w="144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29" w:lineRule="exact"/>
        <w:rPr>
          <w:sz w:val="20"/>
          <w:szCs w:val="20"/>
          <w:color w:val="auto"/>
        </w:rPr>
      </w:pPr>
    </w:p>
    <w:p>
      <w:pPr>
        <w:ind w:left="2460" w:hanging="141"/>
        <w:spacing w:after="0"/>
        <w:tabs>
          <w:tab w:leader="none" w:pos="2460" w:val="left"/>
        </w:tabs>
        <w:numPr>
          <w:ilvl w:val="0"/>
          <w:numId w:val="19"/>
        </w:numPr>
        <w:rPr>
          <w:rFonts w:ascii="Arial" w:cs="Arial" w:eastAsia="Arial" w:hAnsi="Arial"/>
          <w:sz w:val="18"/>
          <w:szCs w:val="18"/>
          <w:u w:val="single" w:color="auto"/>
          <w:color w:val="auto"/>
        </w:rPr>
      </w:pPr>
      <w:r>
        <w:rPr>
          <w:rFonts w:ascii="Arial" w:cs="Arial" w:eastAsia="Arial" w:hAnsi="Arial"/>
          <w:sz w:val="18"/>
          <w:szCs w:val="18"/>
          <w:color w:val="auto"/>
        </w:rPr>
        <w:t>50% of the Borrowing Base</w:t>
      </w:r>
    </w:p>
    <w:p>
      <w:pPr>
        <w:spacing w:after="0" w:line="5" w:lineRule="exact"/>
        <w:rPr>
          <w:sz w:val="20"/>
          <w:szCs w:val="20"/>
          <w:color w:val="auto"/>
        </w:rPr>
      </w:pPr>
    </w:p>
    <w:tbl>
      <w:tblPr>
        <w:tblLayout w:type="fixed"/>
        <w:tblInd w:w="3020" w:type="dxa"/>
        <w:tblCellMar>
          <w:top w:w="0" w:type="dxa"/>
          <w:left w:w="0" w:type="dxa"/>
          <w:bottom w:w="0" w:type="dxa"/>
          <w:right w:w="0" w:type="dxa"/>
        </w:tblCellMar>
      </w:tblPr>
      <w:tr>
        <w:trPr>
          <w:trHeight w:val="207"/>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6"/>
              </w:rPr>
              <w:t>Category 2</w:t>
            </w:r>
          </w:p>
        </w:tc>
        <w:tc>
          <w:tcPr>
            <w:tcW w:w="4360" w:type="dxa"/>
            <w:vAlign w:val="bottom"/>
          </w:tcPr>
          <w:p>
            <w:pPr>
              <w:jc w:val="right"/>
              <w:spacing w:after="0"/>
              <w:rPr>
                <w:sz w:val="20"/>
                <w:szCs w:val="20"/>
                <w:color w:val="auto"/>
              </w:rPr>
            </w:pPr>
            <w:r>
              <w:rPr>
                <w:rFonts w:ascii="Arial" w:cs="Arial" w:eastAsia="Arial" w:hAnsi="Arial"/>
                <w:sz w:val="18"/>
                <w:szCs w:val="18"/>
                <w:color w:val="auto"/>
              </w:rPr>
              <w:t>0.375%</w:t>
            </w:r>
          </w:p>
        </w:tc>
      </w:tr>
    </w:tbl>
    <w:p>
      <w:pPr>
        <w:spacing w:after="0" w:line="229" w:lineRule="exact"/>
        <w:rPr>
          <w:sz w:val="20"/>
          <w:szCs w:val="20"/>
          <w:color w:val="auto"/>
        </w:rPr>
      </w:pPr>
    </w:p>
    <w:p>
      <w:pPr>
        <w:ind w:left="2360"/>
        <w:spacing w:after="0"/>
        <w:rPr>
          <w:sz w:val="20"/>
          <w:szCs w:val="20"/>
          <w:color w:val="auto"/>
        </w:rPr>
      </w:pPr>
      <w:r>
        <w:rPr>
          <w:rFonts w:ascii="Arial" w:cs="Arial" w:eastAsia="Arial" w:hAnsi="Arial"/>
          <w:sz w:val="18"/>
          <w:szCs w:val="18"/>
          <w:color w:val="auto"/>
        </w:rPr>
        <w:t>&lt; 50% of the Borrowing Base</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8" w:name="page49"/>
    <w:bookmarkEnd w:id="48"/>
    <w:p>
      <w:pPr>
        <w:jc w:val="both"/>
        <w:ind w:firstLine="648"/>
        <w:spacing w:after="0" w:line="257" w:lineRule="auto"/>
        <w:rPr>
          <w:sz w:val="20"/>
          <w:szCs w:val="20"/>
          <w:color w:val="auto"/>
        </w:rPr>
      </w:pPr>
      <w:r>
        <w:rPr>
          <w:rFonts w:ascii="Arial" w:cs="Arial" w:eastAsia="Arial" w:hAnsi="Arial"/>
          <w:sz w:val="18"/>
          <w:szCs w:val="18"/>
          <w:color w:val="auto"/>
        </w:rPr>
        <w:t>For purposes of the foregoing, each change in the Commitment Fee Rate resulting from a change in Average Revolver Usage shall be effective during the period commencing on and including the first day of each calendar month and ending on the last day of such calendar month, it being understood and agreed that, for purposes of determining the Commitment Fee Rate on the first day of any calendar month, the Average Revolver Usage during the most recently ended calendar month shall be used. Notwithstanding the foregoing, the Average Revolver Usage shall be deemed to be in Category 2 at any time that an Event of Default has occurred and is continuing.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means the Commitment Schedule attached hereto identified as such.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Commodity Exchange Act</w:t>
      </w:r>
      <w:r>
        <w:rPr>
          <w:rFonts w:ascii="Arial" w:cs="Arial" w:eastAsia="Arial" w:hAnsi="Arial"/>
          <w:sz w:val="16"/>
          <w:szCs w:val="16"/>
          <w:color w:val="auto"/>
        </w:rPr>
        <w:t>” means the Commodity Exchange Act (7 U.S.C. § 1 et seq.), as amended from time to time, and any successor statute.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Communications</w:t>
      </w:r>
      <w:r>
        <w:rPr>
          <w:rFonts w:ascii="Arial" w:cs="Arial" w:eastAsia="Arial" w:hAnsi="Arial"/>
          <w:sz w:val="18"/>
          <w:szCs w:val="18"/>
          <w:color w:val="auto"/>
        </w:rPr>
        <w:t>” has the meaning assigned to such term in Section 8.03(c).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specified therefor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Compliance Certificate</w:t>
      </w:r>
      <w:r>
        <w:rPr>
          <w:rFonts w:ascii="Arial" w:cs="Arial" w:eastAsia="Arial" w:hAnsi="Arial"/>
          <w:sz w:val="17"/>
          <w:szCs w:val="17"/>
          <w:color w:val="auto"/>
        </w:rPr>
        <w:t>” means a certificate of a Financial Officer of the Borrower Representative in substantially the form of Exhibit C.</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Disbursement Account</w:t>
      </w:r>
      <w:r>
        <w:rPr>
          <w:rFonts w:ascii="Arial" w:cs="Arial" w:eastAsia="Arial" w:hAnsi="Arial"/>
          <w:sz w:val="18"/>
          <w:szCs w:val="18"/>
          <w:color w:val="auto"/>
        </w:rPr>
        <w:t>” means any accounts of the Borrowers maintained with the Administrative Agent as a cash management account with a unique ABA routing number which effectively limits the number and frequency of daily check presentments pursuant to and under any agreement between a Borrower and the Administrative Agent, as modified and amended from time to time, and through which all or substantially all check disbursements of a Borrower, any other Loan Party and any designated Subsidiary of a Borrower are made and settled on a daily basis with no uninvested balance remaining overnight.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Corresponding Tenor</w:t>
      </w:r>
      <w:r>
        <w:rPr>
          <w:rFonts w:ascii="Arial" w:cs="Arial" w:eastAsia="Arial" w:hAnsi="Arial"/>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Covenant Testing Trigger Period</w:t>
      </w:r>
      <w:r>
        <w:rPr>
          <w:rFonts w:ascii="Arial" w:cs="Arial" w:eastAsia="Arial" w:hAnsi="Arial"/>
          <w:sz w:val="17"/>
          <w:szCs w:val="17"/>
          <w:color w:val="auto"/>
        </w:rPr>
        <w:t>” means the period (a) commencing on any day that Excess Availability is less than the greater of (x) $3,000,000, or (y) an amount equal to 10% of the Aggregate Revolving Commitment, and (b) continuing until Availability has been greater than or equal to the greater of (x) $3,000,000, or (y) 10% of the Aggregate Revolving Commitment at all times for 30 consecutive calendar days.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Covered Entity</w:t>
      </w:r>
      <w:r>
        <w:rPr>
          <w:rFonts w:ascii="Arial" w:cs="Arial" w:eastAsia="Arial" w:hAnsi="Arial"/>
          <w:sz w:val="18"/>
          <w:szCs w:val="18"/>
          <w:color w:val="auto"/>
        </w:rPr>
        <w:t>” means any of the following:</w:t>
      </w:r>
    </w:p>
    <w:p>
      <w:pPr>
        <w:spacing w:after="0" w:line="225" w:lineRule="exact"/>
        <w:rPr>
          <w:sz w:val="20"/>
          <w:szCs w:val="20"/>
          <w:color w:val="auto"/>
        </w:rPr>
      </w:pPr>
    </w:p>
    <w:p>
      <w:pPr>
        <w:ind w:left="1180" w:hanging="524"/>
        <w:spacing w:after="0"/>
        <w:tabs>
          <w:tab w:leader="none" w:pos="11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entity</w:t>
      </w:r>
      <w:r>
        <w:rPr>
          <w:rFonts w:ascii="Arial" w:cs="Arial" w:eastAsia="Arial" w:hAnsi="Arial"/>
          <w:sz w:val="18"/>
          <w:szCs w:val="18"/>
          <w:color w:val="auto"/>
        </w:rPr>
        <w:t>” as that term is defined in, and interpreted in accordance with, 12 C.F.R. § 252.82(b);</w:t>
      </w:r>
    </w:p>
    <w:p>
      <w:pPr>
        <w:spacing w:after="0" w:line="225" w:lineRule="exact"/>
        <w:rPr>
          <w:rFonts w:ascii="Arial" w:cs="Arial" w:eastAsia="Arial" w:hAnsi="Arial"/>
          <w:sz w:val="18"/>
          <w:szCs w:val="18"/>
          <w:color w:val="auto"/>
        </w:rPr>
      </w:pPr>
    </w:p>
    <w:p>
      <w:pPr>
        <w:ind w:left="1240" w:hanging="584"/>
        <w:spacing w:after="0"/>
        <w:tabs>
          <w:tab w:leader="none" w:pos="1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bank</w:t>
      </w:r>
      <w:r>
        <w:rPr>
          <w:rFonts w:ascii="Arial" w:cs="Arial" w:eastAsia="Arial" w:hAnsi="Arial"/>
          <w:sz w:val="18"/>
          <w:szCs w:val="18"/>
          <w:color w:val="auto"/>
        </w:rPr>
        <w:t>” as that term is defined in, and interpreted in accordance with, 12 C.F.R. § 47.3(b); or</w:t>
      </w:r>
    </w:p>
    <w:p>
      <w:pPr>
        <w:spacing w:after="0" w:line="225" w:lineRule="exact"/>
        <w:rPr>
          <w:rFonts w:ascii="Arial" w:cs="Arial" w:eastAsia="Arial" w:hAnsi="Arial"/>
          <w:sz w:val="18"/>
          <w:szCs w:val="18"/>
          <w:color w:val="auto"/>
        </w:rPr>
      </w:pPr>
    </w:p>
    <w:p>
      <w:pPr>
        <w:ind w:left="660" w:right="2780" w:hanging="4"/>
        <w:spacing w:after="0" w:line="500" w:lineRule="auto"/>
        <w:tabs>
          <w:tab w:leader="none" w:pos="12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covered FSI</w:t>
      </w:r>
      <w:r>
        <w:rPr>
          <w:rFonts w:ascii="Arial" w:cs="Arial" w:eastAsia="Arial" w:hAnsi="Arial"/>
          <w:sz w:val="18"/>
          <w:szCs w:val="18"/>
          <w:color w:val="auto"/>
        </w:rPr>
        <w:t>” as that term is defined in, and interpreted in accordance with, 12 C.F.R. § 382.2(b). “</w:t>
      </w:r>
      <w:r>
        <w:rPr>
          <w:rFonts w:ascii="Arial" w:cs="Arial" w:eastAsia="Arial" w:hAnsi="Arial"/>
          <w:sz w:val="18"/>
          <w:szCs w:val="18"/>
          <w:u w:val="single" w:color="auto"/>
          <w:color w:val="auto"/>
        </w:rPr>
        <w:t>Covered Party</w:t>
      </w:r>
      <w:r>
        <w:rPr>
          <w:rFonts w:ascii="Arial" w:cs="Arial" w:eastAsia="Arial" w:hAnsi="Arial"/>
          <w:sz w:val="18"/>
          <w:szCs w:val="18"/>
          <w:color w:val="auto"/>
        </w:rPr>
        <w:t>” has the meaning assigned to it in Section 9.21.</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Party</w:t>
      </w:r>
      <w:r>
        <w:rPr>
          <w:rFonts w:ascii="Arial" w:cs="Arial" w:eastAsia="Arial" w:hAnsi="Arial"/>
          <w:sz w:val="18"/>
          <w:szCs w:val="18"/>
          <w:color w:val="auto"/>
        </w:rPr>
        <w:t>” means the Administrative Agent, the Issuing Bank, the Swingline Lender or any other Lender.</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Daily Simple SOFR</w:t>
      </w:r>
      <w:r>
        <w:rPr>
          <w:rFonts w:ascii="Arial" w:cs="Arial" w:eastAsia="Arial" w:hAnsi="Arial"/>
          <w:sz w:val="17"/>
          <w:szCs w:val="17"/>
          <w:color w:val="auto"/>
        </w:rPr>
        <w:t>” means, for any day, SOFR, with the conventions for this rate (which may include a lookback) being established by the Administrative Agent in accordance with the conventions for this rate selected or recommended by the Relevant Governmental Body for determining “</w:t>
      </w:r>
      <w:r>
        <w:rPr>
          <w:rFonts w:ascii="Arial" w:cs="Arial" w:eastAsia="Arial" w:hAnsi="Arial"/>
          <w:sz w:val="17"/>
          <w:szCs w:val="17"/>
          <w:u w:val="single" w:color="auto"/>
          <w:color w:val="auto"/>
        </w:rPr>
        <w:t>Daily Simple SOFR</w:t>
      </w:r>
      <w:r>
        <w:rPr>
          <w:rFonts w:ascii="Arial" w:cs="Arial" w:eastAsia="Arial" w:hAnsi="Arial"/>
          <w:sz w:val="17"/>
          <w:szCs w:val="17"/>
          <w:color w:val="auto"/>
        </w:rPr>
        <w:t xml:space="preserve">” for business loans; </w:t>
      </w:r>
      <w:r>
        <w:rPr>
          <w:rFonts w:ascii="Arial" w:cs="Arial" w:eastAsia="Arial" w:hAnsi="Arial"/>
          <w:sz w:val="17"/>
          <w:szCs w:val="17"/>
          <w:u w:val="single" w:color="auto"/>
          <w:color w:val="auto"/>
        </w:rPr>
        <w:t>provided</w:t>
      </w:r>
      <w:r>
        <w:rPr>
          <w:rFonts w:ascii="Arial" w:cs="Arial" w:eastAsia="Arial" w:hAnsi="Arial"/>
          <w:sz w:val="17"/>
          <w:szCs w:val="17"/>
          <w:color w:val="auto"/>
        </w:rPr>
        <w:t>, that if the Administrative Agent decides that any such convention is not administratively feasible for the Administrative Agent, then the Administrative Agent may establish another convention in its reasonable discretion.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Defaulting Lender</w:t>
      </w:r>
      <w:r>
        <w:rPr>
          <w:rFonts w:ascii="Arial" w:cs="Arial" w:eastAsia="Arial" w:hAnsi="Arial"/>
          <w:sz w:val="17"/>
          <w:szCs w:val="17"/>
          <w:color w:val="auto"/>
        </w:rPr>
        <w:t xml:space="preserve">” means any Lender that (a) has failed, within two Business Days of the date required to be funded or paid, to (i) fund any portion of its Loans, (ii) fund any portion of its participations in Letters of Credit or Swingline Loans or (iii) pay over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any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and Swingline Loans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such Credit Party’s receipt of such certification in form and substance satisfactory to it and the Administrative Agent, or (d) has become the subject of (i) a Bankruptcy Event or (ii) a Bail-In Action.</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0" w:name="page51"/>
    <w:bookmarkEnd w:id="50"/>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Dilution Factors</w:t>
      </w:r>
      <w:r>
        <w:rPr>
          <w:rFonts w:ascii="Arial" w:cs="Arial" w:eastAsia="Arial" w:hAnsi="Arial"/>
          <w:sz w:val="18"/>
          <w:szCs w:val="18"/>
          <w:color w:val="auto"/>
        </w:rPr>
        <w:t>” shall mean, without duplication, with respect to any period, the aggregate amount of all deductions, credit memos, returns, adjustments, allowances, bad debt write-offs and other non-cash credits which are recorded to reduce accounts receivable in a manner consistent with current and historical accounting practices of the Borrowers.</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Dilution Ratio</w:t>
      </w:r>
      <w:r>
        <w:rPr>
          <w:rFonts w:ascii="Arial" w:cs="Arial" w:eastAsia="Arial" w:hAnsi="Arial"/>
          <w:sz w:val="16"/>
          <w:szCs w:val="16"/>
          <w:color w:val="auto"/>
        </w:rPr>
        <w:t xml:space="preserve">” shall mean, at any date, the amount (expressed as a percentage) equal to (a) the aggregate amount of the applicable Dilution Factors for the twelve (12) most recently ended fiscal months </w:t>
      </w:r>
      <w:r>
        <w:rPr>
          <w:rFonts w:ascii="Arial" w:cs="Arial" w:eastAsia="Arial" w:hAnsi="Arial"/>
          <w:sz w:val="16"/>
          <w:szCs w:val="16"/>
          <w:i w:val="1"/>
          <w:iCs w:val="1"/>
          <w:u w:val="single" w:color="auto"/>
          <w:color w:val="auto"/>
        </w:rPr>
        <w:t>divided by</w:t>
      </w:r>
      <w:r>
        <w:rPr>
          <w:rFonts w:ascii="Arial" w:cs="Arial" w:eastAsia="Arial" w:hAnsi="Arial"/>
          <w:sz w:val="16"/>
          <w:szCs w:val="16"/>
          <w:color w:val="auto"/>
        </w:rPr>
        <w:t xml:space="preserve"> (b) total gross sales for the twelve (12) most recently ended fiscal months.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Disclosed Matters</w:t>
      </w:r>
      <w:r>
        <w:rPr>
          <w:rFonts w:ascii="Arial" w:cs="Arial" w:eastAsia="Arial" w:hAnsi="Arial"/>
          <w:sz w:val="18"/>
          <w:szCs w:val="18"/>
          <w:color w:val="auto"/>
        </w:rPr>
        <w:t>” means the actions, suits, proceedings and environmental matters disclosed in Schedule 3.06.</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 one transaction or in a series of transactions and whether effected pursuant to a Division or otherwise) of any property by any Person (including any Sale and Leaseback Transaction and any issuance of Equity Interests by a Subsidiary of such Person), including any sale, assignment, transfer or other disposal, with or without recourse, of any notes or accounts receivable or any rights and claims associated therewith.</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Dividing Person</w:t>
      </w:r>
      <w:r>
        <w:rPr>
          <w:rFonts w:ascii="Arial" w:cs="Arial" w:eastAsia="Arial" w:hAnsi="Arial"/>
          <w:sz w:val="18"/>
          <w:szCs w:val="18"/>
          <w:color w:val="auto"/>
        </w:rPr>
        <w:t>” has the meaning assigned to it in the definition of “</w:t>
      </w:r>
      <w:r>
        <w:rPr>
          <w:rFonts w:ascii="Arial" w:cs="Arial" w:eastAsia="Arial" w:hAnsi="Arial"/>
          <w:sz w:val="18"/>
          <w:szCs w:val="18"/>
          <w:u w:val="single" w:color="auto"/>
          <w:color w:val="auto"/>
        </w:rPr>
        <w:t>Division.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Division</w:t>
      </w:r>
      <w:r>
        <w:rPr>
          <w:rFonts w:ascii="Arial" w:cs="Arial" w:eastAsia="Arial" w:hAnsi="Arial"/>
          <w:sz w:val="18"/>
          <w:szCs w:val="18"/>
          <w:color w:val="auto"/>
        </w:rPr>
        <w:t>” means the division of the assets, liabilities and/or obligations of a Person (the “</w:t>
      </w:r>
      <w:r>
        <w:rPr>
          <w:rFonts w:ascii="Arial" w:cs="Arial" w:eastAsia="Arial" w:hAnsi="Arial"/>
          <w:sz w:val="18"/>
          <w:szCs w:val="18"/>
          <w:u w:val="single" w:color="auto"/>
          <w:color w:val="auto"/>
        </w:rPr>
        <w:t>Dividing Person</w:t>
      </w:r>
      <w:r>
        <w:rPr>
          <w:rFonts w:ascii="Arial" w:cs="Arial" w:eastAsia="Arial" w:hAnsi="Arial"/>
          <w:sz w:val="18"/>
          <w:szCs w:val="18"/>
          <w:color w:val="auto"/>
        </w:rPr>
        <w:t>”) among two or more Persons (whether pursuant to a “</w:t>
      </w:r>
      <w:r>
        <w:rPr>
          <w:rFonts w:ascii="Arial" w:cs="Arial" w:eastAsia="Arial" w:hAnsi="Arial"/>
          <w:sz w:val="18"/>
          <w:szCs w:val="18"/>
          <w:u w:val="single" w:color="auto"/>
          <w:color w:val="auto"/>
        </w:rPr>
        <w:t>plan of division</w:t>
      </w:r>
      <w:r>
        <w:rPr>
          <w:rFonts w:ascii="Arial" w:cs="Arial" w:eastAsia="Arial" w:hAnsi="Arial"/>
          <w:sz w:val="18"/>
          <w:szCs w:val="18"/>
          <w:color w:val="auto"/>
        </w:rPr>
        <w:t>” or similar arrangement), which may or may not include the Dividing Person and pursuant to which the Dividing Person may or may not survive.</w:t>
      </w:r>
    </w:p>
    <w:p>
      <w:pPr>
        <w:spacing w:after="0" w:line="18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Division Successor</w:t>
      </w:r>
      <w:r>
        <w:rPr>
          <w:rFonts w:ascii="Arial" w:cs="Arial" w:eastAsia="Arial" w:hAnsi="Arial"/>
          <w:sz w:val="16"/>
          <w:szCs w:val="16"/>
          <w:color w:val="auto"/>
        </w:rPr>
        <w:t>” means any Person that, upon the consummation of a Division of a Dividing Person, holds all or any portion of the assets, liabilities and/or obligations previously held by such Dividing Person immediately prior to the consummation of such Division. A Dividing Person which retains any of its assets, liabilities and/or obligations after a Division shall be deemed a Division Successor upon the occurrence of such Division.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 Subsidiary organized under the laws of a jurisdiction located in the U.S.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Opt-in Election</w:t>
      </w:r>
      <w:r>
        <w:rPr>
          <w:rFonts w:ascii="Arial" w:cs="Arial" w:eastAsia="Arial" w:hAnsi="Arial"/>
          <w:sz w:val="18"/>
          <w:szCs w:val="18"/>
          <w:color w:val="auto"/>
        </w:rPr>
        <w:t>” means, if the then-current Benchmark is LIBO Rate, the occurrence of:</w:t>
      </w:r>
    </w:p>
    <w:p>
      <w:pPr>
        <w:spacing w:after="0" w:line="225" w:lineRule="exact"/>
        <w:rPr>
          <w:sz w:val="20"/>
          <w:szCs w:val="20"/>
          <w:color w:val="auto"/>
        </w:rPr>
      </w:pPr>
    </w:p>
    <w:p>
      <w:pPr>
        <w:ind w:left="1300" w:hanging="644"/>
        <w:spacing w:after="0" w:line="301" w:lineRule="auto"/>
        <w:tabs>
          <w:tab w:leader="none" w:pos="118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notification by the Administrative Agent to (or the request by the Borrower Representative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1" w:name="page52"/>
    <w:bookmarkEnd w:id="51"/>
    <w:p>
      <w:pPr>
        <w:ind w:left="1300" w:right="20" w:hanging="644"/>
        <w:spacing w:after="0" w:line="308" w:lineRule="auto"/>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joint election by the Administrative Agent and the Borrower Representative to trigger a fallback from LIBO Rate and the provision, as applicable, by the Administrative Agent of written notice of such election to the Borrower Representative and the Lenders.</w:t>
      </w:r>
    </w:p>
    <w:p>
      <w:pPr>
        <w:spacing w:after="0" w:line="14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EBITDA</w:t>
      </w:r>
      <w:r>
        <w:rPr>
          <w:rFonts w:ascii="Arial" w:cs="Arial" w:eastAsia="Arial" w:hAnsi="Arial"/>
          <w:sz w:val="16"/>
          <w:szCs w:val="16"/>
          <w:color w:val="auto"/>
        </w:rPr>
        <w:t xml:space="preserve">” means, for any period, Net Income for such period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(a) without duplication and to the extent deducted in determining Net Income for such period, the sum of (i) Interest Expense for such period, (ii) income tax expense for such period net of tax refunds, (iii) all amounts attributable to depreciation and amortization expense for such period, (iv) any extraordinary non-cash charges for such period and (v) any other non-cash charges for such period (but excluding any non-cash charge in respect of an item that was included in Net Income in a prior period and any non-cash charge that relates to the write-down or write-off of inventory), and (vi) legal, accounting, broker, consulting and other out of pocket fees, costs and expenses paid by the Borrower, on or about the Effective Date, directly resulting from the closing of the transactions contemplated by this Agreement and the other Loan Documents or a Public Offering, in an aggregate amount not to exceed $1,500,000,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without duplication and to the extent included in Net Income,</w:t>
      </w:r>
    </w:p>
    <w:p>
      <w:pPr>
        <w:spacing w:after="0" w:line="2" w:lineRule="exact"/>
        <w:rPr>
          <w:sz w:val="20"/>
          <w:szCs w:val="20"/>
          <w:color w:val="auto"/>
        </w:rPr>
      </w:pPr>
    </w:p>
    <w:p>
      <w:pPr>
        <w:jc w:val="both"/>
        <w:ind w:firstLine="8"/>
        <w:spacing w:after="0" w:line="255" w:lineRule="auto"/>
        <w:tabs>
          <w:tab w:leader="none" w:pos="2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cash payments made during such period in respect of non-cash charges described in clause (a)(v) taken in a prior period and (ii) any extraordinary gains and any non-cash items of income for such period, all calculated for the Company and its Subsidiaries on a consolidated basis in accordance with GAAP.</w:t>
      </w:r>
    </w:p>
    <w:p>
      <w:pPr>
        <w:spacing w:after="0" w:line="1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ECP</w:t>
      </w:r>
      <w:r>
        <w:rPr>
          <w:rFonts w:ascii="Arial" w:cs="Arial" w:eastAsia="Arial" w:hAnsi="Arial"/>
          <w:sz w:val="18"/>
          <w:szCs w:val="18"/>
          <w:color w:val="auto"/>
        </w:rPr>
        <w:t>” means an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as defined in Section 1(a)(18) of the Commodity Exchange Act or any regulations promulgated thereunder and the applicable rules issued by the Commodity Futures Trading Commission and/or the SEC.</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 Financial Institution</w:t>
      </w:r>
      <w:r>
        <w:rPr>
          <w:rFonts w:ascii="Arial" w:cs="Arial" w:eastAsia="Arial" w:hAnsi="Arial"/>
          <w:sz w:val="16"/>
          <w:szCs w:val="16"/>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firstLine="8"/>
        <w:spacing w:after="0" w:line="260" w:lineRule="auto"/>
        <w:tabs>
          <w:tab w:leader="none" w:pos="251" w:val="left"/>
        </w:tabs>
        <w:numPr>
          <w:ilvl w:val="0"/>
          <w:numId w:val="24"/>
        </w:numPr>
        <w:rPr>
          <w:rFonts w:ascii="Arial" w:cs="Arial" w:eastAsia="Arial" w:hAnsi="Arial"/>
          <w:sz w:val="18"/>
          <w:szCs w:val="18"/>
          <w:color w:val="auto"/>
        </w:rPr>
      </w:pPr>
      <w:r>
        <w:rPr>
          <w:rFonts w:ascii="Arial" w:cs="Arial" w:eastAsia="Arial" w:hAnsi="Arial"/>
          <w:sz w:val="18"/>
          <w:szCs w:val="18"/>
          <w:color w:val="auto"/>
        </w:rPr>
        <w:t>of this definition, or (c) any financial institution established in an EEA Member Country which is a subsidiary of an institution described in clauses (a) or (b) of this definition and is subject to consolidated supervision with its parent.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means the date on which the conditions specified in Section 4.01 are satisfied (or waived in accordance with Section 9.02).</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Electronic System</w:t>
      </w:r>
      <w:r>
        <w:rPr>
          <w:rFonts w:ascii="Arial" w:cs="Arial" w:eastAsia="Arial" w:hAnsi="Arial"/>
          <w:sz w:val="17"/>
          <w:szCs w:val="17"/>
          <w:color w:val="auto"/>
        </w:rPr>
        <w:t>” means any electronic system, including e-mail, e-fax, web portal access for such Borrower and any other Internet or extranet-based site, whether such electronic system is owned, operated or hosted by the Administrative Agent or any Issuing Bank and any of its respective Related Parties or any other Person, providing for access to data protected by passcodes or other security system.</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means, at any time, the Accounts of a Borrower which the Administrative Agent determines in its Permitted Discretion are eligible as the basis for the extension of Revolving Loans and Swingline Loans and the issuance of Letters of Credit. Without limiting the Administrative Agent’s discretion provided herein, Eligible Accounts shall not include any Account of a Borrower: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2" w:name="page53"/>
    <w:bookmarkEnd w:id="52"/>
    <w:p>
      <w:pPr>
        <w:ind w:left="2220" w:hanging="916"/>
        <w:spacing w:after="0"/>
        <w:tabs>
          <w:tab w:leader="none" w:pos="22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which is not subject to a first priority perfected security interest in favor of the Administrative Agent;</w:t>
      </w:r>
    </w:p>
    <w:p>
      <w:pPr>
        <w:spacing w:after="0" w:line="225" w:lineRule="exact"/>
        <w:rPr>
          <w:rFonts w:ascii="Arial" w:cs="Arial" w:eastAsia="Arial" w:hAnsi="Arial"/>
          <w:sz w:val="18"/>
          <w:szCs w:val="18"/>
          <w:color w:val="auto"/>
        </w:rPr>
      </w:pPr>
    </w:p>
    <w:p>
      <w:pPr>
        <w:ind w:right="20" w:firstLine="1304"/>
        <w:spacing w:after="0" w:line="277" w:lineRule="auto"/>
        <w:tabs>
          <w:tab w:leader="none" w:pos="2374"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70" w:lineRule="exact"/>
        <w:rPr>
          <w:rFonts w:ascii="Arial" w:cs="Arial" w:eastAsia="Arial" w:hAnsi="Arial"/>
          <w:sz w:val="18"/>
          <w:szCs w:val="18"/>
          <w:color w:val="auto"/>
        </w:rPr>
      </w:pPr>
    </w:p>
    <w:p>
      <w:pPr>
        <w:ind w:firstLine="1304"/>
        <w:spacing w:after="0" w:line="277" w:lineRule="auto"/>
        <w:tabs>
          <w:tab w:leader="none" w:pos="231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 which is unpaid more than 90 days after the date of the original invoice therefor or more than 60 days after the original due date therefor, or (ii) which has been written off the books of such Borrower or otherwise designated as uncollectible;</w:t>
      </w:r>
    </w:p>
    <w:p>
      <w:pPr>
        <w:spacing w:after="0" w:line="170" w:lineRule="exact"/>
        <w:rPr>
          <w:rFonts w:ascii="Arial" w:cs="Arial" w:eastAsia="Arial" w:hAnsi="Arial"/>
          <w:sz w:val="18"/>
          <w:szCs w:val="18"/>
          <w:color w:val="auto"/>
        </w:rPr>
      </w:pPr>
    </w:p>
    <w:p>
      <w:pPr>
        <w:ind w:firstLine="1304"/>
        <w:spacing w:after="0" w:line="277" w:lineRule="auto"/>
        <w:tabs>
          <w:tab w:leader="none" w:pos="23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which is owing by an Account Debtor for which more than 50% of the Accounts owing from such Account Debtor and its Affiliates are ineligible hereunder;</w:t>
      </w:r>
    </w:p>
    <w:p>
      <w:pPr>
        <w:spacing w:after="0" w:line="170" w:lineRule="exact"/>
        <w:rPr>
          <w:rFonts w:ascii="Arial" w:cs="Arial" w:eastAsia="Arial" w:hAnsi="Arial"/>
          <w:sz w:val="18"/>
          <w:szCs w:val="18"/>
          <w:color w:val="auto"/>
        </w:rPr>
      </w:pPr>
    </w:p>
    <w:p>
      <w:pPr>
        <w:jc w:val="both"/>
        <w:ind w:firstLine="1304"/>
        <w:spacing w:after="0" w:line="254" w:lineRule="auto"/>
        <w:tabs>
          <w:tab w:leader="none" w:pos="2242"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which is owing by an Account Debtor to the extent the aggregate amount of Accounts owing from such Account Debtor and its Affiliates to (i) such Borrower exceeds 25% (or in the case of Amazon (A) 90% for the 12-month period commencing on the date that is 18-months after the Effective Date and (B) 80% thereafter commencing on the date that is 30-months after the Effective Date,) of the aggregate amount of Eligible Accounts of such Borrower or (ii) all Borrowers exceeds 25% (or in the case of Amazon (A) 90% for the 12-month period commencing on the date that is 18-months after the Effective Date and (B) 80% thereafter commencing on the date that is 30-months after the Effective Date,) of the aggregate amount of Eligible Accounts of all Borrowers (for the avoidance of doubt, there is no concentration limit for the 18-month period immediately following the Effective Date in the case of Amazon);</w:t>
      </w:r>
    </w:p>
    <w:p>
      <w:pPr>
        <w:spacing w:after="0" w:line="194" w:lineRule="exact"/>
        <w:rPr>
          <w:rFonts w:ascii="Arial" w:cs="Arial" w:eastAsia="Arial" w:hAnsi="Arial"/>
          <w:sz w:val="18"/>
          <w:szCs w:val="18"/>
          <w:color w:val="auto"/>
        </w:rPr>
      </w:pPr>
    </w:p>
    <w:p>
      <w:pPr>
        <w:ind w:left="2360" w:hanging="1056"/>
        <w:spacing w:after="0"/>
        <w:tabs>
          <w:tab w:leader="none" w:pos="23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with respect to which any covenant, representation or warranty contained in this Agreement or in the Security Agreement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has been breached or is not true;</w:t>
      </w:r>
    </w:p>
    <w:p>
      <w:pPr>
        <w:spacing w:after="0" w:line="210" w:lineRule="exact"/>
        <w:rPr>
          <w:rFonts w:ascii="Arial" w:cs="Arial" w:eastAsia="Arial" w:hAnsi="Arial"/>
          <w:sz w:val="16"/>
          <w:szCs w:val="16"/>
          <w:color w:val="auto"/>
        </w:rPr>
      </w:pPr>
    </w:p>
    <w:p>
      <w:pPr>
        <w:jc w:val="both"/>
        <w:ind w:firstLine="1304"/>
        <w:spacing w:after="0" w:line="257" w:lineRule="auto"/>
        <w:tabs>
          <w:tab w:leader="none" w:pos="2414"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which (i) does not arise from the sale of goods or performance of services in the ordinary course of business, (ii) is not evidenced by an invoice or other documentation satisfactory to the Administrative Agent in its Permitted Discretion which has been sent to the Account Debtor, (iii) represents a progress billing, (iv) is contingent upon such Borrower’s completion of any further performance, (v) represents a sale on a bill-and-hold, guaranteed sale, sale-and-return, sale on approval, consignment, cash-on-delivery or any other repurchase or return basis or (vi) relates to payments of interest, finance charges or late charges;</w:t>
      </w:r>
    </w:p>
    <w:p>
      <w:pPr>
        <w:spacing w:after="0" w:line="187" w:lineRule="exact"/>
        <w:rPr>
          <w:rFonts w:ascii="Arial" w:cs="Arial" w:eastAsia="Arial" w:hAnsi="Arial"/>
          <w:sz w:val="18"/>
          <w:szCs w:val="18"/>
          <w:color w:val="auto"/>
        </w:rPr>
      </w:pPr>
    </w:p>
    <w:p>
      <w:pPr>
        <w:ind w:firstLine="1304"/>
        <w:spacing w:after="0" w:line="277" w:lineRule="auto"/>
        <w:tabs>
          <w:tab w:leader="none" w:pos="2401" w:val="left"/>
        </w:tabs>
        <w:numPr>
          <w:ilvl w:val="1"/>
          <w:numId w:val="25"/>
        </w:numPr>
        <w:rPr>
          <w:rFonts w:ascii="Arial" w:cs="Arial" w:eastAsia="Arial" w:hAnsi="Arial"/>
          <w:sz w:val="18"/>
          <w:szCs w:val="18"/>
          <w:color w:val="auto"/>
        </w:rPr>
      </w:pPr>
      <w:r>
        <w:rPr>
          <w:rFonts w:ascii="Arial" w:cs="Arial" w:eastAsia="Arial" w:hAnsi="Arial"/>
          <w:sz w:val="18"/>
          <w:szCs w:val="18"/>
          <w:color w:val="auto"/>
        </w:rPr>
        <w:t>for which the goods giving rise to such Account have not been shipped to the Account Debtor or for which the services giving rise to such Account have not been performed by such Borrower or if such Account was invoiced more than once;</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with respect to which any check or other instrument of payment has been returned uncollected for any reason;</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2352" w:val="left"/>
        </w:tabs>
        <w:numPr>
          <w:ilvl w:val="1"/>
          <w:numId w:val="25"/>
        </w:numPr>
        <w:rPr>
          <w:rFonts w:ascii="Arial" w:cs="Arial" w:eastAsia="Arial" w:hAnsi="Arial"/>
          <w:sz w:val="16"/>
          <w:szCs w:val="16"/>
          <w:color w:val="auto"/>
        </w:rPr>
      </w:pPr>
      <w:r>
        <w:rPr>
          <w:rFonts w:ascii="Arial" w:cs="Arial" w:eastAsia="Arial" w:hAnsi="Arial"/>
          <w:sz w:val="16"/>
          <w:szCs w:val="16"/>
          <w:color w:val="auto"/>
        </w:rPr>
        <w:t>which is owed by an Account Debtor which has (i) applied for, suffered, or consented to the appointment of any receiver, custodian, trustee, or liquidator of its assets, (ii) had possession of all or a material part of its property taken by any receiver, custodian, trustee or liquidator,</w:t>
      </w:r>
    </w:p>
    <w:p>
      <w:pPr>
        <w:jc w:val="both"/>
        <w:ind w:firstLine="8"/>
        <w:spacing w:after="0" w:line="273" w:lineRule="auto"/>
        <w:tabs>
          <w:tab w:leader="none" w:pos="348" w:val="left"/>
        </w:tabs>
        <w:numPr>
          <w:ilvl w:val="0"/>
          <w:numId w:val="26"/>
        </w:numPr>
        <w:rPr>
          <w:rFonts w:ascii="Arial" w:cs="Arial" w:eastAsia="Arial" w:hAnsi="Arial"/>
          <w:sz w:val="17"/>
          <w:szCs w:val="17"/>
          <w:color w:val="auto"/>
        </w:rPr>
      </w:pPr>
      <w:r>
        <w:rPr>
          <w:rFonts w:ascii="Arial" w:cs="Arial" w:eastAsia="Arial" w:hAnsi="Arial"/>
          <w:sz w:val="17"/>
          <w:szCs w:val="17"/>
          <w:color w:val="auto"/>
        </w:rPr>
        <w:t>filed, or had filed against it, any request or petition for liquidation, reorganization, arrangement, adjustment of debts, adjudication as bankrupt, winding-up, or voluntary or involuntary case under any state or federal bankruptcy laws (other than post-petition accounts payable of an Account Debtor that is a debtor-in-possession under the Bankruptcy Code and reasonably acceptable to the Administrative Agent), (iv) admitted in writing its inability, or is generally unable to, pay its debts as they become due, (v) become insolvent, or (vi) ceased operation of its business;</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3" w:name="page54"/>
    <w:bookmarkEnd w:id="53"/>
    <w:p>
      <w:pPr>
        <w:ind w:left="2240" w:hanging="936"/>
        <w:spacing w:after="0"/>
        <w:tabs>
          <w:tab w:leader="none" w:pos="2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is owed by any Account Debtor which has sold all or substantially all of its assets;</w:t>
      </w:r>
    </w:p>
    <w:p>
      <w:pPr>
        <w:spacing w:after="0" w:line="225" w:lineRule="exact"/>
        <w:rPr>
          <w:rFonts w:ascii="Arial" w:cs="Arial" w:eastAsia="Arial" w:hAnsi="Arial"/>
          <w:sz w:val="18"/>
          <w:szCs w:val="18"/>
          <w:color w:val="auto"/>
        </w:rPr>
      </w:pPr>
    </w:p>
    <w:p>
      <w:pPr>
        <w:jc w:val="both"/>
        <w:ind w:firstLine="1304"/>
        <w:spacing w:after="0" w:line="259" w:lineRule="auto"/>
        <w:tabs>
          <w:tab w:leader="none" w:pos="2338"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is owed by an Account Debtor which (i) does not maintain its chief executive office in the U.S. or Canada or (ii) is not organized under applicable law of the U.S., any state of the U.S., or the District of Columbia, Canada, or any province of Canada unless, in any such case, such Account is backed by a Letter of Credit acceptable to the Administrative Agent which is in the possession of, and is directly drawable by, the Administrative Agent;</w:t>
      </w:r>
    </w:p>
    <w:p>
      <w:pPr>
        <w:spacing w:after="0" w:line="186" w:lineRule="exact"/>
        <w:rPr>
          <w:rFonts w:ascii="Arial" w:cs="Arial" w:eastAsia="Arial" w:hAnsi="Arial"/>
          <w:sz w:val="18"/>
          <w:szCs w:val="18"/>
          <w:color w:val="auto"/>
        </w:rPr>
      </w:pPr>
    </w:p>
    <w:p>
      <w:pPr>
        <w:ind w:left="2200" w:hanging="896"/>
        <w:spacing w:after="0"/>
        <w:tabs>
          <w:tab w:leader="none" w:pos="22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is owed in any currency other than U.S. dollars;</w:t>
      </w:r>
    </w:p>
    <w:p>
      <w:pPr>
        <w:spacing w:after="0" w:line="225" w:lineRule="exact"/>
        <w:rPr>
          <w:rFonts w:ascii="Arial" w:cs="Arial" w:eastAsia="Arial" w:hAnsi="Arial"/>
          <w:sz w:val="18"/>
          <w:szCs w:val="18"/>
          <w:color w:val="auto"/>
        </w:rPr>
      </w:pPr>
    </w:p>
    <w:p>
      <w:pPr>
        <w:jc w:val="both"/>
        <w:ind w:firstLine="1304"/>
        <w:spacing w:after="0" w:line="296" w:lineRule="auto"/>
        <w:tabs>
          <w:tab w:leader="none" w:pos="2414"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which is owed by (i) any government (or any department, agency, public corporation, or instrumentality thereof) of any country other than the U.S. unless such Account is backed by a Letter of Credit acceptable to the Administrative Agent which is in the possession of, and is directly drawable by, the Administrative Agent, or (ii) any government of the U.S., or any department, agency, public corporation, or instrumentality thereof, unless the Federal Assignment of Claims Act of 1940, as amended (31 U.S.C. § 3727 et seq. and 41 U.S.C. § 15 et seq.), and any other steps necessary to perfect the Lien of the Administrative Agent in such Account have been complied with to the Administrative Agent’s satisfaction;</w:t>
      </w:r>
    </w:p>
    <w:p>
      <w:pPr>
        <w:spacing w:after="0" w:line="161" w:lineRule="exact"/>
        <w:rPr>
          <w:rFonts w:ascii="Arial" w:cs="Arial" w:eastAsia="Arial" w:hAnsi="Arial"/>
          <w:sz w:val="16"/>
          <w:szCs w:val="16"/>
          <w:color w:val="auto"/>
        </w:rPr>
      </w:pPr>
    </w:p>
    <w:p>
      <w:pPr>
        <w:ind w:left="2280" w:hanging="976"/>
        <w:spacing w:after="0"/>
        <w:tabs>
          <w:tab w:leader="none" w:pos="22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which is owed by any Affiliate of any Loan Party or any employee, officer, director, agent or stockholder of any Loan Party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of its Affiliates;</w:t>
      </w:r>
    </w:p>
    <w:p>
      <w:pPr>
        <w:spacing w:after="0" w:line="210" w:lineRule="exact"/>
        <w:rPr>
          <w:rFonts w:ascii="Arial" w:cs="Arial" w:eastAsia="Arial" w:hAnsi="Arial"/>
          <w:sz w:val="16"/>
          <w:szCs w:val="16"/>
          <w:color w:val="auto"/>
        </w:rPr>
      </w:pPr>
    </w:p>
    <w:p>
      <w:pPr>
        <w:ind w:left="2240" w:hanging="936"/>
        <w:spacing w:after="0"/>
        <w:tabs>
          <w:tab w:leader="none" w:pos="22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which, for any Account Debtor, exceeds a credit limit determined by the Administrative Agent in its Permitted Discretion,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extent of such excess;</w:t>
      </w:r>
    </w:p>
    <w:p>
      <w:pPr>
        <w:spacing w:after="0" w:line="210" w:lineRule="exact"/>
        <w:rPr>
          <w:rFonts w:ascii="Arial" w:cs="Arial" w:eastAsia="Arial" w:hAnsi="Arial"/>
          <w:sz w:val="16"/>
          <w:szCs w:val="16"/>
          <w:color w:val="auto"/>
        </w:rPr>
      </w:pPr>
    </w:p>
    <w:p>
      <w:pPr>
        <w:jc w:val="both"/>
        <w:ind w:firstLine="1304"/>
        <w:spacing w:after="0" w:line="263" w:lineRule="auto"/>
        <w:tabs>
          <w:tab w:leader="none" w:pos="2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is owed by an Account Debtor or any Affiliate of such Account Debtor to which any Loan Party is indebted, but only to the extent of such indebtedness, or is subject to any security, deposit, progress payment, retainage or other similar advance made by or for the benefit of an Account Debtor, in each case to the extent thereof;</w:t>
      </w:r>
    </w:p>
    <w:p>
      <w:pPr>
        <w:spacing w:after="0" w:line="183" w:lineRule="exact"/>
        <w:rPr>
          <w:rFonts w:ascii="Arial" w:cs="Arial" w:eastAsia="Arial" w:hAnsi="Arial"/>
          <w:sz w:val="18"/>
          <w:szCs w:val="18"/>
          <w:color w:val="auto"/>
        </w:rPr>
      </w:pPr>
    </w:p>
    <w:p>
      <w:pPr>
        <w:ind w:right="20" w:firstLine="1304"/>
        <w:spacing w:after="0" w:line="277" w:lineRule="auto"/>
        <w:tabs>
          <w:tab w:leader="none" w:pos="232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is subject to any counterclaim, deduction, defense, setoff or dispute but only to the extent of any such counterclaim, deduction, defense, setoff or dispute;</w:t>
      </w:r>
    </w:p>
    <w:p>
      <w:pPr>
        <w:spacing w:after="0" w:line="170" w:lineRule="exact"/>
        <w:rPr>
          <w:rFonts w:ascii="Arial" w:cs="Arial" w:eastAsia="Arial" w:hAnsi="Arial"/>
          <w:sz w:val="18"/>
          <w:szCs w:val="18"/>
          <w:color w:val="auto"/>
        </w:rPr>
      </w:pPr>
    </w:p>
    <w:p>
      <w:pPr>
        <w:ind w:left="2260" w:hanging="956"/>
        <w:spacing w:after="0"/>
        <w:tabs>
          <w:tab w:leader="none" w:pos="2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is evidenced by any promissory note, chattel paper or instrument;</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271" w:val="left"/>
        </w:tabs>
        <w:numPr>
          <w:ilvl w:val="0"/>
          <w:numId w:val="27"/>
        </w:numPr>
        <w:rPr>
          <w:rFonts w:ascii="Arial" w:cs="Arial" w:eastAsia="Arial" w:hAnsi="Arial"/>
          <w:sz w:val="18"/>
          <w:szCs w:val="18"/>
          <w:color w:val="auto"/>
        </w:rPr>
      </w:pPr>
      <w:r>
        <w:rPr>
          <w:rFonts w:ascii="Arial" w:cs="Arial" w:eastAsia="Arial" w:hAnsi="Arial"/>
          <w:sz w:val="18"/>
          <w:szCs w:val="18"/>
          <w:color w:val="auto"/>
        </w:rPr>
        <w:t>which is owed by an Account Debtor (i) located in any jurisdiction which requires filing of a “</w:t>
      </w:r>
      <w:r>
        <w:rPr>
          <w:rFonts w:ascii="Arial" w:cs="Arial" w:eastAsia="Arial" w:hAnsi="Arial"/>
          <w:sz w:val="18"/>
          <w:szCs w:val="18"/>
          <w:u w:val="single" w:color="auto"/>
          <w:color w:val="auto"/>
        </w:rPr>
        <w:t>Notice of Business Activities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Report</w:t>
      </w:r>
      <w:r>
        <w:rPr>
          <w:rFonts w:ascii="Arial" w:cs="Arial" w:eastAsia="Arial" w:hAnsi="Arial"/>
          <w:sz w:val="18"/>
          <w:szCs w:val="18"/>
          <w:color w:val="auto"/>
        </w:rPr>
        <w:t>” or other similar report in order to permit such Borrower to seek judicial enforcement in such jurisdiction of payment of such Account, unless such Borrower has filed such report or qualified to do business in such jurisdiction or (ii) which is a Sanctioned Person;</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3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 respect to which such Borrower has made any agreement with the Account Debtor for any reduction thereof, other than discounts and adjustments given in the ordinary course of business but only to the extent of any such reduction, or any Account which was partially paid and such Borrower created a new receivable for the unpaid portion of such Account;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4" w:name="page55"/>
    <w:bookmarkEnd w:id="54"/>
    <w:p>
      <w:pPr>
        <w:ind w:firstLine="1304"/>
        <w:spacing w:after="0" w:line="342" w:lineRule="auto"/>
        <w:tabs>
          <w:tab w:leader="none" w:pos="2225"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which does not comply in all material respects with the requirements of all applicable laws and regulations, whether Federal, state or local, including without limitation the Federal Consumer Credit Protection Act, the Federal Truth in Lending Act and Regulation Z of the Board;</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2283"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which is for goods that have been sold under a purchase order or pursuant to the terms of a contract or other agreement or understanding (written or oral) that indicates or purports that any Person other than such Borrower has or has had an ownership interest in such goods, or which indicates any party other than such Borrower as payee or remittance party;</w:t>
      </w:r>
    </w:p>
    <w:p>
      <w:pPr>
        <w:spacing w:after="0" w:line="183" w:lineRule="exact"/>
        <w:rPr>
          <w:rFonts w:ascii="Arial" w:cs="Arial" w:eastAsia="Arial" w:hAnsi="Arial"/>
          <w:sz w:val="18"/>
          <w:szCs w:val="18"/>
          <w:color w:val="auto"/>
        </w:rPr>
      </w:pPr>
    </w:p>
    <w:p>
      <w:pPr>
        <w:ind w:left="2240" w:hanging="936"/>
        <w:spacing w:after="0"/>
        <w:tabs>
          <w:tab w:leader="none" w:pos="22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which was created on cash on delivery terms;</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06"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unless otherwise waived by the Administrative Agent in its Permitted Discretion, Accounts owned or generated by a target or business acquired in connection with a Permitted Acquisition until the completion of an appraisal and field examination with respect to such target or business, in each case, reasonably satisfactory to the Administrative Agent; or</w:t>
      </w:r>
    </w:p>
    <w:p>
      <w:pPr>
        <w:spacing w:after="0" w:line="183" w:lineRule="exact"/>
        <w:rPr>
          <w:rFonts w:ascii="Arial" w:cs="Arial" w:eastAsia="Arial" w:hAnsi="Arial"/>
          <w:sz w:val="18"/>
          <w:szCs w:val="18"/>
          <w:color w:val="auto"/>
        </w:rPr>
      </w:pPr>
    </w:p>
    <w:p>
      <w:pPr>
        <w:ind w:firstLine="1304"/>
        <w:spacing w:after="0" w:line="342" w:lineRule="auto"/>
        <w:tabs>
          <w:tab w:leader="none" w:pos="2269"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which the Administrative Agent, in its Permitted Discretion, determines may not be paid by reason of the Account Debtor’s inability to pay or which the Administrative Agent otherwise determines, in its Permitted Discretion, is unacceptable for any reason whatsoever.</w:t>
      </w:r>
    </w:p>
    <w:p>
      <w:pPr>
        <w:spacing w:after="0" w:line="12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that an Account of a Borrower which was previously an Eligible Account ceases to be an Eligible Account hereunder, such Borrower or the Borrower Representative shall notify the Administrative Agent thereof on and at the time of submission to the Administrative Agent of the next Borrowing Base Certificate. In determining the amount of an Eligible Account of a Borrower, the face amount of an Account may, in the Administrative Agent’s Permitted Discretion, be reduced by, without duplication, to the extent not reflected in such face amount, (i) the amount of all accrued and actual discounts, claims, credits or credits pending, promotional program allowances, price adjustments, finance charges or other allowances (including any amount that such Borrower may be obligated to rebate to an Account Debtor pursuant to the terms of any agreement or understanding (written or oral)) and (ii) the aggregate amount of all cash received in respect of such Account but not yet applied by such Borrower to reduce the amount of such Account.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Credit Card Receivables</w:t>
      </w:r>
      <w:r>
        <w:rPr>
          <w:rFonts w:ascii="Arial" w:cs="Arial" w:eastAsia="Arial" w:hAnsi="Arial"/>
          <w:sz w:val="18"/>
          <w:szCs w:val="18"/>
          <w:color w:val="auto"/>
        </w:rPr>
        <w:t>” means, at any time, the Accounts due to a Borrower from a major credit card processors (including VISA, Mastercard, American Express, DiscoverCard and any other credit card processor approved by the Administrative Agent) that arise in the ordinary course of business and have been earned by performance, which the Administrative Agent determines in its Permitted Discretion are eligible for inclusion in the Borrowing Base. Without limiting the Administrative Agent’s discretion provided herein, none of the following shall be deemed to be Eligible Credit Card Receivables:</w:t>
      </w:r>
    </w:p>
    <w:p>
      <w:pPr>
        <w:spacing w:after="0" w:line="188" w:lineRule="exact"/>
        <w:rPr>
          <w:sz w:val="20"/>
          <w:szCs w:val="20"/>
          <w:color w:val="auto"/>
        </w:rPr>
      </w:pPr>
    </w:p>
    <w:p>
      <w:pPr>
        <w:ind w:firstLine="656"/>
        <w:spacing w:after="0" w:line="277"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Accounts due from major credit card processors that have been outstanding for more than five (5) Business Days from the date of sale or for such longer period as may be approved by the Administrative Agent;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Accounts due from major credit card processors with respect to which a Borrower does not have good, valid and marketable title thereto;</w:t>
      </w:r>
    </w:p>
    <w:p>
      <w:pPr>
        <w:spacing w:after="0" w:line="236" w:lineRule="exact"/>
        <w:rPr>
          <w:rFonts w:ascii="Arial" w:cs="Arial" w:eastAsia="Arial" w:hAnsi="Arial"/>
          <w:sz w:val="17"/>
          <w:szCs w:val="17"/>
          <w:color w:val="auto"/>
        </w:rPr>
      </w:pPr>
    </w:p>
    <w:p>
      <w:pPr>
        <w:ind w:left="900" w:hanging="244"/>
        <w:spacing w:after="0"/>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Accounts due from major credit card processors that are not subject to a first priority perfected Lien in favor of the Administrative Agent;</w:t>
      </w:r>
    </w:p>
    <w:p>
      <w:pPr>
        <w:spacing w:after="0" w:line="236" w:lineRule="exact"/>
        <w:rPr>
          <w:rFonts w:ascii="Arial" w:cs="Arial" w:eastAsia="Arial" w:hAnsi="Arial"/>
          <w:sz w:val="17"/>
          <w:szCs w:val="17"/>
          <w:color w:val="auto"/>
        </w:rPr>
      </w:pPr>
    </w:p>
    <w:p>
      <w:pPr>
        <w:jc w:val="both"/>
        <w:ind w:firstLine="656"/>
        <w:spacing w:after="0" w:line="286" w:lineRule="auto"/>
        <w:tabs>
          <w:tab w:leader="none" w:pos="912" w:val="left"/>
        </w:tabs>
        <w:numPr>
          <w:ilvl w:val="0"/>
          <w:numId w:val="29"/>
        </w:numPr>
        <w:rPr>
          <w:rFonts w:ascii="Arial" w:cs="Arial" w:eastAsia="Arial" w:hAnsi="Arial"/>
          <w:sz w:val="17"/>
          <w:szCs w:val="17"/>
          <w:color w:val="auto"/>
        </w:rPr>
      </w:pPr>
      <w:r>
        <w:rPr>
          <w:rFonts w:ascii="Arial" w:cs="Arial" w:eastAsia="Arial" w:hAnsi="Arial"/>
          <w:sz w:val="17"/>
          <w:szCs w:val="17"/>
          <w:color w:val="auto"/>
        </w:rPr>
        <w:t>Accounts due from major credit card processors which are disputed, or with respect to which a claim, counterclaim, offset or chargeback has been asserted, by the related credit card processor (but only to the extent of such dispute, counterclaim, offset or chargeback) (it being the intent that chargebacks in the ordinary course by the credit card processors shall not be deemed violative of this clause);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5" w:name="page56"/>
    <w:bookmarkEnd w:id="55"/>
    <w:p>
      <w:pPr>
        <w:ind w:firstLine="656"/>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Accounts due from major credit card processor that (i) is the subject of any proceeding under the Bankruptcy Code, or (ii) the Administrative Agent determines in its Permitted Discretion to be unlikely to be collected; or</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which any covenant contained in this Agreement or in the applicable Security Agreement has been breached or any representation or warranty contained in this Agreement or in the applicable Security Agreement is not true in any material respect (or with respect to any representation or warranty that is already qualified by materiality, such representation or warranty is not true).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Inventory</w:t>
      </w:r>
      <w:r>
        <w:rPr>
          <w:rFonts w:ascii="Arial" w:cs="Arial" w:eastAsia="Arial" w:hAnsi="Arial"/>
          <w:sz w:val="18"/>
          <w:szCs w:val="18"/>
          <w:color w:val="auto"/>
        </w:rPr>
        <w:t>” means, at any time, the Inventory of a Borrower which the Administrative Agent determines in its Permitted Discretion is eligible as the basis for the extension of Revolving Loans and Swingline Loans and the issuance of Letters of Credit. Without limiting the Administrative Agent’s discretion provided herein, Eligible Inventory of a Borrower shall not include any Inventory:</w:t>
      </w:r>
    </w:p>
    <w:p>
      <w:pPr>
        <w:spacing w:after="0" w:line="184" w:lineRule="exact"/>
        <w:rPr>
          <w:sz w:val="20"/>
          <w:szCs w:val="20"/>
          <w:color w:val="auto"/>
        </w:rPr>
      </w:pPr>
    </w:p>
    <w:p>
      <w:pPr>
        <w:ind w:left="900" w:hanging="244"/>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which is not subject to a first priority perfected Lien in favor of the Administrative Agent;</w:t>
      </w:r>
    </w:p>
    <w:p>
      <w:pPr>
        <w:spacing w:after="0" w:line="225" w:lineRule="exact"/>
        <w:rPr>
          <w:rFonts w:ascii="Arial" w:cs="Arial" w:eastAsia="Arial" w:hAnsi="Arial"/>
          <w:sz w:val="18"/>
          <w:szCs w:val="18"/>
          <w:color w:val="auto"/>
        </w:rPr>
      </w:pPr>
    </w:p>
    <w:p>
      <w:pPr>
        <w:ind w:firstLine="656"/>
        <w:spacing w:after="0" w:line="277" w:lineRule="auto"/>
        <w:tabs>
          <w:tab w:leader="none" w:pos="9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which is subject to any Lien other than (i) a Lien in favor of the Administrative Agent and (ii) a Permitted Encumbrance which does not have priority over the Lien in favor of the Administrative Agent;</w:t>
      </w:r>
    </w:p>
    <w:p>
      <w:pPr>
        <w:spacing w:after="0" w:line="170" w:lineRule="exact"/>
        <w:rPr>
          <w:rFonts w:ascii="Arial" w:cs="Arial" w:eastAsia="Arial" w:hAnsi="Arial"/>
          <w:sz w:val="18"/>
          <w:szCs w:val="18"/>
          <w:color w:val="auto"/>
        </w:rPr>
      </w:pPr>
    </w:p>
    <w:p>
      <w:pPr>
        <w:ind w:firstLine="656"/>
        <w:spacing w:after="0" w:line="342" w:lineRule="auto"/>
        <w:tabs>
          <w:tab w:leader="none" w:pos="898"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which is, in the Administrative Agent’s reasonable opinion, slow moving, obsolete, unmerchantable, defective, used, unfit for sale, not salable at prices approximating at least the cost of such Inventory in the ordinary course of business or unacceptable due to age, type, category and/or quantity;</w:t>
      </w:r>
    </w:p>
    <w:p>
      <w:pPr>
        <w:spacing w:after="0" w:line="123" w:lineRule="exact"/>
        <w:rPr>
          <w:rFonts w:ascii="Arial" w:cs="Arial" w:eastAsia="Arial" w:hAnsi="Arial"/>
          <w:sz w:val="16"/>
          <w:szCs w:val="16"/>
          <w:color w:val="auto"/>
        </w:rPr>
      </w:pPr>
    </w:p>
    <w:p>
      <w:pPr>
        <w:jc w:val="both"/>
        <w:ind w:firstLine="656"/>
        <w:spacing w:after="0" w:line="263" w:lineRule="auto"/>
        <w:tabs>
          <w:tab w:leader="none" w:pos="90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which any covenant, representation or warranty contained in this Agreement or in the Security Agreement has been breached or is not true in any material respect (or with respect to any representation or warranty that is already qualified by materiality, such representation or warranty is not true).and which does not conform to all standards imposed by any Governmental Authority;</w:t>
      </w:r>
    </w:p>
    <w:p>
      <w:pPr>
        <w:spacing w:after="0" w:line="183" w:lineRule="exact"/>
        <w:rPr>
          <w:rFonts w:ascii="Arial" w:cs="Arial" w:eastAsia="Arial" w:hAnsi="Arial"/>
          <w:sz w:val="18"/>
          <w:szCs w:val="18"/>
          <w:color w:val="auto"/>
        </w:rPr>
      </w:pPr>
    </w:p>
    <w:p>
      <w:pPr>
        <w:ind w:firstLine="656"/>
        <w:spacing w:after="0" w:line="277" w:lineRule="auto"/>
        <w:tabs>
          <w:tab w:leader="none" w:pos="91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which any Person other than such Borrower shall (i) have any direct or indirect ownership, interest or title or (ii) be indicated on any purchase order or invoice with respect to such Inventory as having or purporting to have an interest therein;</w:t>
      </w:r>
    </w:p>
    <w:p>
      <w:pPr>
        <w:spacing w:after="0" w:line="170" w:lineRule="exact"/>
        <w:rPr>
          <w:rFonts w:ascii="Arial" w:cs="Arial" w:eastAsia="Arial" w:hAnsi="Arial"/>
          <w:sz w:val="18"/>
          <w:szCs w:val="18"/>
          <w:color w:val="auto"/>
        </w:rPr>
      </w:pPr>
    </w:p>
    <w:p>
      <w:pPr>
        <w:jc w:val="both"/>
        <w:ind w:firstLine="656"/>
        <w:spacing w:after="0" w:line="259" w:lineRule="auto"/>
        <w:tabs>
          <w:tab w:leader="none" w:pos="893"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which is not finished goods or which constitutes work-in-process, raw materials, spare or replacement parts, subassemblies, packaging and shipping material, manufacturing supplies, samples, prototypes, displays or display items, bill-and-hold or ship-in-place goods, goods that are returned or marked for return, repossessed goods, defective or damaged goods, goods held on consignment, or goods which are not of a type held for sale in the ordinary course of business;</w:t>
      </w:r>
    </w:p>
    <w:p>
      <w:pPr>
        <w:spacing w:after="0" w:line="186" w:lineRule="exact"/>
        <w:rPr>
          <w:rFonts w:ascii="Arial" w:cs="Arial" w:eastAsia="Arial" w:hAnsi="Arial"/>
          <w:sz w:val="18"/>
          <w:szCs w:val="18"/>
          <w:color w:val="auto"/>
        </w:rPr>
      </w:pPr>
    </w:p>
    <w:p>
      <w:pPr>
        <w:jc w:val="both"/>
        <w:ind w:firstLine="656"/>
        <w:spacing w:after="0" w:line="263" w:lineRule="auto"/>
        <w:tabs>
          <w:tab w:leader="none" w:pos="9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which is not located in the U.S. or is in transit with a common carrier from vendors or suppliers or has not been released or cleared for sale by US Customs and Border Protection, Food and Drug Administration or other regulatory agencies,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Inventory, in transit from vendors and suppliers may be included as Eligible Inventory despite the foregoing provision of this clause (g) so long as:</w:t>
      </w:r>
    </w:p>
    <w:p>
      <w:pPr>
        <w:spacing w:after="0" w:line="183" w:lineRule="exact"/>
        <w:rPr>
          <w:rFonts w:ascii="Arial" w:cs="Arial" w:eastAsia="Arial" w:hAnsi="Arial"/>
          <w:sz w:val="18"/>
          <w:szCs w:val="18"/>
          <w:color w:val="auto"/>
        </w:rPr>
      </w:pPr>
    </w:p>
    <w:p>
      <w:pPr>
        <w:jc w:val="both"/>
        <w:ind w:left="1960" w:hanging="8"/>
        <w:spacing w:after="0" w:line="263" w:lineRule="auto"/>
        <w:tabs>
          <w:tab w:leader="none" w:pos="2186"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Administrative Agent shall have received (1) a true and correct copy of the bill of lading and other shipping documents for such Inventory and (2) evidence of satisfactory casualty insurance naming the Administrative Agent as lender loss payable and otherwise covering such risks as the Administrative Agent may reasonably request,</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6" w:name="page57"/>
    <w:bookmarkEnd w:id="56"/>
    <w:p>
      <w:pPr>
        <w:jc w:val="both"/>
        <w:ind w:left="1960" w:hanging="656"/>
        <w:spacing w:after="0" w:line="311" w:lineRule="auto"/>
        <w:tabs>
          <w:tab w:leader="none" w:pos="1918"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bill of lading is non-negotiable, the Inventory must be in transit within the U.S., and the Administrative Agent shall have received, if requested, a duly executed Collateral Access Agreement, in form and substance satisfactory to the Administrative Agent in its Permitted Discretion, from the applicable customs broker, freight forwarder or carrier for such Inventory,</w:t>
      </w:r>
    </w:p>
    <w:p>
      <w:pPr>
        <w:spacing w:after="0" w:line="148" w:lineRule="exact"/>
        <w:rPr>
          <w:rFonts w:ascii="Arial" w:cs="Arial" w:eastAsia="Arial" w:hAnsi="Arial"/>
          <w:sz w:val="16"/>
          <w:szCs w:val="16"/>
          <w:color w:val="auto"/>
        </w:rPr>
      </w:pPr>
    </w:p>
    <w:p>
      <w:pPr>
        <w:jc w:val="both"/>
        <w:ind w:left="1960" w:hanging="656"/>
        <w:spacing w:after="0" w:line="293" w:lineRule="auto"/>
        <w:tabs>
          <w:tab w:leader="none" w:pos="1923" w:val="left"/>
        </w:tabs>
        <w:numPr>
          <w:ilvl w:val="1"/>
          <w:numId w:val="32"/>
        </w:numPr>
        <w:rPr>
          <w:rFonts w:ascii="Arial" w:cs="Arial" w:eastAsia="Arial" w:hAnsi="Arial"/>
          <w:sz w:val="16"/>
          <w:szCs w:val="16"/>
          <w:color w:val="auto"/>
        </w:rPr>
      </w:pPr>
      <w:r>
        <w:rPr>
          <w:rFonts w:ascii="Arial" w:cs="Arial" w:eastAsia="Arial" w:hAnsi="Arial"/>
          <w:sz w:val="16"/>
          <w:szCs w:val="16"/>
          <w:color w:val="auto"/>
        </w:rPr>
        <w:t>if the bill of lading is negotiable, the Inventory must be in transit from outside the U.S., and the Administrative Agent shall have received (1) confirmation that the bill is issued in the name of such Borrower and consigned to the order of the Administrative Agent, and an acceptable agreement has been executed with such Borrower’s customs broker, in which the customs broker agrees that it holds the negotiable bill as agent for the Administrative Agent and has granted the Administrative Agent access to the Inventory, (2) confirmation that such Borrower has paid for the goods, and (3) an estimate from such Borrower of the customs duties and customs fees associated with the Inventory in order to establish an appropriate Reserve,</w:t>
      </w:r>
    </w:p>
    <w:p>
      <w:pPr>
        <w:spacing w:after="0" w:line="164" w:lineRule="exact"/>
        <w:rPr>
          <w:rFonts w:ascii="Arial" w:cs="Arial" w:eastAsia="Arial" w:hAnsi="Arial"/>
          <w:sz w:val="16"/>
          <w:szCs w:val="16"/>
          <w:color w:val="auto"/>
        </w:rPr>
      </w:pPr>
    </w:p>
    <w:p>
      <w:pPr>
        <w:ind w:left="1880" w:hanging="576"/>
        <w:spacing w:after="0"/>
        <w:tabs>
          <w:tab w:leader="none" w:pos="18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common carrier is not an Affiliate of the applicable vendor or supplier, and</w:t>
      </w:r>
    </w:p>
    <w:p>
      <w:pPr>
        <w:spacing w:after="0" w:line="225" w:lineRule="exact"/>
        <w:rPr>
          <w:rFonts w:ascii="Arial" w:cs="Arial" w:eastAsia="Arial" w:hAnsi="Arial"/>
          <w:sz w:val="18"/>
          <w:szCs w:val="18"/>
          <w:color w:val="auto"/>
        </w:rPr>
      </w:pPr>
    </w:p>
    <w:p>
      <w:pPr>
        <w:ind w:left="1820" w:hanging="516"/>
        <w:spacing w:after="0"/>
        <w:tabs>
          <w:tab w:leader="none" w:pos="18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customs broker is not an Affiliate of any Borrower;</w:t>
      </w:r>
    </w:p>
    <w:p>
      <w:pPr>
        <w:spacing w:after="0" w:line="225" w:lineRule="exact"/>
        <w:rPr>
          <w:rFonts w:ascii="Arial" w:cs="Arial" w:eastAsia="Arial" w:hAnsi="Arial"/>
          <w:sz w:val="18"/>
          <w:szCs w:val="18"/>
          <w:color w:val="auto"/>
        </w:rPr>
      </w:pPr>
    </w:p>
    <w:p>
      <w:pPr>
        <w:jc w:val="both"/>
        <w:ind w:left="1960" w:hanging="656"/>
        <w:spacing w:after="0" w:line="259" w:lineRule="auto"/>
        <w:tabs>
          <w:tab w:leader="none" w:pos="1981" w:val="left"/>
        </w:tabs>
        <w:numPr>
          <w:ilvl w:val="1"/>
          <w:numId w:val="32"/>
        </w:numPr>
        <w:rPr>
          <w:rFonts w:ascii="Arial" w:cs="Arial" w:eastAsia="Arial" w:hAnsi="Arial"/>
          <w:sz w:val="18"/>
          <w:szCs w:val="18"/>
          <w:color w:val="auto"/>
        </w:rPr>
      </w:pPr>
      <w:r>
        <w:rPr>
          <w:rFonts w:ascii="Arial" w:cs="Arial" w:eastAsia="Arial" w:hAnsi="Arial"/>
          <w:sz w:val="18"/>
          <w:szCs w:val="18"/>
          <w:color w:val="auto"/>
        </w:rPr>
        <w:t>which is located in any location leased by such Borrower unless (A)(i) the lessor has delivered to the Administrative Agent a Collateral Access Agreement or (ii) a Reserve for rent, charges and other amounts due or to become due with respect to such facility has been established by the Administrative Agent in its Permitted Discretion and (B) at least $100,000 of Inventory of the Borrowers is located at such location;</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1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which is located in any third party warehouse or is in the possession of a bailee (other than a third party processor) and is not evidenced by a Document (other than bills of lading to the extent permitted pursuant to clause (g) above), unless (A)(i) such warehouseman or bailee has delivered to the Administrative Agent a Collateral Access Agreement and such other documentation as the Administrative Agent may require or (ii) an appropriate Reserve has been established by the Administrative Agent in its Permitted Discretion and (B) at least $100,000 of Inventory of the Borrowers is located at such third party warehouse or in possession of such bailee;</w:t>
      </w:r>
    </w:p>
    <w:p>
      <w:pPr>
        <w:spacing w:after="0" w:line="18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which is being processed offsite at a third party location or outside processor, or is in-transit to or from such third party location or outside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processor;</w:t>
      </w:r>
    </w:p>
    <w:p>
      <w:pPr>
        <w:spacing w:after="0" w:line="210" w:lineRule="exact"/>
        <w:rPr>
          <w:rFonts w:ascii="Arial" w:cs="Arial" w:eastAsia="Arial" w:hAnsi="Arial"/>
          <w:sz w:val="17"/>
          <w:szCs w:val="17"/>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which is a discontinued product or component thereof;</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which is the subject of a consignment by such Borrower as consignor;</w:t>
      </w:r>
    </w:p>
    <w:p>
      <w:pPr>
        <w:spacing w:after="0" w:line="225"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which is perishable;</w:t>
      </w:r>
    </w:p>
    <w:p>
      <w:pPr>
        <w:spacing w:after="0" w:line="225" w:lineRule="exact"/>
        <w:rPr>
          <w:rFonts w:ascii="Arial" w:cs="Arial" w:eastAsia="Arial" w:hAnsi="Arial"/>
          <w:sz w:val="18"/>
          <w:szCs w:val="18"/>
          <w:color w:val="auto"/>
        </w:rPr>
      </w:pPr>
    </w:p>
    <w:p>
      <w:pPr>
        <w:jc w:val="both"/>
        <w:ind w:firstLine="656"/>
        <w:spacing w:after="0" w:line="311" w:lineRule="auto"/>
        <w:tabs>
          <w:tab w:leader="none" w:pos="957"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which contains or bears any intellectual property rights licensed to such Borrower unless the Administrative Agent is satisfied that it may sell or otherwise dispose of such Inventory without (i) infringing the rights of such licensor, (ii) violating any contract with such licensor, or (iii) incurring any liability with respect to payment of royalties other than royalties incurred pursuant to sale of such Inventory under the current licensing agreement;</w:t>
      </w: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7" w:name="page58"/>
    <w:bookmarkEnd w:id="57"/>
    <w:p>
      <w:pPr>
        <w:ind w:firstLine="656"/>
        <w:spacing w:after="0" w:line="277" w:lineRule="auto"/>
        <w:tabs>
          <w:tab w:leader="none" w:pos="9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which is not reflected in a current perpetual inventory report of such Borrower (unless such Inventory is reflected in a report to the Administrative Agent as “</w:t>
      </w:r>
      <w:r>
        <w:rPr>
          <w:rFonts w:ascii="Arial" w:cs="Arial" w:eastAsia="Arial" w:hAnsi="Arial"/>
          <w:sz w:val="18"/>
          <w:szCs w:val="18"/>
          <w:u w:val="single" w:color="auto"/>
          <w:color w:val="auto"/>
        </w:rPr>
        <w:t>in transit</w:t>
      </w:r>
      <w:r>
        <w:rPr>
          <w:rFonts w:ascii="Arial" w:cs="Arial" w:eastAsia="Arial" w:hAnsi="Arial"/>
          <w:sz w:val="18"/>
          <w:szCs w:val="18"/>
          <w:color w:val="auto"/>
        </w:rPr>
        <w:t>” Inventory);</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which reclamation rights have been asserted by the seller;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which has been acquired from a Sanctioned Person;</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unless otherwise waived by the Administrative Agent in its Permitted Discretion, Inventory owned or generated by a target or business acquired in connection with a Permitted Acquisition until the completion of an appraisal and field examination with respect to such target or business, in each case, reasonably satisfactory to the Administrative Agent; or</w:t>
      </w:r>
    </w:p>
    <w:p>
      <w:pPr>
        <w:spacing w:after="0" w:line="183"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which the Administrative Agent otherwise determines is unacceptable in its Permitted Discretion.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event that Inventory of a Borrower which was previously Eligible Inventory ceases to be Eligible Inventory hereunder, such Borrower or the Borrower Representative shall notify the Administrative Agent thereof on and at the time of submission to the Administrative Agent of the next Borrowing Base Certificate.</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Laws</w:t>
      </w:r>
      <w:r>
        <w:rPr>
          <w:rFonts w:ascii="Arial" w:cs="Arial" w:eastAsia="Arial" w:hAnsi="Arial"/>
          <w:sz w:val="17"/>
          <w:szCs w:val="17"/>
          <w:color w:val="auto"/>
        </w:rPr>
        <w:t>” means all laws, rules, regulations, codes, ordinances, orders, decrees, judgments, injunctions, notices or binding agreements issued, promulgated or entered into by any Governmental Authority, relating in any way to (a) the environment, (b) preservation or reclamation of natural resources, (c) the management, Release or threatened Release of any Hazardous Material or (d) health and safety matters.</w:t>
      </w:r>
    </w:p>
    <w:p>
      <w:pPr>
        <w:spacing w:after="0" w:line="16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of any Loan Party or Subsidiary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of the foregoing, but excluding any debt securities convertible into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from time to time, and the rules and regulations promulgated thereunder.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trade or business (whether or not incorporated) that, together with any Loan Party, is treated as a single employer under Section 414(b) or (c) of the Code or Section 4001(14) of ERISA or, solely for purposes of Section 302 of ERISA and Section 412 of the Code, is treated as a single employer under Section 414 of the Code.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8" w:name="page59"/>
    <w:bookmarkEnd w:id="58"/>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Event</w:t>
      </w:r>
      <w:r>
        <w:rPr>
          <w:rFonts w:ascii="Arial" w:cs="Arial" w:eastAsia="Arial" w:hAnsi="Arial"/>
          <w:sz w:val="16"/>
          <w:szCs w:val="16"/>
          <w:color w:val="auto"/>
        </w:rPr>
        <w:t>” means (a) any “</w:t>
      </w:r>
      <w:r>
        <w:rPr>
          <w:rFonts w:ascii="Arial" w:cs="Arial" w:eastAsia="Arial" w:hAnsi="Arial"/>
          <w:sz w:val="16"/>
          <w:szCs w:val="16"/>
          <w:u w:val="single" w:color="auto"/>
          <w:color w:val="auto"/>
        </w:rPr>
        <w:t>reportable event</w:t>
      </w:r>
      <w:r>
        <w:rPr>
          <w:rFonts w:ascii="Arial" w:cs="Arial" w:eastAsia="Arial" w:hAnsi="Arial"/>
          <w:sz w:val="16"/>
          <w:szCs w:val="16"/>
          <w:color w:val="auto"/>
        </w:rPr>
        <w:t>”, as defined in Section 4043 of ERISA or the regulations issued thereunder, with respect to a Plan (other than an event for which the 30 day notice period is waived); (b) the failure to satisfy the “</w:t>
      </w:r>
      <w:r>
        <w:rPr>
          <w:rFonts w:ascii="Arial" w:cs="Arial" w:eastAsia="Arial" w:hAnsi="Arial"/>
          <w:sz w:val="16"/>
          <w:szCs w:val="16"/>
          <w:u w:val="single" w:color="auto"/>
          <w:color w:val="auto"/>
        </w:rPr>
        <w:t>minimum funding standard</w:t>
      </w:r>
      <w:r>
        <w:rPr>
          <w:rFonts w:ascii="Arial" w:cs="Arial" w:eastAsia="Arial" w:hAnsi="Arial"/>
          <w:sz w:val="16"/>
          <w:szCs w:val="16"/>
          <w:color w:val="auto"/>
        </w:rPr>
        <w:t>” (as defined in Section 412 of the Code or Section 302 of ERISA), whether or not waived; (c) the filing pursuant to Section 412(c) of the Code or Section 302(c) of ERISA of an application for a waiver of the minimum funding standard with respect to any Plan; (d) the incurrence by any Loan Party or any ERISA Affiliate of any liability under Title IV of ERISA with respect to the termination of any Plan; (e) the receipt by any Loan Party or any ERISA Affiliate from the PBGC or a plan administrator of any notice relating to an intention to terminate any Plan or Plans or to appoint a trustee to administer any Plan; (f) the incurrence by any Loan Party or any ERISA Affiliate of any liability with respect to the withdrawal or partial withdrawal of any Loan Party or any ERISA Affiliate from any Plan or Multiemployer Plan; or (g) the receipt by any Loan Party or any ERISA Affiliate of any notice, or the receipt by any Multiemployer Plan from any Loan Party or any ERISA Affiliate of any notice, concerning the imposition upon any Loan Party or any ERISA Affiliate of Withdrawal Liability or a determination that a Multiemployer Plan is, or is expected to be, insolvent, in critical status or in reorganization, within the meaning of Title IV of ERISA.</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Eurodollar</w:t>
      </w:r>
      <w:r>
        <w:rPr>
          <w:rFonts w:ascii="Arial" w:cs="Arial" w:eastAsia="Arial" w:hAnsi="Arial"/>
          <w:sz w:val="18"/>
          <w:szCs w:val="18"/>
          <w:color w:val="auto"/>
        </w:rPr>
        <w:t>”, when used in reference to any Revolving Loan or Revolving Borrowing, refers to whether such Loan, or the Loans comprising such Borrowing, bears interest at a rate determined by reference to the Adjusted LIBO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has the meaning assigned to such term in Article VII.</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Availability</w:t>
      </w:r>
      <w:r>
        <w:rPr>
          <w:rFonts w:ascii="Arial" w:cs="Arial" w:eastAsia="Arial" w:hAnsi="Arial"/>
          <w:sz w:val="18"/>
          <w:szCs w:val="18"/>
          <w:color w:val="auto"/>
        </w:rPr>
        <w:t xml:space="preserve">” shall mean Availability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the aggregate amount of all outstanding trade payables of Borrowers which have been unpaid for more than 60 days after the due date therefor (other than trade payables being contested or disputed by any Borrower in good faith), as determined by the Administrative Agent in its Permitted Discretion.</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Guarantor, any Swap Obligation if, and to the extent that, all or a portion of the Guarantee of such Loan Guarantor of, or the grant by such Loan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Loan Guarantor’s failure for any reason to constitute an ECP at the time the Guarantee of such Loan Guarantor or the grant of such security interest becomes or would become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w:t>
      </w:r>
    </w:p>
    <w:p>
      <w:pPr>
        <w:jc w:val="both"/>
        <w:ind w:firstLine="8"/>
        <w:spacing w:after="0" w:line="251" w:lineRule="auto"/>
        <w:tabs>
          <w:tab w:leader="none" w:pos="2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Revolving Commitment pursuant to a law in effect on the date on which (i) such Lender acquires such interest in the Loan, Letter of Credit or Revolving Commitment (other than pursuant to an assignment request by the Borrowers under Section 2.19(b)) or (ii) such Lender changes its lending office, except in each case to the extent that, pursuant to Section 2.17, amounts with respect to such Taxes were payable either to such Lender’s assignor immediately before such Lender acquired the applicable interest in a Loan, Letter of Credit or Revolving Commitment or to such Lender immediately before it changed its lending office; (c) Taxes attributable to such Recipient’s failure to comply with Section 2.17(f); and (d) any withholding Taxes imposed under FATCA.</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9" w:name="page60"/>
    <w:bookmarkEnd w:id="59"/>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Extenuating Circumstance</w:t>
      </w:r>
      <w:r>
        <w:rPr>
          <w:rFonts w:ascii="Arial" w:cs="Arial" w:eastAsia="Arial" w:hAnsi="Arial"/>
          <w:sz w:val="17"/>
          <w:szCs w:val="17"/>
          <w:color w:val="auto"/>
        </w:rPr>
        <w:t>” means any period during which the Administrative Agent has determined in its Permitted Discretion (a) that due to unforeseen and/or nonrecurring circumstances, it is impractical and/or not feasible to submit or receive a Borrowing Request or Interest Election Request by email or fax or through Electronic System, and (b) to accept a Borrowing Request or Interest Election Request telephonically.</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FCA</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Federal Funds Effective Rate as so determined would be less than zero, such rate shall be deemed to be zero for the purposes of this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Reserve Board</w:t>
      </w:r>
      <w:r>
        <w:rPr>
          <w:rFonts w:ascii="Arial" w:cs="Arial" w:eastAsia="Arial" w:hAnsi="Arial"/>
          <w:sz w:val="18"/>
          <w:szCs w:val="18"/>
          <w:color w:val="auto"/>
        </w:rPr>
        <w:t>” means the Board of Governors of the Federal Reserve System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Officer</w:t>
      </w:r>
      <w:r>
        <w:rPr>
          <w:rFonts w:ascii="Arial" w:cs="Arial" w:eastAsia="Arial" w:hAnsi="Arial"/>
          <w:sz w:val="18"/>
          <w:szCs w:val="18"/>
          <w:color w:val="auto"/>
        </w:rPr>
        <w:t>” means the chief financial officer, principal accounting officer, treasurer or controller of a Borrower.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xml:space="preserve">” means, for any period, the ratio of (a) the result of (i) EBITDA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(ii) Unfinanced Capital Expenditures to (b) Fixed Charges, all calculated for such period in accordance with GAAP.</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Charges</w:t>
      </w:r>
      <w:r>
        <w:rPr>
          <w:rFonts w:ascii="Arial" w:cs="Arial" w:eastAsia="Arial" w:hAnsi="Arial"/>
          <w:sz w:val="18"/>
          <w:szCs w:val="18"/>
          <w:color w:val="auto"/>
        </w:rPr>
        <w:t xml:space="preserve">” means, for any period, without duplication, the sum of cash Interest Expense,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prepayments and scheduled principal payments on Indebtedness actually made,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expenses for taxes paid in cash,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Restricted Payments paid in cash,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Capital Lease Obligation payments,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cash contributions to any Plan, in each case, for such period, and all calculated for the Company and its Subsidiaries on a consolidated basis in accordance with GAAP.</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Laws</w:t>
      </w:r>
      <w:r>
        <w:rPr>
          <w:rFonts w:ascii="Arial" w:cs="Arial" w:eastAsia="Arial" w:hAnsi="Arial"/>
          <w:sz w:val="18"/>
          <w:szCs w:val="18"/>
          <w:color w:val="auto"/>
        </w:rPr>
        <w:t>” has the meaning assigned to such term in Section 8.10.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Floor</w:t>
      </w:r>
      <w:r>
        <w:rPr>
          <w:rFonts w:ascii="Arial" w:cs="Arial" w:eastAsia="Arial" w:hAnsi="Arial"/>
          <w:sz w:val="18"/>
          <w:szCs w:val="18"/>
          <w:color w:val="auto"/>
        </w:rPr>
        <w:t>” means the benchmark rate floor, if any, provided in this Agreement initially (as of the execution of this Agreement, the modification, amendment or renewal of this Agreement or otherwise) with respect to LIBO Rate.</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0" w:name="page61"/>
    <w:bookmarkEnd w:id="60"/>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Lender</w:t>
      </w:r>
      <w:r>
        <w:rPr>
          <w:rFonts w:ascii="Arial" w:cs="Arial" w:eastAsia="Arial" w:hAnsi="Arial"/>
          <w:sz w:val="18"/>
          <w:szCs w:val="18"/>
          <w:color w:val="auto"/>
        </w:rPr>
        <w:t>” means (a) if a Borrower is a U.S. Person, a Lender, with respect to such Borrower, that is not a U.S. Person, and (b) if a Borrower is not a U.S. Person, a Lender, with respect to such Borrower, that is resident or organized under the laws of a jurisdiction other than that in which such Borrower is resident for tax purposes.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Funding Account</w:t>
      </w:r>
      <w:r>
        <w:rPr>
          <w:rFonts w:ascii="Arial" w:cs="Arial" w:eastAsia="Arial" w:hAnsi="Arial"/>
          <w:sz w:val="18"/>
          <w:szCs w:val="18"/>
          <w:color w:val="auto"/>
        </w:rPr>
        <w:t>” has the meaning assigned to such term in Section 4.01(h).</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8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w:t>
      </w:r>
      <w:r>
        <w:rPr>
          <w:rFonts w:ascii="Arial" w:cs="Arial" w:eastAsia="Arial" w:hAnsi="Arial"/>
          <w:sz w:val="16"/>
          <w:szCs w:val="16"/>
          <w:color w:val="auto"/>
        </w:rPr>
        <w:t>” of or by any Person (the “</w:t>
      </w:r>
      <w:r>
        <w:rPr>
          <w:rFonts w:ascii="Arial" w:cs="Arial" w:eastAsia="Arial" w:hAnsi="Arial"/>
          <w:sz w:val="16"/>
          <w:szCs w:val="16"/>
          <w:u w:val="single" w:color="auto"/>
          <w:color w:val="auto"/>
        </w:rPr>
        <w:t>guarantor</w:t>
      </w:r>
      <w:r>
        <w:rPr>
          <w:rFonts w:ascii="Arial" w:cs="Arial" w:eastAsia="Arial" w:hAnsi="Arial"/>
          <w:sz w:val="16"/>
          <w:szCs w:val="16"/>
          <w:color w:val="auto"/>
        </w:rPr>
        <w:t>”) means any obligation, contingent or otherwise, of the guarantor guaranteeing or having the economic effect of guaranteeing any Indebtedness or other obligation of any other Person (the “</w:t>
      </w:r>
      <w:r>
        <w:rPr>
          <w:rFonts w:ascii="Arial" w:cs="Arial" w:eastAsia="Arial" w:hAnsi="Arial"/>
          <w:sz w:val="16"/>
          <w:szCs w:val="16"/>
          <w:u w:val="single" w:color="auto"/>
          <w:color w:val="auto"/>
        </w:rPr>
        <w:t>primary obligor</w:t>
      </w:r>
      <w:r>
        <w:rPr>
          <w:rFonts w:ascii="Arial" w:cs="Arial" w:eastAsia="Arial" w:hAnsi="Arial"/>
          <w:sz w:val="16"/>
          <w:szCs w:val="16"/>
          <w:color w:val="auto"/>
        </w:rPr>
        <w:t xml:space="preserve">”) in any manner, whether directly or indirectly, and including any obligation of the guarantor, direct or indirect, (a) to purchase or pay (or advance or supply funds for the purchase or payment of) such Indebtedness or other obligation or to purchase (or to advance or supply funds for the purchase of) any security for the payment thereof, (b) to purchase or lease property, securities or services for the purpose of assuring the owner of such Indebtedness or other obligation of the payment thereof, (c) to maintain working capital, equity capital or any other financial statement condition or liquidity of the primary obligor so as to enable the primary obligor to pay such Indebtedness or other obligation or (d) as an account party in respect of any letter of credit or letter of guaranty issued to support such Indebtedness or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that the term Guarantee shall not include endorsements for collection or deposit in the ordinary course of business.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has the meaning assigned to such term in Section 10.01.</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w:t>
      </w:r>
      <w:r>
        <w:rPr>
          <w:rFonts w:ascii="Arial" w:cs="Arial" w:eastAsia="Arial" w:hAnsi="Arial"/>
          <w:sz w:val="17"/>
          <w:szCs w:val="17"/>
          <w:color w:val="auto"/>
        </w:rPr>
        <w:t>” means: (a) any substance, material, or waste that is included within the definitions of “</w:t>
      </w:r>
      <w:r>
        <w:rPr>
          <w:rFonts w:ascii="Arial" w:cs="Arial" w:eastAsia="Arial" w:hAnsi="Arial"/>
          <w:sz w:val="17"/>
          <w:szCs w:val="17"/>
          <w:u w:val="single" w:color="auto"/>
          <w:color w:val="auto"/>
        </w:rPr>
        <w:t>hazardous substances,</w:t>
      </w:r>
      <w:r>
        <w:rPr>
          <w:rFonts w:ascii="Arial" w:cs="Arial" w:eastAsia="Arial" w:hAnsi="Arial"/>
          <w:sz w:val="17"/>
          <w:szCs w:val="17"/>
          <w:color w:val="auto"/>
        </w:rPr>
        <w:t>” “</w:t>
      </w:r>
      <w:r>
        <w:rPr>
          <w:rFonts w:ascii="Arial" w:cs="Arial" w:eastAsia="Arial" w:hAnsi="Arial"/>
          <w:sz w:val="17"/>
          <w:szCs w:val="17"/>
          <w:u w:val="single" w:color="auto"/>
          <w:color w:val="auto"/>
        </w:rPr>
        <w:t>hazardous</w:t>
      </w:r>
      <w:r>
        <w:rPr>
          <w:rFonts w:ascii="Arial" w:cs="Arial" w:eastAsia="Arial" w:hAnsi="Arial"/>
          <w:sz w:val="17"/>
          <w:szCs w:val="17"/>
          <w:color w:val="auto"/>
        </w:rPr>
        <w:t xml:space="preserve"> </w:t>
      </w:r>
      <w:r>
        <w:rPr>
          <w:rFonts w:ascii="Arial" w:cs="Arial" w:eastAsia="Arial" w:hAnsi="Arial"/>
          <w:sz w:val="17"/>
          <w:szCs w:val="17"/>
          <w:u w:val="single" w:color="auto"/>
          <w:color w:val="auto"/>
        </w:rPr>
        <w:t>materials,</w:t>
      </w:r>
      <w:r>
        <w:rPr>
          <w:rFonts w:ascii="Arial" w:cs="Arial" w:eastAsia="Arial" w:hAnsi="Arial"/>
          <w:sz w:val="17"/>
          <w:szCs w:val="17"/>
          <w:color w:val="auto"/>
        </w:rPr>
        <w:t>” “</w:t>
      </w:r>
      <w:r>
        <w:rPr>
          <w:rFonts w:ascii="Arial" w:cs="Arial" w:eastAsia="Arial" w:hAnsi="Arial"/>
          <w:sz w:val="17"/>
          <w:szCs w:val="17"/>
          <w:u w:val="single" w:color="auto"/>
          <w:color w:val="auto"/>
        </w:rPr>
        <w:t>hazardous waste,</w:t>
      </w:r>
      <w:r>
        <w:rPr>
          <w:rFonts w:ascii="Arial" w:cs="Arial" w:eastAsia="Arial" w:hAnsi="Arial"/>
          <w:sz w:val="17"/>
          <w:szCs w:val="17"/>
          <w:color w:val="auto"/>
        </w:rPr>
        <w:t>” “</w:t>
      </w:r>
      <w:r>
        <w:rPr>
          <w:rFonts w:ascii="Arial" w:cs="Arial" w:eastAsia="Arial" w:hAnsi="Arial"/>
          <w:sz w:val="17"/>
          <w:szCs w:val="17"/>
          <w:u w:val="single" w:color="auto"/>
          <w:color w:val="auto"/>
        </w:rPr>
        <w:t>toxic substances,</w:t>
      </w:r>
      <w:r>
        <w:rPr>
          <w:rFonts w:ascii="Arial" w:cs="Arial" w:eastAsia="Arial" w:hAnsi="Arial"/>
          <w:sz w:val="17"/>
          <w:szCs w:val="17"/>
          <w:color w:val="auto"/>
        </w:rPr>
        <w:t>” “</w:t>
      </w:r>
      <w:r>
        <w:rPr>
          <w:rFonts w:ascii="Arial" w:cs="Arial" w:eastAsia="Arial" w:hAnsi="Arial"/>
          <w:sz w:val="17"/>
          <w:szCs w:val="17"/>
          <w:u w:val="single" w:color="auto"/>
          <w:color w:val="auto"/>
        </w:rPr>
        <w:t>toxic materials,</w:t>
      </w:r>
      <w:r>
        <w:rPr>
          <w:rFonts w:ascii="Arial" w:cs="Arial" w:eastAsia="Arial" w:hAnsi="Arial"/>
          <w:sz w:val="17"/>
          <w:szCs w:val="17"/>
          <w:color w:val="auto"/>
        </w:rPr>
        <w:t>” “</w:t>
      </w:r>
      <w:r>
        <w:rPr>
          <w:rFonts w:ascii="Arial" w:cs="Arial" w:eastAsia="Arial" w:hAnsi="Arial"/>
          <w:sz w:val="17"/>
          <w:szCs w:val="17"/>
          <w:u w:val="single" w:color="auto"/>
          <w:color w:val="auto"/>
        </w:rPr>
        <w:t>toxic waste,</w:t>
      </w:r>
      <w:r>
        <w:rPr>
          <w:rFonts w:ascii="Arial" w:cs="Arial" w:eastAsia="Arial" w:hAnsi="Arial"/>
          <w:sz w:val="17"/>
          <w:szCs w:val="17"/>
          <w:color w:val="auto"/>
        </w:rPr>
        <w:t>” or words of similar import in any Environmental Law; (b) those substances listed as hazardous substances by the United States Department of Transportation (or any successor agency) (49 C.F.R. 172.101 and amendments thereto) or by the Environmental Protection Agency (or any successor agency) (40 C.F.R. Part 302 and amendments thereto); and (c) any substance, material, or waste that is petroleum, petroleum-related, or a petroleum by-product, asbestos or asbestos-containing material, polychlorinated biphenyls, flammable, explosive, radioactive, freon gas, radon, or a pesticide, herbicide, or any other agricultural chemical.</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Impacted LIBO Rate Interest Period</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LIBO Rate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of any Person means, without duplication, (a) all obligations of such Person for borrowed money or with respect to deposits or advances of any kind, (b) all obligations of such Person evidenced by bonds, debentures, notes or similar instruments, (c) all obligations of such Person upon which interest charges are customarily paid, (d) all obligations of such Person under conditional sale or other title retention agreements relating to property acquired by such Person, (e) all obligations of such Person in respect of the deferred purchase price of property or services (excluding current accounts payable incurred in the ordinary course of business), (f) all Indebtedness of others secured by (or for which the holder of such Indebtedness has an existing right, contingent or otherwise, to be secured by) any Lien on property owned or acquired by such Person, whether or not the Indebtedness secured thereby has been assumed, (g) all Guarantees by such Person of Indebtedness of others, (h) all Capital Lease Obligations of such Person, (i) all obligations, contingent or otherwise, of such Person as an account party in respect of letters of credit and letters of guaranty, (j) all obligations, contingent or otherwise, of such Person in respect of bankers’ acceptances, (k) obligations under any earn-out (which for all purposes of this Agreement shall be valued at the maximum potential amount payable with respect to such earn-out), (l) any other Off-Balance Sheet Liability and (m) obligations, whether absolute or contingent and howsoever and whensoever created, arising, evidenced or acquired (including all renewals, extensions and modifications thereof and substitutions therefor), under (i) any and all Swap Agreements, and (ii) any and all cancellations, buy backs, reversals, terminations or assignments of any Swap Agreement transaction.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1" w:name="page62"/>
    <w:bookmarkEnd w:id="61"/>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means (a) Taxes, other than Excluded Taxes, imposed on or with respect to any payment made by, or on account of any obligation of any Loan Party under any Loan Document and (b) to the extent not otherwise described in the foregoing clause (a) hereof, Other Taxes.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has the meaning assigned to such term in Section 9.03(c).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Institution</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w:t>
      </w:r>
      <w:r>
        <w:rPr>
          <w:rFonts w:ascii="Arial" w:cs="Arial" w:eastAsia="Arial" w:hAnsi="Arial"/>
          <w:sz w:val="18"/>
          <w:szCs w:val="18"/>
          <w:color w:val="auto"/>
        </w:rPr>
        <w:t>” has the meaning assigned to such term in Section 9.12.</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means a request by the Borrower Representative to convert or continue a Revolving Borrowing in accordance with Section 2.08.</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Expense</w:t>
      </w:r>
      <w:r>
        <w:rPr>
          <w:rFonts w:ascii="Arial" w:cs="Arial" w:eastAsia="Arial" w:hAnsi="Arial"/>
          <w:sz w:val="18"/>
          <w:szCs w:val="18"/>
          <w:color w:val="auto"/>
        </w:rPr>
        <w:t>” means, for any period, total interest expense (including that attributable to Capital Lease Obligations) of the Company and its Subsidiaries for such period with respect to all outstanding Indebtedness of the Company and its Subsidiaries (including all commissions, discounts and other fees and charges owed with respect to letters of credit and bankers’ acceptances and net costs under Swap Agreements in respect of interest rates to the extent such net costs are allocable to such period in accordance with GAAP), calculated on a consolidated basis for the Company and its Subsidiaries for such period in accordance with GAAP.</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Payment Date</w:t>
      </w:r>
      <w:r>
        <w:rPr>
          <w:rFonts w:ascii="Arial" w:cs="Arial" w:eastAsia="Arial" w:hAnsi="Arial"/>
          <w:sz w:val="17"/>
          <w:szCs w:val="17"/>
          <w:color w:val="auto"/>
        </w:rPr>
        <w:t>” means (a) with respect to any CBFR Loan (other than a Swingline Loan), the first day of each calendar month and the Maturity Date, and (b) with respect to any Eurodollar Loan, the last day of each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 and the Maturity Date.</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xml:space="preserve">” means, with respect to any Eurodollar Borrowing, the period commencing on the date of such Eurodollar Borrowing and ending on the numerically corresponding day in the calendar month that is one, three or six months thereafter, as the Borrower Representative may elect; </w:t>
      </w:r>
      <w:r>
        <w:rPr>
          <w:rFonts w:ascii="Arial" w:cs="Arial" w:eastAsia="Arial" w:hAnsi="Arial"/>
          <w:sz w:val="17"/>
          <w:szCs w:val="17"/>
          <w:u w:val="single" w:color="auto"/>
          <w:color w:val="auto"/>
        </w:rPr>
        <w:t>provided</w:t>
      </w:r>
      <w:r>
        <w:rPr>
          <w:rFonts w:ascii="Arial" w:cs="Arial" w:eastAsia="Arial" w:hAnsi="Arial"/>
          <w:sz w:val="17"/>
          <w:szCs w:val="17"/>
          <w:color w:val="auto"/>
        </w:rPr>
        <w:t>,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(c) no tenor that has been removed from this definition pursuant to Section 2.14(g) 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has the meaning assigned to such term in the Security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w:t>
      </w:r>
      <w:r>
        <w:rPr>
          <w:rFonts w:ascii="Arial" w:cs="Arial" w:eastAsia="Arial" w:hAnsi="Arial"/>
          <w:sz w:val="17"/>
          <w:szCs w:val="17"/>
          <w:color w:val="auto"/>
        </w:rPr>
        <w:t>” means, individually and collectively, each of JPMCB, in its capacity as the issuer of Letters of Credit hereunder, and any other Revolving Lender from time to time designated by the Borrower Representative as an Issuing Bank (in each case, through itself or through one of its designated affiliates or branch offices), with the consent of such Revolving Lender and the Administrative Agent, and their respective successors in such capacity as provided in Section 2.06(i). Any Issuing Bank may, in its discretion, arrange for one or more Letters of Credit to be issued by its Affiliates, in which case the term “</w:t>
      </w:r>
      <w:r>
        <w:rPr>
          <w:rFonts w:ascii="Arial" w:cs="Arial" w:eastAsia="Arial" w:hAnsi="Arial"/>
          <w:sz w:val="17"/>
          <w:szCs w:val="17"/>
          <w:u w:val="single" w:color="auto"/>
          <w:color w:val="auto"/>
        </w:rPr>
        <w:t>Issuing Bank</w:t>
      </w:r>
      <w:r>
        <w:rPr>
          <w:rFonts w:ascii="Arial" w:cs="Arial" w:eastAsia="Arial" w:hAnsi="Arial"/>
          <w:sz w:val="17"/>
          <w:szCs w:val="17"/>
          <w:color w:val="auto"/>
        </w:rPr>
        <w:t>” shall include any such Affiliate with respect to Letters of Credit issued by such Affiliate (it being agreed that such Issuing Bank shall, or shall cause such Affiliate to, comply with the requirements of Section 2.06 with respect to such Letters of Credit). At any time there is more than one Issuing Bank, all singular references to the Issuing Bank shall mean any Issuing Bank, either Issuing Bank, each Issuing Bank, the Issuing Bank that has issued the applicable Letter of Credit, or both (or all) Issuing Banks, as the context may require.</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Issuing Bank Sublimits</w:t>
      </w:r>
      <w:r>
        <w:rPr>
          <w:rFonts w:ascii="Arial" w:cs="Arial" w:eastAsia="Arial" w:hAnsi="Arial"/>
          <w:sz w:val="17"/>
          <w:szCs w:val="17"/>
          <w:color w:val="auto"/>
        </w:rPr>
        <w:t xml:space="preserve">” means, as of the Effective Date, (a) the greater of (x) $2,500,000, or (y) an amount equal to 10% of the Revolving Commitment, in the case of JPMCB, and (b) such amount as shall be designated to the Administrative Agent and the Borrower Representative in writing by an Issuing Bank;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Issuing Bank shall be permitted at any time to increase or reduce its Issuing Bank Sublimit upon providing five (5) Business Days’ prior written notice thereof to the Administrative Agent and the Borrower Representative.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means a Joinder Agreement in substantially the form of Exhibit 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JPMCB</w:t>
      </w:r>
      <w:r>
        <w:rPr>
          <w:rFonts w:ascii="Arial" w:cs="Arial" w:eastAsia="Arial" w:hAnsi="Arial"/>
          <w:sz w:val="18"/>
          <w:szCs w:val="18"/>
          <w:color w:val="auto"/>
        </w:rPr>
        <w:t>” means JPMorgan Chase Bank, N.A., a national banking association, in its individual capacity,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has the meaning assigned to such term in Section 2.06(j).</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any payment made by an Issuing Bank pursuant to a Letter of Credit.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xml:space="preserve">” means, at any time, the sum of (a) the aggregate undrawn amount of all outstanding Letters of Credit,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aggregate amount of all LC Disbursements relating to Letters of Credit that have not yet been reimbursed by or on behalf of the Borrowers. The LC Exposure of any Revolving Lender at any time shall be its Applicable Percentage of the aggregate LC Exposure at such time.</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 Deficiency Obligation</w:t>
      </w:r>
      <w:r>
        <w:rPr>
          <w:rFonts w:ascii="Arial" w:cs="Arial" w:eastAsia="Arial" w:hAnsi="Arial"/>
          <w:sz w:val="16"/>
          <w:szCs w:val="16"/>
          <w:color w:val="auto"/>
        </w:rPr>
        <w:t>” means after default, repossession and disposition of the Equipment which is the subject of or which secures a Lease Financing, the amount, if any, by which (a) any and all obligations of the Loan Parties or their Subsidiaries to a Lessor, arising, evidenced or acquired (including all renewals, extensions and modifications thereof and substitutions therefor) in connection with a specific Lease Financing, exceeds</w:t>
      </w:r>
    </w:p>
    <w:p>
      <w:pPr>
        <w:spacing w:after="0" w:line="2"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Net Proceeds realized by the Lessor upon the disposition of the Equipment which is the subject of or which secures the specific Lease Financing.</w:t>
      </w:r>
    </w:p>
    <w:p>
      <w:pPr>
        <w:spacing w:after="0" w:line="34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3" w:name="page64"/>
    <w:bookmarkEnd w:id="63"/>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 Financing</w:t>
      </w:r>
      <w:r>
        <w:rPr>
          <w:rFonts w:ascii="Arial" w:cs="Arial" w:eastAsia="Arial" w:hAnsi="Arial"/>
          <w:sz w:val="18"/>
          <w:szCs w:val="18"/>
          <w:color w:val="auto"/>
        </w:rPr>
        <w:t>” means (a) a lease of specific Equipment as defined in Article 2-A of the UCC, and (b) a secured financing transaction secured by specific Equipment, whether that transaction is called a lease or a loan, entered into by any Loan Party or its Subsidiaries with JPMCB or any of its Affiliates (in this context, the “</w:t>
      </w:r>
      <w:r>
        <w:rPr>
          <w:rFonts w:ascii="Arial" w:cs="Arial" w:eastAsia="Arial" w:hAnsi="Arial"/>
          <w:sz w:val="18"/>
          <w:szCs w:val="18"/>
          <w:u w:val="single" w:color="auto"/>
          <w:color w:val="auto"/>
        </w:rPr>
        <w:t>Lessor</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Parent</w:t>
      </w:r>
      <w:r>
        <w:rPr>
          <w:rFonts w:ascii="Arial" w:cs="Arial" w:eastAsia="Arial" w:hAnsi="Arial"/>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Lender-Related Person</w:t>
      </w:r>
      <w:r>
        <w:rPr>
          <w:rFonts w:ascii="Arial" w:cs="Arial" w:eastAsia="Arial" w:hAnsi="Arial"/>
          <w:sz w:val="18"/>
          <w:szCs w:val="18"/>
          <w:color w:val="auto"/>
        </w:rPr>
        <w:t>” has the meaning assigned to such term in Section 9.03(b).</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Lenders</w:t>
      </w:r>
      <w:r>
        <w:rPr>
          <w:rFonts w:ascii="Arial" w:cs="Arial" w:eastAsia="Arial" w:hAnsi="Arial"/>
          <w:sz w:val="16"/>
          <w:szCs w:val="16"/>
          <w:color w:val="auto"/>
        </w:rPr>
        <w:t>” means the Persons listed on the Commitment Schedule and any other Person that shall have become a Lender hereunder pursuant to Section 2.09 or an Assignment and Assumption or otherwise, other than any such Person that ceases to be a Lender hereunder pursuant to an Assignment and Assumption or otherwise. Unless the context otherwise requires, the term “</w:t>
      </w:r>
      <w:r>
        <w:rPr>
          <w:rFonts w:ascii="Arial" w:cs="Arial" w:eastAsia="Arial" w:hAnsi="Arial"/>
          <w:sz w:val="16"/>
          <w:szCs w:val="16"/>
          <w:u w:val="single" w:color="auto"/>
          <w:color w:val="auto"/>
        </w:rPr>
        <w:t>Lenders</w:t>
      </w:r>
      <w:r>
        <w:rPr>
          <w:rFonts w:ascii="Arial" w:cs="Arial" w:eastAsia="Arial" w:hAnsi="Arial"/>
          <w:sz w:val="16"/>
          <w:szCs w:val="16"/>
          <w:color w:val="auto"/>
        </w:rPr>
        <w:t>” includes the Swingline Lender and the Issuing Bank.</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Letters of Credit</w:t>
      </w:r>
      <w:r>
        <w:rPr>
          <w:rFonts w:ascii="Arial" w:cs="Arial" w:eastAsia="Arial" w:hAnsi="Arial"/>
          <w:sz w:val="18"/>
          <w:szCs w:val="18"/>
          <w:color w:val="auto"/>
        </w:rPr>
        <w:t>” means the letters of credit issued pursuant to this Agreement, and the term “</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one of them or each of them singularly, as the context may require.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Agreement</w:t>
      </w:r>
      <w:r>
        <w:rPr>
          <w:rFonts w:ascii="Arial" w:cs="Arial" w:eastAsia="Arial" w:hAnsi="Arial"/>
          <w:sz w:val="18"/>
          <w:szCs w:val="18"/>
          <w:color w:val="auto"/>
        </w:rPr>
        <w:t>” has the meaning assigned to it in Section 2.06(b).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Interpolated Rate</w:t>
      </w:r>
      <w:r>
        <w:rPr>
          <w:rFonts w:ascii="Arial" w:cs="Arial" w:eastAsia="Arial" w:hAnsi="Arial"/>
          <w:sz w:val="16"/>
          <w:szCs w:val="16"/>
          <w:color w:val="auto"/>
        </w:rPr>
        <w:t xml:space="preserve">” means, at any time, with respect to any Eurodollar Borrowing denominated in Dollars and for any Interest Period, the rate per annum (rounded to the same number of decimal places as the LIBO Screen Rate) determined by the Administrative Agent (which determination shall be conclusive and binding absent manifest error) to be equal to the rate that results from interpolating on a linear basis between: (a) the LIBO Screen Rate for the longest period (for which the LIBO Screen Rate is available) that is shorter than the Impacted LIBO Rate Interest Period and (b) the LIBO Screen Rate for the shortest period (for which the LIBO Screen Rate is available) that exceeds the Impacted LIBO Rate Interest Period, in each case,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if any LIBO Interpolated Rate shall be less than zero, such rate shall be deemed to be zero for purposes of this Agreement.</w:t>
      </w:r>
    </w:p>
    <w:p>
      <w:pPr>
        <w:spacing w:after="0" w:line="16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Rate</w:t>
      </w:r>
      <w:r>
        <w:rPr>
          <w:rFonts w:ascii="Arial" w:cs="Arial" w:eastAsia="Arial" w:hAnsi="Arial"/>
          <w:sz w:val="18"/>
          <w:szCs w:val="18"/>
          <w:color w:val="auto"/>
        </w:rPr>
        <w:t>” means, with respect to any Eurodollar Borrowing any applicable Interest Period or for any CBFR Borrowing, the LIBO Screen Rate at approximately 11:00 a.m., London time, two (2) Business Days prior to the commencement of such Interest Period; provided that, if the LIBO Screen Rate shall not be available at such time for such Interest Period (an “</w:t>
      </w:r>
      <w:r>
        <w:rPr>
          <w:rFonts w:ascii="Arial" w:cs="Arial" w:eastAsia="Arial" w:hAnsi="Arial"/>
          <w:sz w:val="18"/>
          <w:szCs w:val="18"/>
          <w:u w:val="single" w:color="auto"/>
          <w:color w:val="auto"/>
        </w:rPr>
        <w:t>Impacted LIBO Rate Interest Period</w:t>
      </w:r>
      <w:r>
        <w:rPr>
          <w:rFonts w:ascii="Arial" w:cs="Arial" w:eastAsia="Arial" w:hAnsi="Arial"/>
          <w:sz w:val="18"/>
          <w:szCs w:val="18"/>
          <w:color w:val="auto"/>
        </w:rPr>
        <w:t>”) then the LIBO Rate shall be the LIBO Interpolated Rate, subject to Section 2.14 in the event that the Administrative Agent shall conclude that it shall not be possible to determine such LIBO Interpolated Rate (which conclusion shall be conclusive and binding absent manifest error). Notwithstanding the above, to the extent that “LIBO Rate” or “Adjusted LIBO Rate” is used in connection with an CBFR Borrowing, such rate shall be determined as modified by the definition of Adjusted One Month LIBOR Rate.</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 Screen Rate</w:t>
      </w:r>
      <w:r>
        <w:rPr>
          <w:rFonts w:ascii="Arial" w:cs="Arial" w:eastAsia="Arial" w:hAnsi="Arial"/>
          <w:sz w:val="18"/>
          <w:szCs w:val="18"/>
          <w:color w:val="auto"/>
        </w:rPr>
        <w:t xml:space="preserve">” means, for any day and time, with respect to any Eurodollar Borrowing for any Interest Period or for any CBFR Borrowing, the London interbank offered rate as administered by ICE Benchmark Administration (or any other Person that takes over the administration of such rate for Dollars) for a period equal in length to such Interest Period as displayed on such day and time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selected by the Administrative Agent in its reasonable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LIBO Screen Rate as so determined would be less than zero, such rate shall be deemed to zero for the purposes of this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the foregoing shall not be applicable to determine the “Adjusted One Month LIBOR Rate” and the “CB Floating Rate”.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w:t>
      </w:r>
      <w:r>
        <w:rPr>
          <w:rFonts w:ascii="Arial" w:cs="Arial" w:eastAsia="Arial" w:hAnsi="Arial"/>
          <w:sz w:val="18"/>
          <w:szCs w:val="18"/>
          <w:color w:val="auto"/>
        </w:rPr>
        <w:t>” has the meaning assigned to such term in Section 1.05.</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any purchase option, call or similar right of a third party with respect to such securities.</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Documents</w:t>
      </w:r>
      <w:r>
        <w:rPr>
          <w:rFonts w:ascii="Arial" w:cs="Arial" w:eastAsia="Arial" w:hAnsi="Arial"/>
          <w:sz w:val="16"/>
          <w:szCs w:val="16"/>
          <w:color w:val="auto"/>
        </w:rPr>
        <w:t>” means, collectively, this Agreement, any promissory notes issued pursuant to this Agreement, any Letter of Credit Agreement, the Collateral Documents, each Subordination Agreement, each Compliance Certificate, the Loan Guaranty, and all other agreements, instruments, documents and certificates executed and delivered to, or in favor of, the Administrative Agent or any Lender and including all other pledges, powers of attorney, consents, assignments, contracts, notices, letter of credit agreements, letter of credit applications and any agreements between the Borrower Representative and the Issuing Bank regarding the Issuing Bank’s Issuing Bank Sublimit or the respective rights and obligations between the applicable Borrower and the Issuing Bank in connection with the issuance by the Issuing Bank of Letters of Credit, and all other written matter whether heretofore, now or hereafter executed by or on behalf of any Loan Party, or any employee of any Loan Party, and delivered to the Administrative Agent or any Lender in connection with this Agreement or the transactions contemplated hereby. Any reference in this Agreement or any other Loan Document to a Loan Document shall include all appendices, exhibits or schedules thereto, and all amendments, restatements, supplements or other modifications thereto, and shall refer to this Agreement or such Loan Document as the same may be in effect at any and all times such reference becomes operative.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w:t>
      </w:r>
      <w:r>
        <w:rPr>
          <w:rFonts w:ascii="Arial" w:cs="Arial" w:eastAsia="Arial" w:hAnsi="Arial"/>
          <w:sz w:val="18"/>
          <w:szCs w:val="18"/>
          <w:color w:val="auto"/>
        </w:rPr>
        <w:t>” means each Loan Party that is not a Borrower.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means Article X of this Agreement.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collectively, the Borrowers, the Borrowers’ Domestic Subsidiaries and any other Person who becomes a party to this Agreement pursuant to a Joinder Agreement and their respective successors and assigns, and the term “</w:t>
      </w:r>
      <w:r>
        <w:rPr>
          <w:rFonts w:ascii="Arial" w:cs="Arial" w:eastAsia="Arial" w:hAnsi="Arial"/>
          <w:sz w:val="18"/>
          <w:szCs w:val="18"/>
          <w:u w:val="single" w:color="auto"/>
          <w:color w:val="auto"/>
        </w:rPr>
        <w:t>Loan Party</w:t>
      </w:r>
      <w:r>
        <w:rPr>
          <w:rFonts w:ascii="Arial" w:cs="Arial" w:eastAsia="Arial" w:hAnsi="Arial"/>
          <w:sz w:val="18"/>
          <w:szCs w:val="18"/>
          <w:color w:val="auto"/>
        </w:rPr>
        <w:t>” shall mean any one of them or all of them individually, as the context may require.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Loans</w:t>
      </w:r>
      <w:r>
        <w:rPr>
          <w:rFonts w:ascii="Arial" w:cs="Arial" w:eastAsia="Arial" w:hAnsi="Arial"/>
          <w:sz w:val="18"/>
          <w:szCs w:val="18"/>
          <w:color w:val="auto"/>
        </w:rPr>
        <w:t>” means the loans and advances made by the Lenders pursuant to this Agreement, including Swingline Loans, Overadvances and Protective Advances.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means margin stock within the meaning of Regulations T, U and X, as applicable.</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on (a) the business, assets, liabilities (actual or contingent), operations, prospects or condition, financial or otherwise, of the Company and its Subsidiaries taken as a whole, (b) the ability of any Loan Party to perform any of its Obligations,</w:t>
      </w:r>
    </w:p>
    <w:p>
      <w:pPr>
        <w:ind w:left="280" w:hanging="272"/>
        <w:spacing w:after="0"/>
        <w:tabs>
          <w:tab w:leader="none" w:pos="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Collateral, or the Administrative Agent’s Liens (on behalf of itself and other Secured Parties) on the Collateral or the priority of such Liens, or</w:t>
      </w:r>
    </w:p>
    <w:p>
      <w:pPr>
        <w:spacing w:after="0" w:line="20" w:lineRule="exact"/>
        <w:rPr>
          <w:rFonts w:ascii="Arial" w:cs="Arial" w:eastAsia="Arial" w:hAnsi="Arial"/>
          <w:sz w:val="17"/>
          <w:szCs w:val="17"/>
          <w:color w:val="auto"/>
        </w:rPr>
      </w:pPr>
    </w:p>
    <w:p>
      <w:pPr>
        <w:ind w:left="260" w:hanging="252"/>
        <w:spacing w:after="0"/>
        <w:tabs>
          <w:tab w:leader="none" w:pos="2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of or benefits available to the Administrative Agent, the Issuing Bank or the Lenders under any of the Loan Documents.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5" w:name="page66"/>
    <w:bookmarkEnd w:id="65"/>
    <w:p>
      <w:pPr>
        <w:jc w:val="both"/>
        <w:ind w:firstLine="648"/>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Indebtedness</w:t>
      </w:r>
      <w:r>
        <w:rPr>
          <w:rFonts w:ascii="Arial" w:cs="Arial" w:eastAsia="Arial" w:hAnsi="Arial"/>
          <w:sz w:val="16"/>
          <w:szCs w:val="16"/>
          <w:color w:val="auto"/>
        </w:rPr>
        <w:t>” means Indebtedness (other than the Loans and Letters of Credit), or obligations in respect of one or more Swap Agreements, of any one or more of the Loan Parties in an aggregate principal amount exceeding $1,000,000. For purposes of determining Material Indebtedness, the “</w:t>
      </w:r>
      <w:r>
        <w:rPr>
          <w:rFonts w:ascii="Arial" w:cs="Arial" w:eastAsia="Arial" w:hAnsi="Arial"/>
          <w:sz w:val="16"/>
          <w:szCs w:val="16"/>
          <w:u w:val="single" w:color="auto"/>
          <w:color w:val="auto"/>
        </w:rPr>
        <w:t>principal amount</w:t>
      </w:r>
      <w:r>
        <w:rPr>
          <w:rFonts w:ascii="Arial" w:cs="Arial" w:eastAsia="Arial" w:hAnsi="Arial"/>
          <w:sz w:val="16"/>
          <w:szCs w:val="16"/>
          <w:color w:val="auto"/>
        </w:rPr>
        <w:t>” of the obligations of the Loan Parties in respect of any Swap Agreement at any time shall be the maximum aggregate amount (giving effect to any netting agreements) that such Loan Party would be required to pay if such Swap Agreement were terminated at such time.</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Maturity Date</w:t>
      </w:r>
      <w:r>
        <w:rPr>
          <w:rFonts w:ascii="Arial" w:cs="Arial" w:eastAsia="Arial" w:hAnsi="Arial"/>
          <w:sz w:val="18"/>
          <w:szCs w:val="18"/>
          <w:color w:val="auto"/>
        </w:rPr>
        <w:t>” means November 12, 2024 or any earlier date on which the Revolving Commitments are reduced to zero or otherwise terminated pursuant to the terms 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has the meaning assigned to such term in Section 9.17.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Income</w:t>
      </w:r>
      <w:r>
        <w:rPr>
          <w:rFonts w:ascii="Arial" w:cs="Arial" w:eastAsia="Arial" w:hAnsi="Arial"/>
          <w:sz w:val="17"/>
          <w:szCs w:val="17"/>
          <w:color w:val="auto"/>
        </w:rPr>
        <w:t xml:space="preserve">” means, for any period, the consolidated net income (or loss) of the Company and its Subsidiaries, determined on a consolidated basis in accordance with GAAP;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be excluded (a) the income (or deficit) of any Person accrued prior to the date it becomes a Subsidiary or is merged into or consolidated with the Company or any of its Subsidiaries, (b) the income (or deficit) of any Person (other than a Subsidiary) in which the Company or any of its Subsidiaries has an ownership interest, except to the extent that any such income is actually received by the Company or such Subsidiary in the form of dividends or similar distributions and (c) the undistributed earnings of any Subsidiary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Orderly Liquidation Value</w:t>
      </w:r>
      <w:r>
        <w:rPr>
          <w:rFonts w:ascii="Arial" w:cs="Arial" w:eastAsia="Arial" w:hAnsi="Arial"/>
          <w:sz w:val="18"/>
          <w:szCs w:val="18"/>
          <w:color w:val="auto"/>
        </w:rPr>
        <w:t>” means, with respect to Inventory (or any category thereof) of any Person, the orderly liquidation value thereof as determined in a manner acceptable to the Administrative Agent by an appraiser acceptable to the Administrative Agent, net of all costs of liquidation thereof.</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with respect to any event, (a) the cash proceeds received in respect of such event including (i) any cash received in respect of any non-cash proceeds (including any cash payments received by way of deferred payment of principal pursuant to a note or installment receivable or purchase price adjustment receivable or otherwise, but excluding any interest payments), but only as and when received, (ii) in the case of a casualty, insurance proceeds and (iii) in the case of a condemnation or similar event, condemnation awards and similar payments, </w:t>
      </w:r>
      <w:r>
        <w:rPr>
          <w:rFonts w:ascii="Arial" w:cs="Arial" w:eastAsia="Arial" w:hAnsi="Arial"/>
          <w:sz w:val="16"/>
          <w:szCs w:val="16"/>
          <w:i w:val="1"/>
          <w:iCs w:val="1"/>
          <w:u w:val="single" w:color="auto"/>
          <w:color w:val="auto"/>
        </w:rPr>
        <w:t>minus</w:t>
      </w:r>
      <w:r>
        <w:rPr>
          <w:rFonts w:ascii="Arial" w:cs="Arial" w:eastAsia="Arial" w:hAnsi="Arial"/>
          <w:sz w:val="16"/>
          <w:szCs w:val="16"/>
          <w:color w:val="auto"/>
        </w:rPr>
        <w:t xml:space="preserve"> (b) the sum of (i) all reasonable fees and out-of-pocket expenses paid to third parties (other than Affiliates) in connection with such event, (ii) in the case of a Disposition of an asset (including pursuant to a Sale and Leaseback Transaction or a casualty or a condemnation or similar proceeding), the amount of all payments required to be made as a result of such event to repay Indebtedness (other than Loans) secured by such asset or otherwise subject to mandatory prepayment as a result of such event and (iii) the amount of all taxes paid (or reasonably estimated to be payable) and the amount of any reserves established to fund contingent liabilities reasonably estimated to be payable, in each case during the year that such event occurred or the next succeeding year and that are directly attributable to such event (as determined reasonably and in good faith by a Financial Officer of the Borrower Representative).</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has the meaning assigned to such term in Section 9.02(d).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for any day, the greater of (a) the Federal Funds Effective Rate in effect on such day and (b) the Overnight Bank Funding Rate in effect on such day(or for any day that is not a Business Day, for the immediately preceding Business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none of such rates are published for any day that is a Business Day, the term “</w:t>
      </w:r>
      <w:r>
        <w:rPr>
          <w:rFonts w:ascii="Arial" w:cs="Arial" w:eastAsia="Arial" w:hAnsi="Arial"/>
          <w:sz w:val="17"/>
          <w:szCs w:val="17"/>
          <w:u w:val="single" w:color="auto"/>
          <w:color w:val="auto"/>
        </w:rPr>
        <w:t>NYFRB Rate</w:t>
      </w:r>
      <w:r>
        <w:rPr>
          <w:rFonts w:ascii="Arial" w:cs="Arial" w:eastAsia="Arial" w:hAnsi="Arial"/>
          <w:sz w:val="17"/>
          <w:szCs w:val="17"/>
          <w:color w:val="auto"/>
        </w:rPr>
        <w:t xml:space="preserve">” means the rate for a federal funds transaction quoted at 11:00 a.m. on such day received by the Administrative Agent from a federal funds broker of recognized standing selected by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if any of the aforesaid rates as so determined would be less than zero, such rate shall be deemed to be zero for purposes of this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Obligated Party</w:t>
      </w:r>
      <w:r>
        <w:rPr>
          <w:rFonts w:ascii="Arial" w:cs="Arial" w:eastAsia="Arial" w:hAnsi="Arial"/>
          <w:sz w:val="18"/>
          <w:szCs w:val="18"/>
          <w:color w:val="auto"/>
        </w:rPr>
        <w:t>” has the meaning assigned to such term in Section 10.02.</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means all unpaid principal of and accrued and unpaid interest on the Loans, all LC Exposure, all accrued and unpaid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any of the Loan Parties to any of the Lenders, the Administrative Agent, the Issuing Bank or any indemnified party, individually or collectively,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in respect of any of the Loans made or reimbursement or other obligations incurred or any of the Letters of Credit or other instruments at any time evidencing any thereof.</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Off-Balance Sheet Liability</w:t>
      </w:r>
      <w:r>
        <w:rPr>
          <w:rFonts w:ascii="Arial" w:cs="Arial" w:eastAsia="Arial" w:hAnsi="Arial"/>
          <w:sz w:val="17"/>
          <w:szCs w:val="17"/>
          <w:color w:val="auto"/>
        </w:rPr>
        <w:t>” of a Person means (a) any repurchase obligation or liability of such Person with respect to accounts or notes receivable sold by such Person, (b) any indebtedness, liability or obligation under any so-called “</w:t>
      </w:r>
      <w:r>
        <w:rPr>
          <w:rFonts w:ascii="Arial" w:cs="Arial" w:eastAsia="Arial" w:hAnsi="Arial"/>
          <w:sz w:val="17"/>
          <w:szCs w:val="17"/>
          <w:u w:val="single" w:color="auto"/>
          <w:color w:val="auto"/>
        </w:rPr>
        <w:t>synthetic lease</w:t>
      </w:r>
      <w:r>
        <w:rPr>
          <w:rFonts w:ascii="Arial" w:cs="Arial" w:eastAsia="Arial" w:hAnsi="Arial"/>
          <w:sz w:val="17"/>
          <w:szCs w:val="17"/>
          <w:color w:val="auto"/>
        </w:rPr>
        <w:t>” transaction entered into by such Person, or (c) any indebtedness, liability or obligation arising with respect to any other transaction which is the functional equivalent of or takes the place of borrowing but which does not constitute a liability on the balance sheet of such Person (other than operating leases).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Benchmark Rate Election</w:t>
      </w:r>
      <w:r>
        <w:rPr>
          <w:rFonts w:ascii="Arial" w:cs="Arial" w:eastAsia="Arial" w:hAnsi="Arial"/>
          <w:sz w:val="18"/>
          <w:szCs w:val="18"/>
          <w:color w:val="auto"/>
        </w:rPr>
        <w:t>” means, with respect to any Loan denominated in Dollars, if the then-current Benchmark is the LIBO Rate, the occurrence of:</w:t>
      </w:r>
    </w:p>
    <w:p>
      <w:pPr>
        <w:spacing w:after="0" w:line="170" w:lineRule="exact"/>
        <w:rPr>
          <w:sz w:val="20"/>
          <w:szCs w:val="20"/>
          <w:color w:val="auto"/>
        </w:rPr>
      </w:pPr>
    </w:p>
    <w:p>
      <w:pPr>
        <w:jc w:val="both"/>
        <w:ind w:firstLine="656"/>
        <w:spacing w:after="0" w:line="263" w:lineRule="auto"/>
        <w:tabs>
          <w:tab w:leader="none" w:pos="117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request by the Borrower Representative to the Administrative Agent to notify each of the other parties hereto that, at the determination of the Borrower Representative, Dollar-denominated syndicated credit facilities at such time contain (as a result of amendment or as originally executed), in lieu of a LIBOR-based rate, a term benchmark rate as a benchmark rate; and</w:t>
      </w:r>
    </w:p>
    <w:p>
      <w:pPr>
        <w:spacing w:after="0" w:line="183" w:lineRule="exact"/>
        <w:rPr>
          <w:rFonts w:ascii="Arial" w:cs="Arial" w:eastAsia="Arial" w:hAnsi="Arial"/>
          <w:sz w:val="18"/>
          <w:szCs w:val="18"/>
          <w:color w:val="auto"/>
        </w:rPr>
      </w:pPr>
    </w:p>
    <w:p>
      <w:pPr>
        <w:ind w:firstLine="656"/>
        <w:spacing w:after="0" w:line="308" w:lineRule="auto"/>
        <w:tabs>
          <w:tab w:leader="none" w:pos="1193"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Administrative Agent, in its sole discretion, and the Borrower Representative jointly elect to trigger a fallback from the LIBO Rate and the provision, as applicable, by the Administrative Agent of written notice of such election to the Borrower Representative and the Lenders.</w:t>
      </w:r>
    </w:p>
    <w:p>
      <w:pPr>
        <w:spacing w:after="0" w:line="14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Taxes (other than a connection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any Loan Document).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7" w:name="page68"/>
    <w:bookmarkEnd w:id="67"/>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2.19(b)).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Overadvance</w:t>
      </w:r>
      <w:r>
        <w:rPr>
          <w:rFonts w:ascii="Arial" w:cs="Arial" w:eastAsia="Arial" w:hAnsi="Arial"/>
          <w:sz w:val="18"/>
          <w:szCs w:val="18"/>
          <w:color w:val="auto"/>
        </w:rPr>
        <w:t>” has the meaning assigned to such term in Section 2.05(b).</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Overnight Bank Funding Rate</w:t>
      </w:r>
      <w:r>
        <w:rPr>
          <w:rFonts w:ascii="Arial" w:cs="Arial" w:eastAsia="Arial" w:hAnsi="Arial"/>
          <w:sz w:val="17"/>
          <w:szCs w:val="17"/>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Paid in Full</w:t>
      </w:r>
      <w:r>
        <w:rPr>
          <w:rFonts w:ascii="Arial" w:cs="Arial" w:eastAsia="Arial" w:hAnsi="Arial"/>
          <w:sz w:val="17"/>
          <w:szCs w:val="17"/>
          <w:color w:val="auto"/>
        </w:rPr>
        <w:t>” or “</w:t>
      </w:r>
      <w:r>
        <w:rPr>
          <w:rFonts w:ascii="Arial" w:cs="Arial" w:eastAsia="Arial" w:hAnsi="Arial"/>
          <w:sz w:val="17"/>
          <w:szCs w:val="17"/>
          <w:u w:val="single" w:color="auto"/>
          <w:color w:val="auto"/>
        </w:rPr>
        <w:t>Payment in Full</w:t>
      </w:r>
      <w:r>
        <w:rPr>
          <w:rFonts w:ascii="Arial" w:cs="Arial" w:eastAsia="Arial" w:hAnsi="Arial"/>
          <w:sz w:val="17"/>
          <w:szCs w:val="17"/>
          <w:color w:val="auto"/>
        </w:rPr>
        <w:t>” means, (a) the indefeasible payment in full in cash of all outstanding Loans and LC Disbursements, together with accrued and unpaid interest thereon, (b) the termination, expiration, or cancellation and return of all outstanding Letters of Credit (or alternatively, with respect to each such Letter of Credit, the furnishing to the Administrative Agent of a cash deposit, or at the discretion of the Administrative Agent a backup standby letter of credit reasonably satisfactory to the Administrative Agent and the Issuing Bank, in an amount equal to 105% of the LC Exposure as of the date of such payment), (c) the indefeasible payment in full in cash of the accrued and unpaid fees, (d) the indefeasible payment in full in cash of all reimbursable expenses and other Secured Obligations (other than Unliquidated Obligations for which no claim has been made and other obligations expressly stated to survive such payment and termination of this Agreement), together with accrued and unpaid interest thereon, (e) the termination of all Revolving Commitments, and (f) the termination of the Swap Agreement Obligations and the Banking Services Obligations or entering into other arrangements satisfactory to the Secured Parties counterparties thereto.</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has the meaning assigned to such term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w:t>
      </w:r>
      <w:r>
        <w:rPr>
          <w:rFonts w:ascii="Arial" w:cs="Arial" w:eastAsia="Arial" w:hAnsi="Arial"/>
          <w:sz w:val="18"/>
          <w:szCs w:val="18"/>
          <w:color w:val="auto"/>
        </w:rPr>
        <w:t>” has the meaning assigned to such term in Section 8.06(d).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Condition</w:t>
      </w:r>
      <w:r>
        <w:rPr>
          <w:rFonts w:ascii="Arial" w:cs="Arial" w:eastAsia="Arial" w:hAnsi="Arial"/>
          <w:sz w:val="18"/>
          <w:szCs w:val="18"/>
          <w:color w:val="auto"/>
        </w:rPr>
        <w:t>” shall be deemed to be satisfied in connection with a Restricted Payment or Permitted Acquisition if:</w:t>
      </w:r>
    </w:p>
    <w:p>
      <w:pPr>
        <w:spacing w:after="0" w:line="225" w:lineRule="exact"/>
        <w:rPr>
          <w:sz w:val="20"/>
          <w:szCs w:val="20"/>
          <w:color w:val="auto"/>
        </w:rPr>
      </w:pPr>
    </w:p>
    <w:p>
      <w:pPr>
        <w:ind w:left="920" w:hanging="264"/>
        <w:spacing w:after="0"/>
        <w:tabs>
          <w:tab w:leader="none" w:pos="9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 Event of Default has occurred and is continuing or would result immediately after giving effect to such Restricted Payment or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Acquisition;</w:t>
      </w:r>
    </w:p>
    <w:p>
      <w:pPr>
        <w:spacing w:after="0" w:line="210" w:lineRule="exact"/>
        <w:rPr>
          <w:rFonts w:ascii="Arial" w:cs="Arial" w:eastAsia="Arial" w:hAnsi="Arial"/>
          <w:sz w:val="16"/>
          <w:szCs w:val="16"/>
          <w:color w:val="auto"/>
        </w:rPr>
      </w:pPr>
    </w:p>
    <w:p>
      <w:pPr>
        <w:jc w:val="both"/>
        <w:ind w:firstLine="656"/>
        <w:spacing w:after="0" w:line="301" w:lineRule="auto"/>
        <w:tabs>
          <w:tab w:leader="none" w:pos="909"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with respect to any Restricted Payment, immediately after giving effect to and at all times during the 30-day period immediately prior to such Restricted Payment, the Borrowers shall have (i) Excess Availability calculated on a pro forma basis after giving effect to such Restricted Payment of not less than the greater of (A) $5,000,000 or (B) an amount equal to 20% of the Revolving Commitment, and (ii) a Fixed Charge Coverage Ratio for the trailing twelve months calculated on a pro forma basis after giving effect to such Restricted Payment of not less than 1.25 to 1.00;</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8" w:name="page69"/>
    <w:bookmarkEnd w:id="68"/>
    <w:p>
      <w:pPr>
        <w:jc w:val="both"/>
        <w:ind w:firstLine="656"/>
        <w:spacing w:after="0" w:line="301" w:lineRule="auto"/>
        <w:tabs>
          <w:tab w:leader="none" w:pos="9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with respect to any Permitted Acquisition, immediately after giving effect to and at all times during the 30-day period immediately prior to such Permitted Acquisition, the Borrowers shall have (i) Excess Availability calculated on a pro forma basis after giving effect to such Permitted Acquisition of not less than the greater of (A) $4,000,000 or (B) an amount equal to 15% of the Revolving Commitment, and (ii) a Fixed Charge Coverage Ratio for the trailing twelve months calculated on a pro forma basis after giving effect to such Permitted Acquisition of not less than 1.15 to 1.00; and</w:t>
      </w:r>
    </w:p>
    <w:p>
      <w:pPr>
        <w:spacing w:after="0" w:line="157" w:lineRule="exact"/>
        <w:rPr>
          <w:rFonts w:ascii="Arial" w:cs="Arial" w:eastAsia="Arial" w:hAnsi="Arial"/>
          <w:sz w:val="16"/>
          <w:szCs w:val="16"/>
          <w:color w:val="auto"/>
        </w:rPr>
      </w:pPr>
    </w:p>
    <w:p>
      <w:pPr>
        <w:ind w:right="20" w:firstLine="656"/>
        <w:spacing w:after="0" w:line="277" w:lineRule="auto"/>
        <w:tabs>
          <w:tab w:leader="none" w:pos="905"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Borrower Representative shall have delivered to the Administrative Agent a certificate in form and substance reasonably satisfactory to the Administrative Agent certifying as to the items described in (a) and (b) above and attaching calculations for item (b).</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Notice</w:t>
      </w:r>
      <w:r>
        <w:rPr>
          <w:rFonts w:ascii="Arial" w:cs="Arial" w:eastAsia="Arial" w:hAnsi="Arial"/>
          <w:sz w:val="18"/>
          <w:szCs w:val="18"/>
          <w:color w:val="auto"/>
        </w:rPr>
        <w:t>” has the meaning assigned to such term in Section 8.06(d).</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 referred to and defined in ERISA and any successor entity performing similar functions.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by any Loan Party in a transaction that satisfies each of the following requirements:</w:t>
      </w:r>
    </w:p>
    <w:p>
      <w:pPr>
        <w:spacing w:after="0" w:line="225" w:lineRule="exact"/>
        <w:rPr>
          <w:sz w:val="20"/>
          <w:szCs w:val="20"/>
          <w:color w:val="auto"/>
        </w:rPr>
      </w:pPr>
    </w:p>
    <w:p>
      <w:pPr>
        <w:ind w:left="900" w:hanging="244"/>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Acquisition is not a hostile or contested acquisition;</w:t>
      </w:r>
    </w:p>
    <w:p>
      <w:pPr>
        <w:spacing w:after="0" w:line="225" w:lineRule="exact"/>
        <w:rPr>
          <w:rFonts w:ascii="Arial" w:cs="Arial" w:eastAsia="Arial" w:hAnsi="Arial"/>
          <w:sz w:val="18"/>
          <w:szCs w:val="18"/>
          <w:color w:val="auto"/>
        </w:rPr>
      </w:pPr>
    </w:p>
    <w:p>
      <w:pPr>
        <w:jc w:val="both"/>
        <w:ind w:firstLine="656"/>
        <w:spacing w:after="0" w:line="263" w:lineRule="auto"/>
        <w:tabs>
          <w:tab w:leader="none" w:pos="9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business acquired in connection with such Acquisition is not engaged, directly or indirectly, in any line of business other than the businesses in which the Loan Parties are engaged on the Effective Date and any business activities that are substantially similar, related, or incidental thereto;</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both before and after giving effect to such Acquisition and the Loans (if any) requested to be made in connection therewith, each of the representations and warranties in the Loan Documents is true and correct (except any such representation or warranty which relates to a specified prior date) and no Default exists, will exist, or would result therefrom;</w:t>
      </w:r>
    </w:p>
    <w:p>
      <w:pPr>
        <w:spacing w:after="0" w:line="183" w:lineRule="exact"/>
        <w:rPr>
          <w:rFonts w:ascii="Arial" w:cs="Arial" w:eastAsia="Arial" w:hAnsi="Arial"/>
          <w:sz w:val="18"/>
          <w:szCs w:val="18"/>
          <w:color w:val="auto"/>
        </w:rPr>
      </w:pPr>
    </w:p>
    <w:p>
      <w:pPr>
        <w:jc w:val="both"/>
        <w:ind w:firstLine="656"/>
        <w:spacing w:after="0" w:line="263" w:lineRule="auto"/>
        <w:tabs>
          <w:tab w:leader="none" w:pos="9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soon as available, but not less than thirty (30) days prior to such Acquisition, the Borrower Representative has provided the Administrative Agent (i) notice of such Acquisition and (ii) a copy of all business and financial information reasonably requested by the Administrative Agent including pro forma financial statements, statements of cash flow, and Availability projections;</w:t>
      </w:r>
    </w:p>
    <w:p>
      <w:pPr>
        <w:spacing w:after="0" w:line="183" w:lineRule="exact"/>
        <w:rPr>
          <w:rFonts w:ascii="Arial" w:cs="Arial" w:eastAsia="Arial" w:hAnsi="Arial"/>
          <w:sz w:val="18"/>
          <w:szCs w:val="18"/>
          <w:color w:val="auto"/>
        </w:rPr>
      </w:pPr>
    </w:p>
    <w:p>
      <w:pPr>
        <w:jc w:val="both"/>
        <w:ind w:firstLine="656"/>
        <w:spacing w:after="0" w:line="263" w:lineRule="auto"/>
        <w:tabs>
          <w:tab w:leader="none" w:pos="8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Accounts and Inventory acquired in connection with such Acquisition are proposed to be included in the determination of the Borrowing Base, the Administrative Agent shall have conducted an audit and field examination of such Accounts and Inventory, the results of which shall be satisfactory to the Administrative Agent;</w:t>
      </w:r>
    </w:p>
    <w:p>
      <w:pPr>
        <w:spacing w:after="0" w:line="183" w:lineRule="exact"/>
        <w:rPr>
          <w:rFonts w:ascii="Arial" w:cs="Arial" w:eastAsia="Arial" w:hAnsi="Arial"/>
          <w:sz w:val="18"/>
          <w:szCs w:val="18"/>
          <w:color w:val="auto"/>
        </w:rPr>
      </w:pPr>
    </w:p>
    <w:p>
      <w:pPr>
        <w:ind w:firstLine="656"/>
        <w:spacing w:after="0" w:line="277" w:lineRule="auto"/>
        <w:tabs>
          <w:tab w:leader="none" w:pos="876"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Acquisition is an acquisition of the Equity Interests of a Person, such Acquisition is structured so that the acquired Person shall become a wholly-owned Subsidiary of a Borrower and a Loan Party pursuant to the terms of this Agreement;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such Acquisition is an acquisition of assets, such Acquisition is structured so that a Borrower or another Loan Party shall acquire such assets;</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Acquisition is an acquisition of Equity Interests, such Acquisition will not result in any violation of Regulation U;</w:t>
      </w:r>
    </w:p>
    <w:p>
      <w:pPr>
        <w:spacing w:after="0" w:line="225" w:lineRule="exact"/>
        <w:rPr>
          <w:rFonts w:ascii="Arial" w:cs="Arial" w:eastAsia="Arial" w:hAnsi="Arial"/>
          <w:sz w:val="18"/>
          <w:szCs w:val="18"/>
          <w:color w:val="auto"/>
        </w:rPr>
      </w:pPr>
    </w:p>
    <w:p>
      <w:pPr>
        <w:ind w:firstLine="656"/>
        <w:spacing w:after="0" w:line="277" w:lineRule="auto"/>
        <w:tabs>
          <w:tab w:leader="none" w:pos="871"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such Acquisition involves a merger or a consolidation involving a Borrower or any other Loan Party, such Borrower or such Loan Party, as applicable, shall be the surviving entity;</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69" w:name="page70"/>
    <w:bookmarkEnd w:id="69"/>
    <w:p>
      <w:pPr>
        <w:ind w:right="20" w:firstLine="656"/>
        <w:spacing w:after="0" w:line="277" w:lineRule="auto"/>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Loan Party shall, as a result of or in connection with any such Acquisition, assume or incur any direct or contingent liabilities (whether relating to environmental, tax, litigation, or other matters) that would reasonably be expected to have a Material Adverse Effect;</w:t>
      </w:r>
    </w:p>
    <w:p>
      <w:pPr>
        <w:spacing w:after="0" w:line="170" w:lineRule="exact"/>
        <w:rPr>
          <w:rFonts w:ascii="Arial" w:cs="Arial" w:eastAsia="Arial" w:hAnsi="Arial"/>
          <w:sz w:val="18"/>
          <w:szCs w:val="18"/>
          <w:color w:val="auto"/>
        </w:rPr>
      </w:pPr>
    </w:p>
    <w:p>
      <w:pPr>
        <w:jc w:val="both"/>
        <w:ind w:firstLine="656"/>
        <w:spacing w:after="0" w:line="286" w:lineRule="auto"/>
        <w:tabs>
          <w:tab w:leader="none" w:pos="91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connection with an Acquisition of the Equity Interests of any Person, all Liens on property of such Person shall be terminated (except for Liens permitted under Section 6.02) unless the Administrative Agent and the Lenders in their sole discretion consent otherwise, and in connection with an Acquisition of the assets of any Person, all Liens on such assets shall be terminated (except for Liens permitted under Section 6.02);</w:t>
      </w:r>
    </w:p>
    <w:p>
      <w:pPr>
        <w:spacing w:after="0" w:line="165" w:lineRule="exact"/>
        <w:rPr>
          <w:rFonts w:ascii="Arial" w:cs="Arial" w:eastAsia="Arial" w:hAnsi="Arial"/>
          <w:sz w:val="17"/>
          <w:szCs w:val="17"/>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Payment conditions shall have been satisfied;</w:t>
      </w:r>
    </w:p>
    <w:p>
      <w:pPr>
        <w:spacing w:after="0" w:line="225" w:lineRule="exact"/>
        <w:rPr>
          <w:rFonts w:ascii="Arial" w:cs="Arial" w:eastAsia="Arial" w:hAnsi="Arial"/>
          <w:sz w:val="18"/>
          <w:szCs w:val="18"/>
          <w:color w:val="auto"/>
        </w:rPr>
      </w:pPr>
    </w:p>
    <w:p>
      <w:pPr>
        <w:ind w:firstLine="656"/>
        <w:spacing w:after="0" w:line="277" w:lineRule="auto"/>
        <w:tabs>
          <w:tab w:leader="none" w:pos="9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actions required to be taken with respect to any newly acquired or formed wholly-owned Subsidiary of a Borrower or a Loan Party, as applicable, required under Section 5.14 shall have been taken; and</w:t>
      </w:r>
    </w:p>
    <w:p>
      <w:pPr>
        <w:spacing w:after="0" w:line="170" w:lineRule="exact"/>
        <w:rPr>
          <w:rFonts w:ascii="Arial" w:cs="Arial" w:eastAsia="Arial" w:hAnsi="Arial"/>
          <w:sz w:val="18"/>
          <w:szCs w:val="18"/>
          <w:color w:val="auto"/>
        </w:rPr>
      </w:pPr>
    </w:p>
    <w:p>
      <w:pPr>
        <w:jc w:val="both"/>
        <w:ind w:firstLine="656"/>
        <w:spacing w:after="0" w:line="263" w:lineRule="auto"/>
        <w:tabs>
          <w:tab w:leader="none" w:pos="91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Borrower Representative shall have delivered to the Administrative Agent (i) the substantially final form executed documentation relating to such Acquisition within five (5) Business Days prior to the consummation thereof, and (ii) the final executed material documentation relating to such Acquisition within three (3) Business Days following the consummation thereof.</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Discretion</w:t>
      </w:r>
      <w:r>
        <w:rPr>
          <w:rFonts w:ascii="Arial" w:cs="Arial" w:eastAsia="Arial" w:hAnsi="Arial"/>
          <w:sz w:val="18"/>
          <w:szCs w:val="18"/>
          <w:color w:val="auto"/>
        </w:rPr>
        <w:t>” means a determination made in good faith and in the exercise of reasonable (from the perspective of a secured asset-based lender) business judgment.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means:</w:t>
      </w:r>
    </w:p>
    <w:p>
      <w:pPr>
        <w:spacing w:after="0" w:line="225" w:lineRule="exact"/>
        <w:rPr>
          <w:sz w:val="20"/>
          <w:szCs w:val="20"/>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Liens imposed by law for Taxes that are not yet due or are being contested in compliance with Section 5.04;</w:t>
      </w:r>
    </w:p>
    <w:p>
      <w:pPr>
        <w:spacing w:after="0" w:line="225" w:lineRule="exact"/>
        <w:rPr>
          <w:rFonts w:ascii="Arial" w:cs="Arial" w:eastAsia="Arial" w:hAnsi="Arial"/>
          <w:sz w:val="18"/>
          <w:szCs w:val="18"/>
          <w:color w:val="auto"/>
        </w:rPr>
      </w:pPr>
    </w:p>
    <w:p>
      <w:pPr>
        <w:ind w:firstLine="656"/>
        <w:spacing w:after="0" w:line="342" w:lineRule="auto"/>
        <w:tabs>
          <w:tab w:leader="none" w:pos="923"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carriers’, landlord’s, warehousemen’s, mechanics’, materialmen’s, repairmen’s and other like Liens imposed by law, arising in the ordinary course of business and securing obligations that are not overdue by more than thirty (30) days or are being contested in compliance with Section 5.04;</w:t>
      </w:r>
    </w:p>
    <w:p>
      <w:pPr>
        <w:spacing w:after="0" w:line="123" w:lineRule="exact"/>
        <w:rPr>
          <w:rFonts w:ascii="Arial" w:cs="Arial" w:eastAsia="Arial" w:hAnsi="Arial"/>
          <w:sz w:val="16"/>
          <w:szCs w:val="16"/>
          <w:color w:val="auto"/>
        </w:rPr>
      </w:pPr>
    </w:p>
    <w:p>
      <w:pPr>
        <w:ind w:firstLine="656"/>
        <w:spacing w:after="0" w:line="277" w:lineRule="auto"/>
        <w:tabs>
          <w:tab w:leader="none" w:pos="901" w:val="left"/>
        </w:tabs>
        <w:numPr>
          <w:ilvl w:val="0"/>
          <w:numId w:val="43"/>
        </w:numPr>
        <w:rPr>
          <w:rFonts w:ascii="Arial" w:cs="Arial" w:eastAsia="Arial" w:hAnsi="Arial"/>
          <w:sz w:val="18"/>
          <w:szCs w:val="18"/>
          <w:color w:val="auto"/>
        </w:rPr>
      </w:pPr>
      <w:r>
        <w:rPr>
          <w:rFonts w:ascii="Arial" w:cs="Arial" w:eastAsia="Arial" w:hAnsi="Arial"/>
          <w:sz w:val="18"/>
          <w:szCs w:val="18"/>
          <w:color w:val="auto"/>
        </w:rPr>
        <w:t>pledges and deposits made in the ordinary course of business in compliance with workers’ compensation, unemployment insurance and other social security laws or regulations;</w:t>
      </w:r>
    </w:p>
    <w:p>
      <w:pPr>
        <w:spacing w:after="0" w:line="170" w:lineRule="exact"/>
        <w:rPr>
          <w:rFonts w:ascii="Arial" w:cs="Arial" w:eastAsia="Arial" w:hAnsi="Arial"/>
          <w:sz w:val="18"/>
          <w:szCs w:val="18"/>
          <w:color w:val="auto"/>
        </w:rPr>
      </w:pPr>
    </w:p>
    <w:p>
      <w:pPr>
        <w:ind w:firstLine="656"/>
        <w:spacing w:after="0" w:line="277" w:lineRule="auto"/>
        <w:tabs>
          <w:tab w:leader="none" w:pos="90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leases, statutory obligations, surety and appeal bonds, performance bonds and other obligations of a like nature, in each case in the ordinary course of business;</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 and</w:t>
      </w:r>
    </w:p>
    <w:p>
      <w:pPr>
        <w:spacing w:after="0" w:line="225" w:lineRule="exact"/>
        <w:rPr>
          <w:rFonts w:ascii="Arial" w:cs="Arial" w:eastAsia="Arial" w:hAnsi="Arial"/>
          <w:sz w:val="18"/>
          <w:szCs w:val="18"/>
          <w:color w:val="auto"/>
        </w:rPr>
      </w:pPr>
    </w:p>
    <w:p>
      <w:pPr>
        <w:jc w:val="both"/>
        <w:ind w:firstLine="656"/>
        <w:spacing w:after="0" w:line="263" w:lineRule="auto"/>
        <w:tabs>
          <w:tab w:leader="none" w:pos="886" w:val="left"/>
        </w:tabs>
        <w:numPr>
          <w:ilvl w:val="0"/>
          <w:numId w:val="43"/>
        </w:numPr>
        <w:rPr>
          <w:rFonts w:ascii="Arial" w:cs="Arial" w:eastAsia="Arial" w:hAnsi="Arial"/>
          <w:sz w:val="18"/>
          <w:szCs w:val="18"/>
          <w:color w:val="auto"/>
        </w:rPr>
      </w:pPr>
      <w:r>
        <w:rPr>
          <w:rFonts w:ascii="Arial" w:cs="Arial" w:eastAsia="Arial" w:hAnsi="Arial"/>
          <w:sz w:val="18"/>
          <w:szCs w:val="18"/>
          <w:color w:val="auto"/>
        </w:rPr>
        <w:t>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 of any Borrower or any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term “</w:t>
      </w:r>
      <w:r>
        <w:rPr>
          <w:rFonts w:ascii="Arial" w:cs="Arial" w:eastAsia="Arial" w:hAnsi="Arial"/>
          <w:sz w:val="18"/>
          <w:szCs w:val="18"/>
          <w:u w:val="single" w:color="auto"/>
          <w:color w:val="auto"/>
        </w:rPr>
        <w:t>Permitted Encumbrances</w:t>
      </w:r>
      <w:r>
        <w:rPr>
          <w:rFonts w:ascii="Arial" w:cs="Arial" w:eastAsia="Arial" w:hAnsi="Arial"/>
          <w:sz w:val="18"/>
          <w:szCs w:val="18"/>
          <w:color w:val="auto"/>
        </w:rPr>
        <w:t>” shall not include any Lien securing Indebtedness, except with respect to clause (e) above.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Investments</w:t>
      </w:r>
      <w:r>
        <w:rPr>
          <w:rFonts w:ascii="Arial" w:cs="Arial" w:eastAsia="Arial" w:hAnsi="Arial"/>
          <w:sz w:val="18"/>
          <w:szCs w:val="18"/>
          <w:color w:val="auto"/>
        </w:rPr>
        <w:t>” means:</w:t>
      </w:r>
    </w:p>
    <w:p>
      <w:pPr>
        <w:spacing w:after="0" w:line="225" w:lineRule="exact"/>
        <w:rPr>
          <w:sz w:val="20"/>
          <w:szCs w:val="20"/>
          <w:color w:val="auto"/>
        </w:rPr>
      </w:pPr>
    </w:p>
    <w:p>
      <w:pPr>
        <w:jc w:val="both"/>
        <w:ind w:firstLine="656"/>
        <w:spacing w:after="0" w:line="342" w:lineRule="auto"/>
        <w:tabs>
          <w:tab w:leader="none" w:pos="893" w:val="left"/>
        </w:tabs>
        <w:numPr>
          <w:ilvl w:val="0"/>
          <w:numId w:val="44"/>
        </w:numPr>
        <w:rPr>
          <w:rFonts w:ascii="Arial" w:cs="Arial" w:eastAsia="Arial" w:hAnsi="Arial"/>
          <w:sz w:val="16"/>
          <w:szCs w:val="16"/>
          <w:color w:val="auto"/>
        </w:rPr>
      </w:pPr>
      <w:r>
        <w:rPr>
          <w:rFonts w:ascii="Arial" w:cs="Arial" w:eastAsia="Arial" w:hAnsi="Arial"/>
          <w:sz w:val="16"/>
          <w:szCs w:val="16"/>
          <w:color w:val="auto"/>
        </w:rPr>
        <w:t>direct obligations of, or obligations the principal of and interest on which are unconditionally guaranteed by, the U.S. (or by any agency thereof to the extent such obligations are backed by the full faith and credit of the U.S.), in each case maturing within one year from the date of acquisition thereof;</w:t>
      </w:r>
    </w:p>
    <w:p>
      <w:pPr>
        <w:spacing w:after="0" w:line="123" w:lineRule="exact"/>
        <w:rPr>
          <w:rFonts w:ascii="Arial" w:cs="Arial" w:eastAsia="Arial" w:hAnsi="Arial"/>
          <w:sz w:val="16"/>
          <w:szCs w:val="16"/>
          <w:color w:val="auto"/>
        </w:rPr>
      </w:pPr>
    </w:p>
    <w:p>
      <w:pPr>
        <w:ind w:firstLine="656"/>
        <w:spacing w:after="0" w:line="277" w:lineRule="auto"/>
        <w:tabs>
          <w:tab w:leader="none" w:pos="9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investments in commercial paper maturing within 270 days from the date of acquisition thereof and having, at such date of acquisition, the highest credit rating obtainable from S&amp;P or from Moody’s;</w:t>
      </w:r>
    </w:p>
    <w:p>
      <w:pPr>
        <w:spacing w:after="0" w:line="170" w:lineRule="exact"/>
        <w:rPr>
          <w:rFonts w:ascii="Arial" w:cs="Arial" w:eastAsia="Arial" w:hAnsi="Arial"/>
          <w:sz w:val="18"/>
          <w:szCs w:val="18"/>
          <w:color w:val="auto"/>
        </w:rPr>
      </w:pPr>
    </w:p>
    <w:p>
      <w:pPr>
        <w:jc w:val="both"/>
        <w:ind w:firstLine="656"/>
        <w:spacing w:after="0" w:line="311" w:lineRule="auto"/>
        <w:tabs>
          <w:tab w:leader="none" w:pos="908"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investments in certificates of deposit, bankers’ acceptances and time deposits maturing within 180 days from the date of acquisition thereof issued or guaranteed by or placed with, and money market deposit accounts issued or offered by, any domestic office of any commercial bank organized under the laws of the U.S. or any State thereof which has a combined capital and surplus and undivided profits of not less than $500,000,000;</w:t>
      </w:r>
    </w:p>
    <w:p>
      <w:pPr>
        <w:spacing w:after="0" w:line="148" w:lineRule="exact"/>
        <w:rPr>
          <w:rFonts w:ascii="Arial" w:cs="Arial" w:eastAsia="Arial" w:hAnsi="Arial"/>
          <w:sz w:val="16"/>
          <w:szCs w:val="16"/>
          <w:color w:val="auto"/>
        </w:rPr>
      </w:pPr>
    </w:p>
    <w:p>
      <w:pPr>
        <w:ind w:right="20" w:firstLine="656"/>
        <w:spacing w:after="0" w:line="277" w:lineRule="auto"/>
        <w:tabs>
          <w:tab w:leader="none" w:pos="914" w:val="left"/>
        </w:tabs>
        <w:numPr>
          <w:ilvl w:val="0"/>
          <w:numId w:val="44"/>
        </w:numPr>
        <w:rPr>
          <w:rFonts w:ascii="Arial" w:cs="Arial" w:eastAsia="Arial" w:hAnsi="Arial"/>
          <w:sz w:val="18"/>
          <w:szCs w:val="18"/>
          <w:color w:val="auto"/>
        </w:rPr>
      </w:pPr>
      <w:r>
        <w:rPr>
          <w:rFonts w:ascii="Arial" w:cs="Arial" w:eastAsia="Arial" w:hAnsi="Arial"/>
          <w:sz w:val="18"/>
          <w:szCs w:val="18"/>
          <w:color w:val="auto"/>
        </w:rPr>
        <w:t>fully collateralized repurchase agreements with a term of not more than 30 days for securities described in clause (a) above and entered into with a financial institution satisfying the criteria described in clause (c) above; and</w:t>
      </w:r>
    </w:p>
    <w:p>
      <w:pPr>
        <w:spacing w:after="0" w:line="170" w:lineRule="exact"/>
        <w:rPr>
          <w:rFonts w:ascii="Arial" w:cs="Arial" w:eastAsia="Arial" w:hAnsi="Arial"/>
          <w:sz w:val="18"/>
          <w:szCs w:val="18"/>
          <w:color w:val="auto"/>
        </w:rPr>
      </w:pPr>
    </w:p>
    <w:p>
      <w:pPr>
        <w:ind w:firstLine="656"/>
        <w:spacing w:after="0" w:line="277" w:lineRule="auto"/>
        <w:tabs>
          <w:tab w:leader="none" w:pos="924"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money market funds that (i) comply with the criteria set forth in Securities and Exchange Commission Rule 2a-7 under the Investment Company Act of 1940, (ii) are rated AAA by S&amp;P and Aaa by Moody’s and (iii) have portfolio assets of at least $5,000,000,000.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pension benefit plan (other than a Multiemployer Plan) subject to the provisions of Title IV of ERISA or Section 412 of the Code or Section 302 of ERISA, and in respect of which any Loan Party or any ERISA Affiliate is (or, if such plan were terminated, would under Section 4069 of ERISA be deemed to be) an “</w:t>
      </w:r>
      <w:r>
        <w:rPr>
          <w:rFonts w:ascii="Arial" w:cs="Arial" w:eastAsia="Arial" w:hAnsi="Arial"/>
          <w:sz w:val="18"/>
          <w:szCs w:val="18"/>
          <w:u w:val="single" w:color="auto"/>
          <w:color w:val="auto"/>
        </w:rPr>
        <w:t>employer</w:t>
      </w:r>
      <w:r>
        <w:rPr>
          <w:rFonts w:ascii="Arial" w:cs="Arial" w:eastAsia="Arial" w:hAnsi="Arial"/>
          <w:sz w:val="18"/>
          <w:szCs w:val="18"/>
          <w:color w:val="auto"/>
        </w:rPr>
        <w:t>” as defined in Section 3(5) of ERISA.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Asset Regulations</w:t>
      </w:r>
      <w:r>
        <w:rPr>
          <w:rFonts w:ascii="Arial" w:cs="Arial" w:eastAsia="Arial" w:hAnsi="Arial"/>
          <w:sz w:val="17"/>
          <w:szCs w:val="17"/>
          <w:color w:val="auto"/>
        </w:rPr>
        <w:t>” means 29 CFR § 2510.3-101 et seq., as modified by Section 3(42) of ERISA,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Event</w:t>
      </w:r>
      <w:r>
        <w:rPr>
          <w:rFonts w:ascii="Arial" w:cs="Arial" w:eastAsia="Arial" w:hAnsi="Arial"/>
          <w:sz w:val="18"/>
          <w:szCs w:val="18"/>
          <w:color w:val="auto"/>
        </w:rPr>
        <w:t>” means:</w:t>
      </w:r>
    </w:p>
    <w:p>
      <w:pPr>
        <w:spacing w:after="0" w:line="225" w:lineRule="exact"/>
        <w:rPr>
          <w:sz w:val="20"/>
          <w:szCs w:val="20"/>
          <w:color w:val="auto"/>
        </w:rPr>
      </w:pPr>
    </w:p>
    <w:p>
      <w:pPr>
        <w:ind w:firstLine="656"/>
        <w:spacing w:after="0" w:line="277" w:lineRule="auto"/>
        <w:tabs>
          <w:tab w:leader="none" w:pos="90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Disposition (including pursuant to a Sale and Leaseback Transaction) of any property or asset of any Loan Party or any Subsidiary, other than Dispositions described in Section 6.05(a); or</w:t>
      </w:r>
    </w:p>
    <w:p>
      <w:pPr>
        <w:spacing w:after="0" w:line="170" w:lineRule="exact"/>
        <w:rPr>
          <w:rFonts w:ascii="Arial" w:cs="Arial" w:eastAsia="Arial" w:hAnsi="Arial"/>
          <w:sz w:val="18"/>
          <w:szCs w:val="18"/>
          <w:color w:val="auto"/>
        </w:rPr>
      </w:pPr>
    </w:p>
    <w:p>
      <w:pPr>
        <w:ind w:right="20" w:firstLine="656"/>
        <w:spacing w:after="0" w:line="277" w:lineRule="auto"/>
        <w:tabs>
          <w:tab w:leader="none" w:pos="922"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casualty or other insured damage to, or any taking under power of eminent domain or by condemnation or similar proceeding of, any property or asset of any Loan Party or any Subsidiary; or</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by the Company of any Equity Interests, or the receipt by the Company of any capital contribution; or</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incurrence by any Loan Party or any Subsidiary of any Indebtedness, other than Indebtedness permitted under Section 6.01.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1" w:name="page72"/>
    <w:bookmarkEnd w:id="71"/>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Prime Rate</w:t>
      </w:r>
      <w:r>
        <w:rPr>
          <w:rFonts w:ascii="Arial" w:cs="Arial" w:eastAsia="Arial" w:hAnsi="Arial"/>
          <w:sz w:val="17"/>
          <w:szCs w:val="17"/>
          <w:color w:val="auto"/>
        </w:rPr>
        <w:t>” means the rate of interest last quoted by The Wall Street Journal as the “</w:t>
      </w:r>
      <w:r>
        <w:rPr>
          <w:rFonts w:ascii="Arial" w:cs="Arial" w:eastAsia="Arial" w:hAnsi="Arial"/>
          <w:sz w:val="17"/>
          <w:szCs w:val="17"/>
          <w:u w:val="single" w:color="auto"/>
          <w:color w:val="auto"/>
        </w:rPr>
        <w:t>Prime Rate</w:t>
      </w:r>
      <w:r>
        <w:rPr>
          <w:rFonts w:ascii="Arial" w:cs="Arial" w:eastAsia="Arial" w:hAnsi="Arial"/>
          <w:sz w:val="17"/>
          <w:szCs w:val="17"/>
          <w:color w:val="auto"/>
        </w:rPr>
        <w:t>” in the U.S. or, if The Wall Street Journal ceases to quote such rate, the highest per annum interest rate published by the Federal Reserve Board in Federal Reserve Statistical Release H.15 (519) (Selected Interest Rates) as the “</w:t>
      </w:r>
      <w:r>
        <w:rPr>
          <w:rFonts w:ascii="Arial" w:cs="Arial" w:eastAsia="Arial" w:hAnsi="Arial"/>
          <w:sz w:val="17"/>
          <w:szCs w:val="17"/>
          <w:u w:val="single" w:color="auto"/>
          <w:color w:val="auto"/>
        </w:rPr>
        <w:t>bank prime loan</w:t>
      </w:r>
      <w:r>
        <w:rPr>
          <w:rFonts w:ascii="Arial" w:cs="Arial" w:eastAsia="Arial" w:hAnsi="Arial"/>
          <w:sz w:val="17"/>
          <w:szCs w:val="17"/>
          <w:color w:val="auto"/>
        </w:rPr>
        <w:t>”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claim, litigation, investigation, action, suit, arbitration or administrative, judicial or regulatory action or proceeding in any jurisdiction.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has the meaning assigned to such term in Section 5.01(f).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Protective Advance</w:t>
      </w:r>
      <w:r>
        <w:rPr>
          <w:rFonts w:ascii="Arial" w:cs="Arial" w:eastAsia="Arial" w:hAnsi="Arial"/>
          <w:sz w:val="18"/>
          <w:szCs w:val="18"/>
          <w:color w:val="auto"/>
        </w:rPr>
        <w:t>” has the meaning assigned to such term in Section 2.04.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Offering</w:t>
      </w:r>
      <w:r>
        <w:rPr>
          <w:rFonts w:ascii="Arial" w:cs="Arial" w:eastAsia="Arial" w:hAnsi="Arial"/>
          <w:sz w:val="18"/>
          <w:szCs w:val="18"/>
          <w:color w:val="auto"/>
        </w:rPr>
        <w:t>” means a Borrower’s public offering pursuant to an effective registration statement under the Securities Act of 1933, as amended, covering the offer and sale of Equity Interests.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QFC</w:t>
      </w:r>
      <w:r>
        <w:rPr>
          <w:rFonts w:ascii="Arial" w:cs="Arial" w:eastAsia="Arial" w:hAnsi="Arial"/>
          <w:sz w:val="16"/>
          <w:szCs w:val="16"/>
          <w:color w:val="auto"/>
        </w:rPr>
        <w:t>” has the meaning assigned to the term “</w:t>
      </w:r>
      <w:r>
        <w:rPr>
          <w:rFonts w:ascii="Arial" w:cs="Arial" w:eastAsia="Arial" w:hAnsi="Arial"/>
          <w:sz w:val="16"/>
          <w:szCs w:val="16"/>
          <w:u w:val="single" w:color="auto"/>
          <w:color w:val="auto"/>
        </w:rPr>
        <w:t>qualified financial contract</w:t>
      </w:r>
      <w:r>
        <w:rPr>
          <w:rFonts w:ascii="Arial" w:cs="Arial" w:eastAsia="Arial" w:hAnsi="Arial"/>
          <w:sz w:val="16"/>
          <w:szCs w:val="16"/>
          <w:color w:val="auto"/>
        </w:rPr>
        <w:t>” in, and shall be interpreted in accordance with, 12 U.S.C. 5390(c)(8)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QFC Credit Support</w:t>
      </w:r>
      <w:r>
        <w:rPr>
          <w:rFonts w:ascii="Arial" w:cs="Arial" w:eastAsia="Arial" w:hAnsi="Arial"/>
          <w:sz w:val="18"/>
          <w:szCs w:val="18"/>
          <w:color w:val="auto"/>
        </w:rPr>
        <w:t>” has the meaning assigned to it in Section 9.21.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Loan Guaranty or grant of the relevant security interest becomes or would become effective with respect to such Swap Obligation or such other person as constitutes an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under the Commodity Exchange Act or any regulations promulgated thereunder and can cause another person to qualify as an “</w:t>
      </w:r>
      <w:r>
        <w:rPr>
          <w:rFonts w:ascii="Arial" w:cs="Arial" w:eastAsia="Arial" w:hAnsi="Arial"/>
          <w:sz w:val="18"/>
          <w:szCs w:val="18"/>
          <w:u w:val="single" w:color="auto"/>
          <w:color w:val="auto"/>
        </w:rPr>
        <w:t>eligible contract participant</w:t>
      </w:r>
      <w:r>
        <w:rPr>
          <w:rFonts w:ascii="Arial" w:cs="Arial" w:eastAsia="Arial" w:hAnsi="Arial"/>
          <w:sz w:val="18"/>
          <w:szCs w:val="18"/>
          <w:color w:val="auto"/>
        </w:rPr>
        <w:t>” at such time by entering into a keepwell under Section 1a(18)(A)(v)(II) of the Commodity Exchange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as applicable, (a) the Administrative Agent, (b) any Lender and (c) any Issuing Bank, or any combination thereof (as the context requires).</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Reference Time</w:t>
      </w:r>
      <w:r>
        <w:rPr>
          <w:rFonts w:ascii="Arial" w:cs="Arial" w:eastAsia="Arial" w:hAnsi="Arial"/>
          <w:sz w:val="18"/>
          <w:szCs w:val="18"/>
          <w:color w:val="auto"/>
        </w:rPr>
        <w:t>” with respect to any setting of the then-current Benchmark means (1) if such Benchmark is LIBO Rate, 11:00 a.m. (London time) on the day that is two London banking days preceding the date of such setting, and (2) if such Benchmark is not LIBO Rate, the time determined by the Administrative Agent in its reasonable discretion.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Refinance Indebtedness</w:t>
      </w:r>
      <w:r>
        <w:rPr>
          <w:rFonts w:ascii="Arial" w:cs="Arial" w:eastAsia="Arial" w:hAnsi="Arial"/>
          <w:sz w:val="18"/>
          <w:szCs w:val="18"/>
          <w:color w:val="auto"/>
        </w:rPr>
        <w:t>” has the meaning assigned to such term in Section 6.01(f).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has the meaning assigned to such term in Section 9.04(b).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D</w:t>
      </w:r>
      <w:r>
        <w:rPr>
          <w:rFonts w:ascii="Arial" w:cs="Arial" w:eastAsia="Arial" w:hAnsi="Arial"/>
          <w:sz w:val="18"/>
          <w:szCs w:val="18"/>
          <w:color w:val="auto"/>
        </w:rPr>
        <w:t>” means Regulation D of the Federal Reserve Board, as in effect from time to time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T</w:t>
      </w:r>
      <w:r>
        <w:rPr>
          <w:rFonts w:ascii="Arial" w:cs="Arial" w:eastAsia="Arial" w:hAnsi="Arial"/>
          <w:sz w:val="18"/>
          <w:szCs w:val="18"/>
          <w:color w:val="auto"/>
        </w:rPr>
        <w:t>” means Regulation T of the Federal Reserve Board, as in effect from time to time and all official rulings and interpretations thereunder or thereof.</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2" w:name="page73"/>
    <w:bookmarkEnd w:id="72"/>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U</w:t>
      </w:r>
      <w:r>
        <w:rPr>
          <w:rFonts w:ascii="Arial" w:cs="Arial" w:eastAsia="Arial" w:hAnsi="Arial"/>
          <w:sz w:val="18"/>
          <w:szCs w:val="18"/>
          <w:color w:val="auto"/>
        </w:rPr>
        <w:t>” means Regulation U of the Federal Reserve Board, as in effect from time to time and all official rulings and interpretations thereunder or thereof.</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Regulation X</w:t>
      </w:r>
      <w:r>
        <w:rPr>
          <w:rFonts w:ascii="Arial" w:cs="Arial" w:eastAsia="Arial" w:hAnsi="Arial"/>
          <w:sz w:val="18"/>
          <w:szCs w:val="18"/>
          <w:color w:val="auto"/>
        </w:rPr>
        <w:t>” means Regulation X of the Federal Reserve Board, as in effect from time to time and all official rulings and interpretations thereunder or thereof.</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specified Person, such Person’s Affiliates and the respective directors, officers, partners, members, trustees, employees, agents, administrators, managers, representatives and advisors of such Person and such Person’s Affiliates.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releasing, spilling, leaking, pumping, pouring, emitting, emptying, discharging, injecting, escaping, leaching, migrating, disposing or dumping of any substance into the environment.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Governmental Body</w:t>
      </w:r>
      <w:r>
        <w:rPr>
          <w:rFonts w:ascii="Arial" w:cs="Arial" w:eastAsia="Arial" w:hAnsi="Arial"/>
          <w:sz w:val="18"/>
          <w:szCs w:val="18"/>
          <w:color w:val="auto"/>
        </w:rPr>
        <w:t>” means the Federal Reserve Board or the NYFRB, or a committee officially endorsed or convened by the Federal Reserve Board or the NYFRB or any successor thereto.</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Report</w:t>
      </w:r>
      <w:r>
        <w:rPr>
          <w:rFonts w:ascii="Arial" w:cs="Arial" w:eastAsia="Arial" w:hAnsi="Arial"/>
          <w:sz w:val="17"/>
          <w:szCs w:val="17"/>
          <w:color w:val="auto"/>
        </w:rPr>
        <w:t>” means reports prepared by the Administrative Agent or another Person showing the results of appraisals, field examinations or audits pertaining to the assets of the Loan Parties from information furnished by or on behalf of the Borrowers, after the Administrative Agent has exercised its rights of inspection pursuant to this Agreement, which Reports may be distributed to the Lenders by the Administrative Agent.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Reporting Trigger Period</w:t>
      </w:r>
      <w:r>
        <w:rPr>
          <w:rFonts w:ascii="Arial" w:cs="Arial" w:eastAsia="Arial" w:hAnsi="Arial"/>
          <w:sz w:val="16"/>
          <w:szCs w:val="16"/>
          <w:color w:val="auto"/>
        </w:rPr>
        <w:t>” means the period (a) commencing on any day that (i) Excess Availability is less than the greater of (x) $4,000,000, or</w:t>
      </w:r>
    </w:p>
    <w:p>
      <w:pPr>
        <w:spacing w:after="0" w:line="46" w:lineRule="exact"/>
        <w:rPr>
          <w:sz w:val="20"/>
          <w:szCs w:val="20"/>
          <w:color w:val="auto"/>
        </w:rPr>
      </w:pPr>
    </w:p>
    <w:p>
      <w:pPr>
        <w:jc w:val="both"/>
        <w:ind w:firstLine="8"/>
        <w:spacing w:after="0" w:line="255" w:lineRule="auto"/>
        <w:tabs>
          <w:tab w:leader="none" w:pos="2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amount equal 15% of the Aggregate Revolving Commitment, or (ii) an Event of Default has occurred, and (b) continuing until no Event of Default has existed and Availability has been greater than or equal to the greater of (x) $4,000,000, or (y) an amount equal 15% of the Aggregate Revolving Commitment, in each case, at all times for 30 consecutive calendar days.</w:t>
      </w:r>
    </w:p>
    <w:p>
      <w:pPr>
        <w:spacing w:after="0" w:line="1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subject to Section 2.20, (a) at any time prior to the earlier of the Loans becoming due and payable pursuant to Article VII or the Revolving Commitments terminating or expiring, Lenders having Revolving Exposures and Unfunded Commitments representing more than 50% of the sum of the Aggregate Revolving Exposure and Unfunded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long as there are only two Lenders, Required Lenders shall mean both Lenders.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Requirement of Law</w:t>
      </w:r>
      <w:r>
        <w:rPr>
          <w:rFonts w:ascii="Arial" w:cs="Arial" w:eastAsia="Arial" w:hAnsi="Arial"/>
          <w:sz w:val="18"/>
          <w:szCs w:val="18"/>
          <w:color w:val="auto"/>
        </w:rPr>
        <w:t>” means, with respect to any Person, (a) the charter, articles or certificate of organization or incorporation and bylaws or operating, management or partnership agreement, or other organizational or governing documents of such Person and (b) any statute, law (including common law), treaty, rule, regulation, code, ordinance, order, decree, writ, judgment, injunction or determination of any arbitrator or court or other Governmental Authority (including Environmental Laws), in each case applicable to or binding upon such Person or any of its property or to which such Person or any of its property is subject.</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Reserves</w:t>
      </w:r>
      <w:r>
        <w:rPr>
          <w:rFonts w:ascii="Arial" w:cs="Arial" w:eastAsia="Arial" w:hAnsi="Arial"/>
          <w:sz w:val="17"/>
          <w:szCs w:val="17"/>
          <w:color w:val="auto"/>
        </w:rPr>
        <w:t>” means any and all reserves which the Administrative Agent deems necessary, in its Permitted Discretion, to maintain (including, without limitation, an availability reserve, reserves for accrued and unpaid interest on the Secured Obligations, Banking Services Reserves, volatility reserves, reserves for rent at locations leased by any Loan Party and for consignee’s, warehousemen’s and bailee’s charges, reserves for dilution of Accounts, reserves for Inventory shrinkage, reserves for customs charges and shipping charges related to any Inventory in transit, reserves for Swap Agreement Obligations, reserves for contingent liabilities of any Loan Party, reserves for uninsured losses of any Loan Party, reserves for uninsured, underinsured, un-indemnified or under-indemnified liabilities or potential liabilities with respect to any litigation and reserves for taxes, fees, assessments, and other governmental charges) with respect to the Collateral or any Loan Party.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Resolution Authority</w:t>
      </w:r>
      <w:r>
        <w:rPr>
          <w:rFonts w:ascii="Arial" w:cs="Arial" w:eastAsia="Arial" w:hAnsi="Arial"/>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means the president, Financial Officer or other executive officer of a Borrower designated by Borrower.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any dividend or other distribution (whether in cash, securities or other property) with respect to any Equity Interests in any Loan Party or any Subsidiary, or any payment (whether in cash, securities or other property), including any sinking fund or similar deposit, on account of the purchase, redemption, retirement, acquisition, cancellation or termination of any such Equity Interests or any option, warrant or other right to acquire any such Equity Interests.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Reuters</w:t>
      </w:r>
      <w:r>
        <w:rPr>
          <w:rFonts w:ascii="Arial" w:cs="Arial" w:eastAsia="Arial" w:hAnsi="Arial"/>
          <w:sz w:val="18"/>
          <w:szCs w:val="18"/>
          <w:color w:val="auto"/>
        </w:rPr>
        <w:t>” means, as applicable, Thomson Reuters Corp, Refinitiv, or any successor thereto.</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REVLIBOR30 Rate</w:t>
      </w:r>
      <w:r>
        <w:rPr>
          <w:rFonts w:ascii="Arial" w:cs="Arial" w:eastAsia="Arial" w:hAnsi="Arial"/>
          <w:sz w:val="17"/>
          <w:szCs w:val="17"/>
          <w:color w:val="auto"/>
        </w:rPr>
        <w:t>” means the London interbank offered rate administered by ICE Benchmark Administration (or any other Person that takes over the administration of such rate for Dollars) for a one (1) month period as displayed on pages LIBOR01 or LIBOR02 of the Reuters screen that displays such rate (or, in the event such rate does not appear on a Reuters page or screen, on any successor or substitute page on such screen that displays such rate, or on the appropriate page of such other information service that publishes such rate from time to time as shall be selected by the Administrative Agent in its reasonable discretion; in each case the “REVLIBOR30 Screen Rate”) at approximately 11:00 a.m., London time, two (2) Business Days prior to the first (1st) Business Day of each month, adjusted monthly on the first (1st) Business Day of each month; provided that, (x) if the REVLIBOR30 Screen Rate shall be less than 0%, the REVLIBOR30 Screen Rate shall be deemed to be 0% for purposes of this Agreement and (y) if the REVLIBOR30 Screen Rate shall not be available at such time for such a period, then the REVLIBOR30 Rate shall be equal to the CB Floating Rate (unless an alternate rate is established in accordance with Section 2.14).</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Borrowing</w:t>
      </w:r>
      <w:r>
        <w:rPr>
          <w:rFonts w:ascii="Arial" w:cs="Arial" w:eastAsia="Arial" w:hAnsi="Arial"/>
          <w:sz w:val="18"/>
          <w:szCs w:val="18"/>
          <w:color w:val="auto"/>
        </w:rPr>
        <w:t>” means Revolving Loans of the same Type, made, converted or continued on the same date and, in the case of Eurodollar Loans, as to which a single Interest Period is in effect.</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Revolving Commitment</w:t>
      </w:r>
      <w:r>
        <w:rPr>
          <w:rFonts w:ascii="Arial" w:cs="Arial" w:eastAsia="Arial" w:hAnsi="Arial"/>
          <w:sz w:val="17"/>
          <w:szCs w:val="17"/>
          <w:color w:val="auto"/>
        </w:rPr>
        <w:t xml:space="preserve">” means, with respect to each Lender, the amount set forth on the Commitment Schedule opposite such Lender’s name, or in the Assignment and Assumption or other documentation or record (as such term is defined in Section 9-102(a)(70) of the New York Uniform Commercial Code) as provided in Section 9.04(b)(ii)(C) pursuant to which such Lender shall have assumed its Revolving Commitment, as applicable, as such Revolving Commitment may be increased from time to time pursuant to (a) Section 2.09 and (b) assignments by or to such Lender pursuant to Section 9.04; </w:t>
      </w:r>
      <w:r>
        <w:rPr>
          <w:rFonts w:ascii="Arial" w:cs="Arial" w:eastAsia="Arial" w:hAnsi="Arial"/>
          <w:sz w:val="17"/>
          <w:szCs w:val="17"/>
          <w:u w:val="single" w:color="auto"/>
          <w:color w:val="auto"/>
        </w:rPr>
        <w:t>provided</w:t>
      </w:r>
      <w:r>
        <w:rPr>
          <w:rFonts w:ascii="Arial" w:cs="Arial" w:eastAsia="Arial" w:hAnsi="Arial"/>
          <w:sz w:val="17"/>
          <w:szCs w:val="17"/>
          <w:color w:val="auto"/>
        </w:rPr>
        <w:t>, that at no time shall the Revolving Exposure of any Lender exceed its Revolving Commitment.</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Exposure</w:t>
      </w:r>
      <w:r>
        <w:rPr>
          <w:rFonts w:ascii="Arial" w:cs="Arial" w:eastAsia="Arial" w:hAnsi="Arial"/>
          <w:sz w:val="18"/>
          <w:szCs w:val="18"/>
          <w:color w:val="auto"/>
        </w:rPr>
        <w:t xml:space="preserve">” means, with respect to any Lender at any time, the sum of (a) the outstanding principal amount of such Lender’s Revolving Loans, its LC Exposure and its Swingline Exposure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an amount equal to its Applicable Percentage of the aggregate principal amount of Protective Advances outstanding at such time,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(c) an amount equal to its Applicable Percentage of the aggregate principal amount of Overadvances outstanding at such time.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as of any date of determination, a Lender with a Revolving Commitment or, if the Revolving Commitments have terminated or expired, a Lender with Revolving Exposure.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w:t>
      </w:r>
      <w:r>
        <w:rPr>
          <w:rFonts w:ascii="Arial" w:cs="Arial" w:eastAsia="Arial" w:hAnsi="Arial"/>
          <w:sz w:val="18"/>
          <w:szCs w:val="18"/>
          <w:color w:val="auto"/>
        </w:rPr>
        <w:t>” means a Loan made pursuant to Section 2.01(a).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Standard &amp; Poor’s Ratings Services, a Standard &amp; Poor’s Financial Services LLC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has the meaning assigned to such term in Section 6.06.</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Country</w:t>
      </w:r>
      <w:r>
        <w:rPr>
          <w:rFonts w:ascii="Arial" w:cs="Arial" w:eastAsia="Arial" w:hAnsi="Arial"/>
          <w:sz w:val="18"/>
          <w:szCs w:val="18"/>
          <w:color w:val="auto"/>
        </w:rPr>
        <w:t>” means, at any time, a country, region or territory which is itself the subject or target of any Sanctions (at the time of this Agreement, Crimea, Cuba, Iran, North Korea and Syria).</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Sanctioned Person</w:t>
      </w:r>
      <w:r>
        <w:rPr>
          <w:rFonts w:ascii="Arial" w:cs="Arial" w:eastAsia="Arial" w:hAnsi="Arial"/>
          <w:sz w:val="18"/>
          <w:szCs w:val="18"/>
          <w:color w:val="auto"/>
        </w:rPr>
        <w:t>” means, at any time, (a) any Person listed in any Sanctions-related list of designated Persons maintained by the Office of Foreign Assets Control of the U.S. Department of the Treasury, the U.S. Department of State, the United Nations Security Council, or the European Union, any European Union member state, Her Majesty’s Treasury of the United Kingdom or other relevant sanctions authority, (b) any Person operating, organized or resident in a Sanctioned Country, (c) any Person owned or controlled by any such Person or Persons described in the foregoing clauses (a) or (b), or (d) any Person otherwise the subject of any Sanctions.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all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Union member state, Her Majesty’s Treasury of the United Kingdom or other relevant sanctions authority.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of the U.S.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xml:space="preserve">” means all Obligations, together with all (a) Banking Services Obligations and (b) Swap Agreement Obligations owing to one or more Lenders or their respective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definition of “</w:t>
      </w:r>
      <w:r>
        <w:rPr>
          <w:rFonts w:ascii="Arial" w:cs="Arial" w:eastAsia="Arial" w:hAnsi="Arial"/>
          <w:sz w:val="18"/>
          <w:szCs w:val="18"/>
          <w:u w:val="single" w:color="auto"/>
          <w:color w:val="auto"/>
        </w:rPr>
        <w:t>Secured Obligations</w:t>
      </w:r>
      <w:r>
        <w:rPr>
          <w:rFonts w:ascii="Arial" w:cs="Arial" w:eastAsia="Arial" w:hAnsi="Arial"/>
          <w:sz w:val="18"/>
          <w:szCs w:val="18"/>
          <w:color w:val="auto"/>
        </w:rPr>
        <w:t>” shall not create any guarantee by any Loan Guarantor of (or grant of security interest by any Loan Guarantor to support, as applicable) any Excluded Swap Obligations of such Loan Guarantor for purposes of determining any obligations of any Loan Guarantor.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(a) the Administrative Agent, (b) the Lenders, (c) each Issuing Bank, (d) each provider of Banking Services, to the extent the Banking Services Obligations in respect thereof constitute Secured Obligations, (e) each counterparty to any Swap Agreement, to the extent the obligations thereunder constitute Secured Obligations, (f) the beneficiaries of each indemnification obligation undertaken by any Loan Party under any Loan Document, and (g) the successors and assigns of each of the foregoing.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means that certain Pledge and Security Agreement (including any and all supplements thereto), dated as of the date hereof, among the Loan Parties and the Administrative Agent, for the benefit of the Administrative Agent and the other Secured Parties, and any other pledge or security agreement entered into, after the date of this Agreement by any other Loan Party (as required by this Agreement or any other Loan Document) or any other Person for the benefit of the Administrative Agent and the other Secured Parties, as the same may be amended, restated, supplemented or otherwise modified from time to time.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w:t>
      </w:r>
      <w:r>
        <w:rPr>
          <w:rFonts w:ascii="Arial" w:cs="Arial" w:eastAsia="Arial" w:hAnsi="Arial"/>
          <w:sz w:val="18"/>
          <w:szCs w:val="18"/>
          <w:color w:val="auto"/>
        </w:rPr>
        <w:t>” has the meaning assigned to such term in Section 2.05(d).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has the meaning assigned to such term in Section 2.05(d).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 on the immediately succeeding Business Day.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Administrator’s Website</w:t>
      </w:r>
      <w:r>
        <w:rPr>
          <w:rFonts w:ascii="Arial" w:cs="Arial" w:eastAsia="Arial" w:hAnsi="Arial"/>
          <w:sz w:val="18"/>
          <w:szCs w:val="18"/>
          <w:color w:val="auto"/>
        </w:rPr>
        <w:t>” means the NYFRB’s website, currently at http://www.newyorkfed.org, or any successor source for the secured overnight financing rate identified as such by the SOFR Administrator from time to time.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Statements</w:t>
      </w:r>
      <w:r>
        <w:rPr>
          <w:rFonts w:ascii="Arial" w:cs="Arial" w:eastAsia="Arial" w:hAnsi="Arial"/>
          <w:sz w:val="18"/>
          <w:szCs w:val="18"/>
          <w:color w:val="auto"/>
        </w:rPr>
        <w:t>” has the meaning assigned to such term in Section 2.18(f).</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Statutory Reserve Rate</w:t>
      </w:r>
      <w:r>
        <w:rPr>
          <w:rFonts w:ascii="Arial" w:cs="Arial" w:eastAsia="Arial" w:hAnsi="Arial"/>
          <w:sz w:val="17"/>
          <w:szCs w:val="17"/>
          <w:color w:val="auto"/>
        </w:rPr>
        <w:t xml:space="preserve">” means a fraction (expressed as a decimal), the numerator of which is the number one and the denominator of which is the number one </w:t>
      </w:r>
      <w:r>
        <w:rPr>
          <w:rFonts w:ascii="Arial" w:cs="Arial" w:eastAsia="Arial" w:hAnsi="Arial"/>
          <w:sz w:val="17"/>
          <w:szCs w:val="17"/>
          <w:i w:val="1"/>
          <w:iCs w:val="1"/>
          <w:u w:val="single" w:color="auto"/>
          <w:color w:val="auto"/>
        </w:rPr>
        <w:t>minus</w:t>
      </w:r>
      <w:r>
        <w:rPr>
          <w:rFonts w:ascii="Arial" w:cs="Arial" w:eastAsia="Arial" w:hAnsi="Arial"/>
          <w:sz w:val="17"/>
          <w:szCs w:val="17"/>
          <w:color w:val="auto"/>
        </w:rPr>
        <w:t xml:space="preserve"> the aggregate of the maximum reserve percentage (including any marginal, special, emergency or supplemental reserves) established by the Federal Reserve Board to which the Administrative Agent is subject with respect to the Adjusted LIBO Rate, for eurocurrency funding (currently referred to as “</w:t>
      </w:r>
      <w:r>
        <w:rPr>
          <w:rFonts w:ascii="Arial" w:cs="Arial" w:eastAsia="Arial" w:hAnsi="Arial"/>
          <w:sz w:val="17"/>
          <w:szCs w:val="17"/>
          <w:u w:val="single" w:color="auto"/>
          <w:color w:val="auto"/>
        </w:rPr>
        <w:t>Eurocurrency liabilities</w:t>
      </w:r>
      <w:r>
        <w:rPr>
          <w:rFonts w:ascii="Arial" w:cs="Arial" w:eastAsia="Arial" w:hAnsi="Arial"/>
          <w:sz w:val="17"/>
          <w:szCs w:val="17"/>
          <w:color w:val="auto"/>
        </w:rPr>
        <w:t>” in Regulation D) or any other reserve ratio or analogous requirement of any central banking or financial regulatory authority imposed in respect of the maintenance of the Revolving Commitments or the funding of the Loans. Such reserve percentages shall include those imposed pursuant to Regulation D of the Board. Eurodollar Loans shall be deemed to constitute eurocurrency funding and to be subject to such reserve requirements without benefit of or credit for proration, exemptions or offsets that may be available from time to time to any Lender under Regulation D of the Board or any comparable regulation. The Statutory Reserve Rate shall be adjusted automatically on and as of the effective date of any change in any reserve percentage.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Subordinated Indebtedness</w:t>
      </w:r>
      <w:r>
        <w:rPr>
          <w:rFonts w:ascii="Arial" w:cs="Arial" w:eastAsia="Arial" w:hAnsi="Arial"/>
          <w:sz w:val="18"/>
          <w:szCs w:val="18"/>
          <w:color w:val="auto"/>
        </w:rPr>
        <w:t>” of a Person means any Indebtedness of such Person the payment of which is subordinated to payment of the Secured Obligations.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Subordination Agreement</w:t>
      </w:r>
      <w:r>
        <w:rPr>
          <w:rFonts w:ascii="Arial" w:cs="Arial" w:eastAsia="Arial" w:hAnsi="Arial"/>
          <w:sz w:val="18"/>
          <w:szCs w:val="18"/>
          <w:color w:val="auto"/>
        </w:rPr>
        <w:t>” means any subordination agreement, document or other arrangement in respect of any Subordinated Indebtedness, to the written satisfaction of the Administrative Agent and to the extent in effect.</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Person (the “</w:t>
      </w:r>
      <w:r>
        <w:rPr>
          <w:rFonts w:ascii="Arial" w:cs="Arial" w:eastAsia="Arial" w:hAnsi="Arial"/>
          <w:sz w:val="17"/>
          <w:szCs w:val="17"/>
          <w:u w:val="single" w:color="auto"/>
          <w:color w:val="auto"/>
        </w:rPr>
        <w:t>parent</w:t>
      </w:r>
      <w:r>
        <w:rPr>
          <w:rFonts w:ascii="Arial" w:cs="Arial" w:eastAsia="Arial" w:hAnsi="Arial"/>
          <w:sz w:val="17"/>
          <w:szCs w:val="17"/>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and/or one or more subsidiaries of the parent.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direct or indirect subsidiary of the Company or a Loan Party, as applicable.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Supported QFC</w:t>
      </w:r>
      <w:r>
        <w:rPr>
          <w:rFonts w:ascii="Arial" w:cs="Arial" w:eastAsia="Arial" w:hAnsi="Arial"/>
          <w:sz w:val="18"/>
          <w:szCs w:val="18"/>
          <w:color w:val="auto"/>
        </w:rPr>
        <w:t>” has the meaning assigned to it in Section 9.21.</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Agreement</w:t>
      </w:r>
      <w:r>
        <w:rPr>
          <w:rFonts w:ascii="Arial" w:cs="Arial" w:eastAsia="Arial" w:hAnsi="Arial"/>
          <w:sz w:val="18"/>
          <w:szCs w:val="18"/>
          <w:color w:val="auto"/>
        </w:rPr>
        <w:t xml:space="preserve">”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phantom stock or similar plan providing for payments only on account of services provided by current or former directors, officers, employees or consultants of the Borrowers or the Subsidiaries shall be a Swap Agreement.</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6" w:name="page77"/>
    <w:bookmarkEnd w:id="76"/>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Agreement Obligations</w:t>
      </w:r>
      <w:r>
        <w:rPr>
          <w:rFonts w:ascii="Arial" w:cs="Arial" w:eastAsia="Arial" w:hAnsi="Arial"/>
          <w:sz w:val="17"/>
          <w:szCs w:val="17"/>
          <w:color w:val="auto"/>
        </w:rPr>
        <w:t>” means any and all obligations of the Loan Parties and their Subsidiaries, whether absolute or contingent and howsoever and whensoever created, arising, evidenced or acquired (including all renewals, extensions and modifications thereof and substitutions therefor), under (a) any and all Swap Agreements permitted hereunder with a Lender or an Affiliate of a Lender, and (b) any and all cancellations, buy backs, reversals, terminations or assignments of any Swap Agreement transaction permitted hereunder with a Lender or an Affiliate of a Lender.</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Obligation</w:t>
      </w:r>
      <w:r>
        <w:rPr>
          <w:rFonts w:ascii="Arial" w:cs="Arial" w:eastAsia="Arial" w:hAnsi="Arial"/>
          <w:sz w:val="17"/>
          <w:szCs w:val="17"/>
          <w:color w:val="auto"/>
        </w:rPr>
        <w:t>” means, with respect to any Loan Guarantor, any obligation to pay or perform under any agreement, contract or transaction that constitutes a “</w:t>
      </w:r>
      <w:r>
        <w:rPr>
          <w:rFonts w:ascii="Arial" w:cs="Arial" w:eastAsia="Arial" w:hAnsi="Arial"/>
          <w:sz w:val="17"/>
          <w:szCs w:val="17"/>
          <w:u w:val="single" w:color="auto"/>
          <w:color w:val="auto"/>
        </w:rPr>
        <w:t>swap</w:t>
      </w:r>
      <w:r>
        <w:rPr>
          <w:rFonts w:ascii="Arial" w:cs="Arial" w:eastAsia="Arial" w:hAnsi="Arial"/>
          <w:sz w:val="17"/>
          <w:szCs w:val="17"/>
          <w:color w:val="auto"/>
        </w:rPr>
        <w:t>” within the meaning of Section 1a(47) of the Commodity Exchange Act or any rules or regulations promulgated thereunder.</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Exposure</w:t>
      </w:r>
      <w:r>
        <w:rPr>
          <w:rFonts w:ascii="Arial" w:cs="Arial" w:eastAsia="Arial" w:hAnsi="Arial"/>
          <w:sz w:val="18"/>
          <w:szCs w:val="18"/>
          <w:color w:val="auto"/>
        </w:rPr>
        <w:t>” means, at any time, the aggregate principal amount of all Swingline Loans outstanding at such time. The Swingline Exposure of any Revolving Lender at any time shall be its Applicable Percentage of the total Swingline Exposure at such time.</w:t>
      </w:r>
    </w:p>
    <w:p>
      <w:pPr>
        <w:spacing w:after="0" w:line="170"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Swingline Lender</w:t>
      </w:r>
      <w:r>
        <w:rPr>
          <w:rFonts w:ascii="Arial" w:cs="Arial" w:eastAsia="Arial" w:hAnsi="Arial"/>
          <w:sz w:val="16"/>
          <w:szCs w:val="16"/>
          <w:color w:val="auto"/>
        </w:rPr>
        <w:t>” means JPMCB (or any of its designated branch offices or affiliates), in its capacity as lender of Swingline Loans hereunder. Any consent required of the Administrative Agent or the Issuing Bank shall be deemed to be required of the Swingline Lender and any consent given by JPMCB in its capacity as Administrative Agent or Issuing Bank shall be deemed given by JPMCB in its capacity as Swingline Lender.</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Loan</w:t>
      </w:r>
      <w:r>
        <w:rPr>
          <w:rFonts w:ascii="Arial" w:cs="Arial" w:eastAsia="Arial" w:hAnsi="Arial"/>
          <w:sz w:val="18"/>
          <w:szCs w:val="18"/>
          <w:color w:val="auto"/>
        </w:rPr>
        <w:t>” has the meaning assigned to such term in Section 2.05(a).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 Notice</w:t>
      </w:r>
      <w:r>
        <w:rPr>
          <w:rFonts w:ascii="Arial" w:cs="Arial" w:eastAsia="Arial" w:hAnsi="Arial"/>
          <w:sz w:val="18"/>
          <w:szCs w:val="18"/>
          <w:color w:val="auto"/>
        </w:rPr>
        <w:t>” means a notification by the Administrative Agent to the Lenders and the Borrower Representative of the occurrence of a Term SOFR Transition Event.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 SOFR Transition Event</w:t>
      </w:r>
      <w:r>
        <w:rPr>
          <w:rFonts w:ascii="Arial" w:cs="Arial" w:eastAsia="Arial" w:hAnsi="Arial"/>
          <w:sz w:val="17"/>
          <w:szCs w:val="17"/>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(and, for the avoidance of doubt, not in the case of an Other Benchmark Rate Election), has previously occurred resulting in a Benchmark Replacement in accordance with Section 2.14 that is not Term SOFR.</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the execution, delivery and performance by the Loan Parties of this Agreement and the other Loan Documents, the borrowing of Loans and other credit extensions, the use of the proceeds thereof and the issuance of Letters of Credit hereunder.</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7" w:name="page78"/>
    <w:bookmarkEnd w:id="77"/>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or the CBFR.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California or in any other state the laws of which are required to be applied in connection with the issue of perfection of security interests.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Financial Institutions</w:t>
      </w:r>
      <w:r>
        <w:rPr>
          <w:rFonts w:ascii="Arial" w:cs="Arial" w:eastAsia="Arial" w:hAnsi="Arial"/>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Unadjusted Benchmark Replacement</w:t>
      </w:r>
      <w:r>
        <w:rPr>
          <w:rFonts w:ascii="Arial" w:cs="Arial" w:eastAsia="Arial" w:hAnsi="Arial"/>
          <w:sz w:val="18"/>
          <w:szCs w:val="18"/>
          <w:color w:val="auto"/>
        </w:rPr>
        <w:t>” means the applicable Benchmark Replacement excluding the related Benchmark Replacement Adjustment.</w:t>
      </w:r>
    </w:p>
    <w:p>
      <w:pPr>
        <w:spacing w:after="0" w:line="170"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Unfinanced Capital Expenditures</w:t>
      </w:r>
      <w:r>
        <w:rPr>
          <w:rFonts w:ascii="Arial" w:cs="Arial" w:eastAsia="Arial" w:hAnsi="Arial"/>
          <w:sz w:val="18"/>
          <w:szCs w:val="18"/>
          <w:color w:val="auto"/>
        </w:rPr>
        <w:t>” means, for any period, Capital Expenditures made during such period which are not financed from the proceeds of any Indebtedness (other than the Revolving Loans; it being understood and agreed that, to the extent any Capital Expenditures are financed with Revolving Loans, such Capital Expenditures shall be deemed Unfinanced Capital Expenditures).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Unfunded Commitment</w:t>
      </w:r>
      <w:r>
        <w:rPr>
          <w:rFonts w:ascii="Arial" w:cs="Arial" w:eastAsia="Arial" w:hAnsi="Arial"/>
          <w:sz w:val="17"/>
          <w:szCs w:val="17"/>
          <w:color w:val="auto"/>
        </w:rPr>
        <w:t>” means, with respect to each Lender, the Revolving Commitment of such Lender less its Revolving Exposure.</w:t>
      </w:r>
    </w:p>
    <w:p>
      <w:pPr>
        <w:spacing w:after="0" w:line="23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Unliquidated Obligations</w:t>
      </w:r>
      <w:r>
        <w:rPr>
          <w:rFonts w:ascii="Arial" w:cs="Arial" w:eastAsia="Arial" w:hAnsi="Arial"/>
          <w:sz w:val="18"/>
          <w:szCs w:val="18"/>
          <w:color w:val="auto"/>
        </w:rPr>
        <w:t>” means, at any time, any Secured Obligations (or portion thereof) that are contingent in nature or unliquidated at such time, including any Secured Obligation that is: (a) an obligation to reimburse a bank for drawings not yet made under a letter of credit issued by it; (b) any other obligation (including any guarantee) that is contingent in nature at such time; or (c) an obligation to provide collateral to secure any of the foregoing types of obligations.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 “</w:t>
      </w:r>
      <w:r>
        <w:rPr>
          <w:rFonts w:ascii="Arial" w:cs="Arial" w:eastAsia="Arial" w:hAnsi="Arial"/>
          <w:sz w:val="18"/>
          <w:szCs w:val="18"/>
          <w:u w:val="single" w:color="auto"/>
          <w:color w:val="auto"/>
        </w:rPr>
        <w:t>United States person</w:t>
      </w:r>
      <w:r>
        <w:rPr>
          <w:rFonts w:ascii="Arial" w:cs="Arial" w:eastAsia="Arial" w:hAnsi="Arial"/>
          <w:sz w:val="18"/>
          <w:szCs w:val="18"/>
          <w:color w:val="auto"/>
        </w:rPr>
        <w:t>” within the meaning of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w:t>
      </w:r>
      <w:r>
        <w:rPr>
          <w:rFonts w:ascii="Arial" w:cs="Arial" w:eastAsia="Arial" w:hAnsi="Arial"/>
          <w:sz w:val="18"/>
          <w:szCs w:val="18"/>
          <w:color w:val="auto"/>
        </w:rPr>
        <w:t>” has the meaning assigned to it in Section 9.21.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has the meaning assigned to such term in Section 2.17(f)(ii)(B)(3).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8" w:name="page79"/>
    <w:bookmarkEnd w:id="78"/>
    <w:p>
      <w:pPr>
        <w:ind w:right="60"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Write-Down and Conversion Powers</w:t>
      </w:r>
      <w:r>
        <w:rPr>
          <w:rFonts w:ascii="Arial" w:cs="Arial" w:eastAsia="Arial" w:hAnsi="Arial"/>
          <w:sz w:val="17"/>
          <w:szCs w:val="17"/>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(e.g., a “</w:t>
      </w:r>
      <w:r>
        <w:rPr>
          <w:rFonts w:ascii="Arial" w:cs="Arial" w:eastAsia="Arial" w:hAnsi="Arial"/>
          <w:sz w:val="18"/>
          <w:szCs w:val="18"/>
          <w:u w:val="single" w:color="auto"/>
          <w:color w:val="auto"/>
        </w:rPr>
        <w:t>Revolving Loan</w:t>
      </w:r>
      <w:r>
        <w:rPr>
          <w:rFonts w:ascii="Arial" w:cs="Arial" w:eastAsia="Arial" w:hAnsi="Arial"/>
          <w:sz w:val="18"/>
          <w:szCs w:val="18"/>
          <w:color w:val="auto"/>
        </w:rPr>
        <w:t>”) or by Type (e.g., a “</w:t>
      </w:r>
      <w:r>
        <w:rPr>
          <w:rFonts w:ascii="Arial" w:cs="Arial" w:eastAsia="Arial" w:hAnsi="Arial"/>
          <w:sz w:val="18"/>
          <w:szCs w:val="18"/>
          <w:u w:val="single" w:color="auto"/>
          <w:color w:val="auto"/>
        </w:rPr>
        <w:t>Eurodollar Loan</w:t>
      </w:r>
      <w:r>
        <w:rPr>
          <w:rFonts w:ascii="Arial" w:cs="Arial" w:eastAsia="Arial" w:hAnsi="Arial"/>
          <w:sz w:val="18"/>
          <w:szCs w:val="18"/>
          <w:color w:val="auto"/>
        </w:rPr>
        <w:t>”) or by Class and Type (e.g., a “</w:t>
      </w:r>
      <w:r>
        <w:rPr>
          <w:rFonts w:ascii="Arial" w:cs="Arial" w:eastAsia="Arial" w:hAnsi="Arial"/>
          <w:sz w:val="18"/>
          <w:szCs w:val="18"/>
          <w:u w:val="single" w:color="auto"/>
          <w:color w:val="auto"/>
        </w:rPr>
        <w:t>Eurodollar Revolving Loan</w:t>
      </w:r>
      <w:r>
        <w:rPr>
          <w:rFonts w:ascii="Arial" w:cs="Arial" w:eastAsia="Arial" w:hAnsi="Arial"/>
          <w:sz w:val="18"/>
          <w:szCs w:val="18"/>
          <w:color w:val="auto"/>
        </w:rPr>
        <w:t>”). Borrowings also may be classified and referred to by Class (e.g., a “</w:t>
      </w:r>
      <w:r>
        <w:rPr>
          <w:rFonts w:ascii="Arial" w:cs="Arial" w:eastAsia="Arial" w:hAnsi="Arial"/>
          <w:sz w:val="18"/>
          <w:szCs w:val="18"/>
          <w:u w:val="single" w:color="auto"/>
          <w:color w:val="auto"/>
        </w:rPr>
        <w:t>Revolving Borrowing</w:t>
      </w:r>
      <w:r>
        <w:rPr>
          <w:rFonts w:ascii="Arial" w:cs="Arial" w:eastAsia="Arial" w:hAnsi="Arial"/>
          <w:sz w:val="18"/>
          <w:szCs w:val="18"/>
          <w:color w:val="auto"/>
        </w:rPr>
        <w:t>”) or by Type (e.g., a “</w:t>
      </w:r>
      <w:r>
        <w:rPr>
          <w:rFonts w:ascii="Arial" w:cs="Arial" w:eastAsia="Arial" w:hAnsi="Arial"/>
          <w:sz w:val="18"/>
          <w:szCs w:val="18"/>
          <w:u w:val="single" w:color="auto"/>
          <w:color w:val="auto"/>
        </w:rPr>
        <w:t>Eurodollar Borrowing</w:t>
      </w:r>
      <w:r>
        <w:rPr>
          <w:rFonts w:ascii="Arial" w:cs="Arial" w:eastAsia="Arial" w:hAnsi="Arial"/>
          <w:sz w:val="18"/>
          <w:szCs w:val="18"/>
          <w:color w:val="auto"/>
        </w:rPr>
        <w:t>”) or by Class and Type (e.g., a “</w:t>
      </w:r>
      <w:r>
        <w:rPr>
          <w:rFonts w:ascii="Arial" w:cs="Arial" w:eastAsia="Arial" w:hAnsi="Arial"/>
          <w:sz w:val="18"/>
          <w:szCs w:val="18"/>
          <w:u w:val="single" w:color="auto"/>
          <w:color w:val="auto"/>
        </w:rPr>
        <w:t>Eurodollar Revolving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Borrowing</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“law” shall be construed as referring to all statutes, rules, regulations, codes and other laws (including official rulings and interpretations thereunder having the force of law or with which affected Persons customarily comply) and all judgments, orders and decrees of all Governmental Authorities.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restated, supplemented or otherwise modified (subject to any restrictions on such amendments, restatements, supplements or modifications set forth herein), (b) any definition of or reference to any statute, rule or regulation shall be construed as referring thereto as from time to time amended, supplemented or otherwise modified (including by succession of comparable successor laws), (c) any reference herein to any Person shall be construed to include such Person’s successors and assigns (subject to any restrictions on assignments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(f) any reference in any definition to the phrase “at any time” or “for any period” shall refer to the same time or period for all calculations or determinations within such definition, and (g) the words “asset” and “property” shall be construed to have the same meaning and effect and to refer to any and all tangible and intangible assets and properties, including cash, securities, accounts and contract rights.</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after the date hereof there occurs any change in GAAP or in the application thereof on the operation of any provision hereof and the Borrower Representative notifies the Administrative Agent that the Borrowers request an amendment to any provision hereof to eliminate the effect of such change in GAAP or in the application thereof (or if the Administrative Agent notifies the Borrower Representative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825-10-25 (or any other Accounting Standards Codification or Financial Accounting Standard having a similar result or effect) to value any Indebtedness or other liabilities of any Loan Party at “fair value”, as defined therein and (ii) without giving effect to any treatment of Indebtedness under Financial Accounting Standards Board Accounting Standards Codification 470-20 or 2105-03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79" w:name="page80"/>
    <w:bookmarkEnd w:id="79"/>
    <w:p>
      <w:pPr>
        <w:jc w:val="both"/>
        <w:ind w:firstLine="1304"/>
        <w:spacing w:after="0" w:line="255" w:lineRule="auto"/>
        <w:tabs>
          <w:tab w:leader="none" w:pos="23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Section 1.04(a) or in the definition of “</w:t>
      </w:r>
      <w:r>
        <w:rPr>
          <w:rFonts w:ascii="Arial" w:cs="Arial" w:eastAsia="Arial" w:hAnsi="Arial"/>
          <w:sz w:val="18"/>
          <w:szCs w:val="18"/>
          <w:u w:val="single" w:color="auto"/>
          <w:color w:val="auto"/>
        </w:rPr>
        <w:t>Capital Lease Obligations,</w:t>
      </w:r>
      <w:r>
        <w:rPr>
          <w:rFonts w:ascii="Arial" w:cs="Arial" w:eastAsia="Arial" w:hAnsi="Arial"/>
          <w:sz w:val="18"/>
          <w:szCs w:val="18"/>
          <w:color w:val="auto"/>
        </w:rPr>
        <w:t>”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capital lease where such lease (or similar arrangement) would not have been required to be so treated under GAAP as in effect on December 31, 2015, such lease shall not be considered a capital lease, and all calculations and deliverables under this Agreement or any other Loan Document shall be made or delivered, as applicable, in accordance therewith.</w:t>
      </w:r>
    </w:p>
    <w:p>
      <w:pPr>
        <w:spacing w:after="0" w:line="19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u w:val="single" w:color="auto"/>
          <w:color w:val="auto"/>
        </w:rPr>
        <w:t>Interest Rates; LIBOR Notifications</w:t>
      </w:r>
      <w:r>
        <w:rPr>
          <w:rFonts w:ascii="Arial" w:cs="Arial" w:eastAsia="Arial" w:hAnsi="Arial"/>
          <w:sz w:val="16"/>
          <w:szCs w:val="16"/>
          <w:color w:val="auto"/>
        </w:rPr>
        <w:t>. The interest rate on Eurodollar Loans is determined by reference to the LIBO Rate, which is derived from the London interbank offered rate (“</w:t>
      </w:r>
      <w:r>
        <w:rPr>
          <w:rFonts w:ascii="Arial" w:cs="Arial" w:eastAsia="Arial" w:hAnsi="Arial"/>
          <w:sz w:val="16"/>
          <w:szCs w:val="16"/>
          <w:u w:val="single" w:color="auto"/>
          <w:color w:val="auto"/>
        </w:rPr>
        <w:t>LIBOR</w:t>
      </w:r>
      <w:r>
        <w:rPr>
          <w:rFonts w:ascii="Arial" w:cs="Arial" w:eastAsia="Arial" w:hAnsi="Arial"/>
          <w:sz w:val="16"/>
          <w:szCs w:val="16"/>
          <w:color w:val="auto"/>
        </w:rPr>
        <w:t>”). LIBOR is intended to represent the rate at which contributing banks may obtain short-term borrowings from each other in the London interbank market. On March 5, 2021, the U.K. Financial Conduct Authority (“</w:t>
      </w:r>
      <w:r>
        <w:rPr>
          <w:rFonts w:ascii="Arial" w:cs="Arial" w:eastAsia="Arial" w:hAnsi="Arial"/>
          <w:sz w:val="16"/>
          <w:szCs w:val="16"/>
          <w:u w:val="single" w:color="auto"/>
          <w:color w:val="auto"/>
        </w:rPr>
        <w:t>FCA</w:t>
      </w:r>
      <w:r>
        <w:rPr>
          <w:rFonts w:ascii="Arial" w:cs="Arial" w:eastAsia="Arial" w:hAnsi="Arial"/>
          <w:sz w:val="16"/>
          <w:szCs w:val="16"/>
          <w:color w:val="auto"/>
        </w:rPr>
        <w:t>”) publicly announced that:</w:t>
      </w:r>
    </w:p>
    <w:p>
      <w:pPr>
        <w:spacing w:after="0" w:line="2" w:lineRule="exact"/>
        <w:rPr>
          <w:sz w:val="20"/>
          <w:szCs w:val="20"/>
          <w:color w:val="auto"/>
        </w:rPr>
      </w:pPr>
    </w:p>
    <w:p>
      <w:pPr>
        <w:jc w:val="both"/>
        <w:ind w:firstLine="8"/>
        <w:spacing w:after="0" w:line="283" w:lineRule="auto"/>
        <w:tabs>
          <w:tab w:leader="none" w:pos="255" w:val="left"/>
        </w:tabs>
        <w:numPr>
          <w:ilvl w:val="0"/>
          <w:numId w:val="48"/>
        </w:numPr>
        <w:rPr>
          <w:rFonts w:ascii="Arial" w:cs="Arial" w:eastAsia="Arial" w:hAnsi="Arial"/>
          <w:sz w:val="16"/>
          <w:szCs w:val="16"/>
          <w:color w:val="auto"/>
        </w:rPr>
      </w:pPr>
      <w:r>
        <w:rPr>
          <w:rFonts w:ascii="Arial" w:cs="Arial" w:eastAsia="Arial" w:hAnsi="Arial"/>
          <w:sz w:val="16"/>
          <w:szCs w:val="16"/>
          <w:color w:val="auto"/>
        </w:rPr>
        <w:t>immediately after December 31, 2021, publication of all seven euro LIBOR settings, all seven Swiss Franc LIBOR settings, the spot next, 1-week, 2-month and 12-month Japanese Yen LIBOR settings, the overnight, 1-week, 2-month and 12-month British Pound Sterling LIBOR settings, and the 1-week and 2-month U.S. Dollar LIBOR settings will permanently cease; (b) immediately after June 30, 2023, publication of the overnight and 12-month U.S. Dollar LIBOR settings will permanently cease; (c) immediately after December 31, 2021, the 1-month, 3-month and 6-month Japanese Yen LIBOR settings and the 1-month, 3-month and 6-month British Pound Sterling LIBOR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 6-month U.S. Dollar LIBOR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LIBOR and/or regulators will not take further action that could impact the availability, composition, or characteristics of LIBOR or the currencies and/or tenors for which LIBOR is published. Each party to this agreement should consult its own advisors to stay informed of any such developments. Public and private sector industry initiatives are currently underway to identify new or alternative reference rates to be used in place of LIBOR. Upon the occurrence of a Benchmark Transition Event, a Term SOFR Transition Event, an Early Opt-in Election or an Other Benchmark Rate Election, Section 2.14(c) and (d) provide a mechanism for determining an alternative rate of interest. The Administrative Agent will promptly notify the Borrower, pursuant to Section 2.14(f), of any change to the reference rate upon which the interest rate on Eurodollar Loans is based. However, the Administrative Agent does not warrant or accept any responsibility for, and shall not have any liability with respect to, the administration, submission, performance or any other matter related to LIBOR or other rates in the definition of “LIBO Rate” or with respect to any alternative or successor rate thereto, or replacement rate thereof (including, without limitation, (i) any such alternative, successor or replacement rate implemented pursuant to Section 2.14(c) or (d), whether upon the occurrence of a Benchmark Transition Event, a Term SOFR Transition Event, an Early Opt-in Election or an Other Benchmark Rate Election, and (ii) the implementation of any Benchmark Replacement Conforming Changes pursuant to Section 2.14(e)),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(or the euro interbank offered rate, as applicable) prior to its discontinuance or unavailability. The Administrative Agent and its affiliates and/or other related entities may engage in transactions that affect the calculation of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benchmark rate, or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0" w:name="page81"/>
    <w:bookmarkEnd w:id="80"/>
    <w:p>
      <w:pPr>
        <w:jc w:val="both"/>
        <w:ind w:firstLine="648"/>
        <w:spacing w:after="0" w:line="270"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Status of Obligations</w:t>
      </w:r>
      <w:r>
        <w:rPr>
          <w:rFonts w:ascii="Arial" w:cs="Arial" w:eastAsia="Arial" w:hAnsi="Arial"/>
          <w:sz w:val="17"/>
          <w:szCs w:val="17"/>
          <w:color w:val="auto"/>
        </w:rPr>
        <w:t>. In the event that any Borrower or any other Loan Party shall at any time issue or have outstanding any Subordinated Indebtedness, such Borrower shall take or cause such other Loan Party to take all such actions as shall be necessary to cause the Secured Obligations to constitute senior indebtedness (however denominated) in respect of such Subordinated Indebtedness and to enable the Administrative Agent and the Lenders to have and exercise any payment blockage or other remedies available or potentially available to holders of senior indebtedness under the terms of such Subordinated Indebtedness. Without limiting the foregoing, the Secured Obligations are hereby designated as “senior indebtedness” and as “designated senior indebtedness” and words of similar import under and in respect of any indenture or other agreement or instrument under which such Subordinated Indebtedness is outstanding and are further given all such other designations as shall be required under the terms of any such Subordinated Indebtedness in order that the Lenders may have and exercise any payment blockage or other remedies available or potentially available to holders of senior indebtedness under the terms of such Subordinated Indebtedness.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1.07. </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Unless otherwise specified herein, the amount of a Letter of Credit at any time shall be deemed to be the stated amount of such Letter of Credit available to be drawn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Letter of Credit that, by its terms or the terms of any Letter of Credit Agreement related thereto, provides for one or more automatic increases in the available amount thereof, the amount of such Letter of Credit shall be deemed to be the maximum amount of such Letter of Credit after giving effect to all such increases, whether or not such maximum amount is available to be drawn at such time. For all purposes of this Agreement,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or if compliant documents have been presented but not yet honored,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1" w:name="page82"/>
    <w:bookmarkEnd w:id="81"/>
    <w:p>
      <w:pPr>
        <w:jc w:val="both"/>
        <w:ind w:firstLine="648"/>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CREDITS</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Revolving Commitments</w:t>
      </w:r>
      <w:r>
        <w:rPr>
          <w:rFonts w:ascii="Arial" w:cs="Arial" w:eastAsia="Arial" w:hAnsi="Arial"/>
          <w:sz w:val="18"/>
          <w:szCs w:val="18"/>
          <w:color w:val="auto"/>
        </w:rPr>
        <w:t>. Subject to the terms and conditions set forth herein, each Lender severally (and not jointly) agrees to make Revolving Loans to the Borrowers from time to time during the Availability Period in an aggregate principal amount that will not result in (i) such Lender’s Revolving Exposure exceeding such Lender’s Revolving Commitment or (ii) the Aggregate Revolving Exposure exceeding the lesser of (x) the Aggregate Revolving Commitment and (y) the Borrowing Base, subject to the Administrative Agent’s authority, in its sole discretion, to make Protective Advances and Overadvances pursuant to the terms of Sections 2.04 and 2.05. Within the foregoing limits and subject to the terms and conditions set forth herein, the Borrowers may borrow, prepay and reborrow Revolving Loans.</w:t>
      </w:r>
    </w:p>
    <w:p>
      <w:pPr>
        <w:spacing w:after="0" w:line="19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Loans and Borrowings</w:t>
      </w:r>
      <w:r>
        <w:rPr>
          <w:rFonts w:ascii="Arial" w:cs="Arial" w:eastAsia="Arial" w:hAnsi="Arial"/>
          <w:sz w:val="16"/>
          <w:szCs w:val="16"/>
          <w:color w:val="auto"/>
        </w:rPr>
        <w:t xml:space="preserve">. (a) Each Loan (other than a Swingline Loan) shall be made as part of a Borrowing consisting of Loans of the same Class and Type made by the Lenders ratably in accordance with their respective Revolving Commitments of the applicable Class. The failure of any Lender to make any Loan required to be made by it shall not relieve any other Lender of its obligations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Revolving Commitments of the Lenders are several and no Lender shall be responsible for any other Lender’s failure to make Loans as required. Any Protective Advance, any Overadvances and any Swingline Loan shall be made in accordance with the procedures set forth in Sections 2.04 and 2.05.</w:t>
      </w:r>
    </w:p>
    <w:p>
      <w:pPr>
        <w:spacing w:after="0" w:line="161" w:lineRule="exact"/>
        <w:rPr>
          <w:sz w:val="20"/>
          <w:szCs w:val="20"/>
          <w:color w:val="auto"/>
        </w:rPr>
      </w:pPr>
    </w:p>
    <w:p>
      <w:pPr>
        <w:jc w:val="both"/>
        <w:ind w:firstLine="1304"/>
        <w:spacing w:after="0" w:line="293" w:lineRule="auto"/>
        <w:tabs>
          <w:tab w:leader="none" w:pos="2293"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Subject to Section 2.14, each Revolving Borrowing shall be comprised entirely of CBFR Loans or Eurodollar Loans as the Borrower Representative may request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Borrowings made on the Effective Date must be made as CBFR Borrowings but may be converted into Eurodollar Borrowings in accordance with Section 2.08. Each Swingline Loan shall be an CBFR Loan. Each Lender at its option may make any Eurodollar Loan by causing any domestic or foreign branch or Affiliate of such Lender to make such Loan (and in the case of an Affiliate, the provisions of Sections 2.14, 2.15, 2.16 and 2.17 shall apply to such Affiliate to the same extent as to such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exercise of such option shall not affect the obligation of the Borrowers to repay such Loan in accordance with the terms of this Agreement.</w:t>
      </w:r>
    </w:p>
    <w:p>
      <w:pPr>
        <w:spacing w:after="0" w:line="164" w:lineRule="exact"/>
        <w:rPr>
          <w:rFonts w:ascii="Arial" w:cs="Arial" w:eastAsia="Arial" w:hAnsi="Arial"/>
          <w:sz w:val="16"/>
          <w:szCs w:val="16"/>
          <w:color w:val="auto"/>
        </w:rPr>
      </w:pPr>
    </w:p>
    <w:p>
      <w:pPr>
        <w:jc w:val="both"/>
        <w:ind w:firstLine="1304"/>
        <w:spacing w:after="0" w:line="275" w:lineRule="auto"/>
        <w:tabs>
          <w:tab w:leader="none" w:pos="247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Eurodollar Borrowing, such Borrowing shall be in an aggregate amount that is an integral multiple of $250,000 and not less than $1,000,000;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Eurodollar Borrowing may be in an aggregate amount that is equal to the entire unused balance of the Aggregate Revolving Commitment or that is required to finance the reimbursement of an LC Disbursement as contemplated by Section 2.06(e). CBFR Borrowings may be in any amount.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5 Eurodollar Borrowings outstanding.</w:t>
      </w:r>
    </w:p>
    <w:p>
      <w:pPr>
        <w:spacing w:after="0" w:line="176" w:lineRule="exact"/>
        <w:rPr>
          <w:rFonts w:ascii="Arial" w:cs="Arial" w:eastAsia="Arial" w:hAnsi="Arial"/>
          <w:sz w:val="17"/>
          <w:szCs w:val="17"/>
          <w:color w:val="auto"/>
        </w:rPr>
      </w:pPr>
    </w:p>
    <w:p>
      <w:pPr>
        <w:ind w:right="20" w:firstLine="1304"/>
        <w:spacing w:after="0" w:line="308" w:lineRule="auto"/>
        <w:tabs>
          <w:tab w:leader="none" w:pos="2333"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the Borrower Representative shall not be entitled to request, or to elect to convert or continue, any Borrowing if the Interest Period requested with respect thereto would end after the Maturity Date.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2" w:name="page83"/>
    <w:bookmarkEnd w:id="82"/>
    <w:p>
      <w:pPr>
        <w:jc w:val="both"/>
        <w:ind w:firstLine="648"/>
        <w:spacing w:after="0" w:line="269" w:lineRule="auto"/>
        <w:rPr>
          <w:sz w:val="20"/>
          <w:szCs w:val="20"/>
          <w:color w:val="auto"/>
        </w:rPr>
      </w:pPr>
      <w:r>
        <w:rPr>
          <w:rFonts w:ascii="Arial" w:cs="Arial" w:eastAsia="Arial" w:hAnsi="Arial"/>
          <w:sz w:val="17"/>
          <w:szCs w:val="17"/>
          <w:color w:val="auto"/>
        </w:rPr>
        <w:t xml:space="preserve">SECTION 2.03. </w:t>
      </w:r>
      <w:r>
        <w:rPr>
          <w:rFonts w:ascii="Arial" w:cs="Arial" w:eastAsia="Arial" w:hAnsi="Arial"/>
          <w:sz w:val="17"/>
          <w:szCs w:val="17"/>
          <w:u w:val="single" w:color="auto"/>
          <w:color w:val="auto"/>
        </w:rPr>
        <w:t>Requests for Revolving Borrowings</w:t>
      </w:r>
      <w:r>
        <w:rPr>
          <w:rFonts w:ascii="Arial" w:cs="Arial" w:eastAsia="Arial" w:hAnsi="Arial"/>
          <w:sz w:val="17"/>
          <w:szCs w:val="17"/>
          <w:color w:val="auto"/>
        </w:rPr>
        <w:t xml:space="preserve">. To request a Revolving Borrowing, the Borrower Representative shall notify the Administrative Agent of such request either in writing (delivered by hand or fax) by delivering a Borrowing Request signed by a Responsible Officer of the Borrower Representative or through Electronic System if arrangements for doing so have been approved by the Administrative Agent (or if an Extenuating Circumstance shall exist, by telephone) not later than (a) in the case of a Eurodollar Borrowing, 9:00 a.m., Pacific time, three (3) Business Days before the date of the proposed Borrowing or (b) in the case of an CBFR Borrowing, 9:00 a.m., Pacific time, on the date of the proposed Borrowing;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of an CBFR Borrowing to finance the reimbursement of an LC Disbursement as contemplated by Section 2.06(e) may be given not later than 9:00 a.m., Pacific time, on the date of such proposed Borrowing. Each such Borrowing Request shall be irrevocable and each such telephonic Borrowing Request, if permitted, shall be confirmed immediately upon the cessation of the Extenuating Circumstance by hand delivery, facsimile or a communication through Electronic System to the Administrative Agent of a written Borrowing Request in a form approved by the Administrative Agent and signed by a Responsible Officer of the Borrower Representative. Each such written (or if permitted, telephonic) Borrowing Request shall specify the following information in compliance with Section 2.02:</w:t>
      </w:r>
    </w:p>
    <w:p>
      <w:pPr>
        <w:spacing w:after="0" w:line="182" w:lineRule="exact"/>
        <w:rPr>
          <w:sz w:val="20"/>
          <w:szCs w:val="20"/>
          <w:color w:val="auto"/>
        </w:rPr>
      </w:pPr>
    </w:p>
    <w:p>
      <w:pPr>
        <w:ind w:left="2880" w:hanging="928"/>
        <w:spacing w:after="0"/>
        <w:tabs>
          <w:tab w:leader="none" w:pos="2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name of the applicable Borrower(s);</w:t>
      </w:r>
    </w:p>
    <w:p>
      <w:pPr>
        <w:spacing w:after="0" w:line="225" w:lineRule="exact"/>
        <w:rPr>
          <w:rFonts w:ascii="Arial" w:cs="Arial" w:eastAsia="Arial" w:hAnsi="Arial"/>
          <w:sz w:val="18"/>
          <w:szCs w:val="18"/>
          <w:color w:val="auto"/>
        </w:rPr>
      </w:pPr>
    </w:p>
    <w:p>
      <w:pPr>
        <w:ind w:left="3020" w:hanging="1068"/>
        <w:spacing w:after="0"/>
        <w:tabs>
          <w:tab w:leader="none" w:pos="30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aggregate amount of the requested Revolving Borrowing and a breakdown of the separate wires comprising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Borrowing;</w:t>
      </w:r>
    </w:p>
    <w:p>
      <w:pPr>
        <w:spacing w:after="0" w:line="211" w:lineRule="exact"/>
        <w:rPr>
          <w:sz w:val="20"/>
          <w:szCs w:val="20"/>
          <w:color w:val="auto"/>
        </w:rPr>
      </w:pPr>
    </w:p>
    <w:p>
      <w:pPr>
        <w:ind w:left="2800" w:hanging="848"/>
        <w:spacing w:after="0"/>
        <w:tabs>
          <w:tab w:leader="none" w:pos="2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of such Revolving Borrowing, which shall be a Business Day;</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such Revolving Borrowing is to be an CBFR Borrowing or a Eurodollar Borrowing; and</w:t>
      </w:r>
    </w:p>
    <w:p>
      <w:pPr>
        <w:spacing w:after="0" w:line="225" w:lineRule="exact"/>
        <w:rPr>
          <w:rFonts w:ascii="Arial" w:cs="Arial" w:eastAsia="Arial" w:hAnsi="Arial"/>
          <w:sz w:val="18"/>
          <w:szCs w:val="18"/>
          <w:color w:val="auto"/>
        </w:rPr>
      </w:pPr>
    </w:p>
    <w:p>
      <w:pPr>
        <w:ind w:left="660" w:firstLine="1292"/>
        <w:spacing w:after="0" w:line="277" w:lineRule="auto"/>
        <w:tabs>
          <w:tab w:leader="none" w:pos="30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 the case of a Eurodollar Borrowing, the initial Interest Period to be applicable thereto, which shall be a period contemplated by the definition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no election as to the Type of Revolving Borrowing is specified, then the requested Revolving Borrowing shall be an CBFR Borrowing. If no Interest Period is specified with respect to any requested Eurodollar Borrowing, then the applicable Borrower(s)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Protective Advances</w:t>
      </w:r>
      <w:r>
        <w:rPr>
          <w:rFonts w:ascii="Arial" w:cs="Arial" w:eastAsia="Arial" w:hAnsi="Arial"/>
          <w:sz w:val="16"/>
          <w:szCs w:val="16"/>
          <w:color w:val="auto"/>
        </w:rPr>
        <w:t>. (a) Subject to the limitations set forth below, the Administrative Agent is authorized by the Borrowers and the Lenders, from time to time in the Administrative Agent’s Permitted Discretion (but shall have absolutely no obligation to), to make Loans to the Borrowers, on behalf of all Lenders, which the Administrative Agent, in its Permitted Discretion, deems necessary or desirable (i) to preserve or protect the Collateral, or any portion thereof, (ii) to enhance the likelihood of, or maximize the amount of, repayment of the Loans and other Obligations, or (iii) to pay any other amount chargeable to or required to be paid by the Borrowers pursuant to the terms of this Agreement, including payments of reimbursable expenses (including costs, fees, and expenses as described in Section 9.03) and other sums payable under the Loan Documents (any of such Loans are herein referred to as “</w:t>
      </w:r>
      <w:r>
        <w:rPr>
          <w:rFonts w:ascii="Arial" w:cs="Arial" w:eastAsia="Arial" w:hAnsi="Arial"/>
          <w:sz w:val="16"/>
          <w:szCs w:val="16"/>
          <w:u w:val="single" w:color="auto"/>
          <w:color w:val="auto"/>
        </w:rPr>
        <w:t>Protective Advances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Protective Advances outstanding at any time shall not at any time exceed $10,000,000;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Aggregate Revolving Exposure after giving effect to the Protective Advances being made shall not exceed the Aggregate Revolving Commitment. Protective Advances may be made even if the conditions precedent set forth in Section 4.02 have not been satisfied. The Protective Advances shall be secured by the Liens in favor of the Administrative Agent in and to the Collateral and shall constitute Obligations hereunder. All Protective Advances shall be CBFR Borrowings. The making of a Protective Advance on any one occasion shall not obligate the Administrative Agent to make any Protective Advance on any other occasion. The Administrative Agent’s authorization to make Protective Advances may be revoked at any time by the Required Lenders. Any such revocation must be in writing and shall become effective prospectively upon the Administrative Agent’s receipt thereof. At any time that there is sufficient Availability and the conditions precedent set forth in Section 4.02 have been satisfied, the Administrative Agent may request the Revolving Lenders to make a Revolving Loan to repay a Protective Advance. At any other time the Administrative Agent may require the Lenders to fund their risk participations described in Section 2.04(b).</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3" w:name="page84"/>
    <w:bookmarkEnd w:id="83"/>
    <w:p>
      <w:pPr>
        <w:jc w:val="both"/>
        <w:ind w:left="-20" w:firstLine="1304"/>
        <w:spacing w:after="0" w:line="255" w:lineRule="auto"/>
        <w:tabs>
          <w:tab w:leader="none" w:pos="22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Upon the making of a Protective Advance by the Administrative Agent (whether before or after the occurrence of a Default), each Lender shall be deemed, without further action by any party hereto, to have unconditionally and irrevocably purchased from the Administrative Agent, without recourse or warranty, an undivided interest and participation in such Protective Advance in proportion to its Applicable Percentage. From and after the date, if any, on which any Lender is required to fund its participation in any Protective Advance purchased hereunder, the Administrative Agent shall promptly distribute to such Lender, such Lender’s Applicable Percentage of all payments of principal and interest and all proceeds of Collateral received by the Administrative Agent in respect of such Protective Advance.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Swingline Loans and Overadvances</w:t>
      </w:r>
      <w:r>
        <w:rPr>
          <w:rFonts w:ascii="Arial" w:cs="Arial" w:eastAsia="Arial" w:hAnsi="Arial"/>
          <w:sz w:val="18"/>
          <w:szCs w:val="18"/>
          <w:color w:val="auto"/>
        </w:rPr>
        <w:t>.</w:t>
      </w:r>
    </w:p>
    <w:p>
      <w:pPr>
        <w:spacing w:after="0" w:line="225" w:lineRule="exact"/>
        <w:rPr>
          <w:sz w:val="20"/>
          <w:szCs w:val="20"/>
          <w:color w:val="auto"/>
        </w:rPr>
      </w:pPr>
    </w:p>
    <w:p>
      <w:pPr>
        <w:jc w:val="both"/>
        <w:ind w:left="-20" w:firstLine="1304"/>
        <w:spacing w:after="0" w:line="267" w:lineRule="auto"/>
        <w:tabs>
          <w:tab w:leader="none" w:pos="2695"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Administrative Agent, the Swingline Lender and the Revolving Lenders agree that in order to facilitate the administration of this Agreement and the other Loan Documents, promptly after the Borrower Representative requests an CBFR Borrowing, the Swingline Lender may elect to have the terms of this Section 2.05(a) apply to such Borrowing Request by advancing, on behalf of the Revolving Lenders and in the amount requested, same day funds to the Borrowers, on the date of the applicable Borrowing to the Funding Account (each such Loan made solely by the Swingline Lender pursuant to this Section 2.05(a) is referred to in this Agreement as a “</w:t>
      </w:r>
      <w:r>
        <w:rPr>
          <w:rFonts w:ascii="Arial" w:cs="Arial" w:eastAsia="Arial" w:hAnsi="Arial"/>
          <w:sz w:val="17"/>
          <w:szCs w:val="17"/>
          <w:u w:val="single" w:color="auto"/>
          <w:color w:val="auto"/>
        </w:rPr>
        <w:t>Swingline Loan</w:t>
      </w:r>
      <w:r>
        <w:rPr>
          <w:rFonts w:ascii="Arial" w:cs="Arial" w:eastAsia="Arial" w:hAnsi="Arial"/>
          <w:sz w:val="17"/>
          <w:szCs w:val="17"/>
          <w:color w:val="auto"/>
        </w:rPr>
        <w:t xml:space="preserve">”), with settlement among them as to the Swingline Loans to take place on a periodic basis as set forth in Section 2.05(d). Each Swingline Loan shall be subject to all the terms and conditions applicable to other CBFR Loans funded by the Revolving Lenders, except that all payments thereon shall be payable to the Swingline Lender solely for its own account. In addition, the Borrowers hereby authorize the Swingline Lender to, and the Swingline Lender may, subject to the terms and conditions set forth herein (but without any further written notice required), not later than 1:00 p.m., Pacific time, on each Business Day, make available to the Borrowers by means of a credit to the Funding Account or the Controlled Disbursement Account, the proceeds of a Swingline Loan to the extent necessary to pay items to be drawn on any Controlled Disbursement Account that Business Day subject to the Administrative Agent’s standard procedures for calculating clearing totals each morning;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on any Business Day there is insufficient borrowing capacity to permit the Swingline Lender to make available to the Borrowers a Swingline Loan in the amount necessary to pay all items to be so drawn on any such Controlled Disbursement Account on such Business Day, then the Borrowers shall be deemed to have requested a CBFR Borrowing pursuant to Section 2.03 in the amount of such deficiency to be made on such Business Day. The aggregate amount of Swingline Loans outstanding at any time shall not exceed $10,000,000. The Swingline Lender shall not make any Swingline Loan if the requested Swingline Loan exceeds Availability (before or after giving effect to such Swingline Loan). All Swingline Loans shall be CBFR Borrowings.</w:t>
      </w:r>
    </w:p>
    <w:p>
      <w:pPr>
        <w:spacing w:after="0" w:line="191" w:lineRule="exact"/>
        <w:rPr>
          <w:rFonts w:ascii="Arial" w:cs="Arial" w:eastAsia="Arial" w:hAnsi="Arial"/>
          <w:sz w:val="17"/>
          <w:szCs w:val="17"/>
          <w:color w:val="auto"/>
        </w:rPr>
      </w:pPr>
    </w:p>
    <w:p>
      <w:pPr>
        <w:jc w:val="both"/>
        <w:ind w:left="-20" w:firstLine="1304"/>
        <w:spacing w:after="0" w:line="269" w:lineRule="auto"/>
        <w:tabs>
          <w:tab w:leader="none" w:pos="2529" w:val="left"/>
        </w:tabs>
        <w:numPr>
          <w:ilvl w:val="0"/>
          <w:numId w:val="53"/>
        </w:numPr>
        <w:rPr>
          <w:rFonts w:ascii="Arial" w:cs="Arial" w:eastAsia="Arial" w:hAnsi="Arial"/>
          <w:sz w:val="17"/>
          <w:szCs w:val="17"/>
          <w:color w:val="auto"/>
        </w:rPr>
      </w:pPr>
      <w:r>
        <w:rPr>
          <w:rFonts w:ascii="Arial" w:cs="Arial" w:eastAsia="Arial" w:hAnsi="Arial"/>
          <w:sz w:val="17"/>
          <w:szCs w:val="17"/>
          <w:color w:val="auto"/>
        </w:rPr>
        <w:t>Any provision of this Agreement to the contrary notwithstanding, at the request of the Borrower Representative, the Administrative Agent may in its sole discretion (but with absolutely no obligation), on behalf of the Revolving Lenders, (x) make Revolving Loans to the Borrowers in amounts that exceed Availability (any such excess Revolving Loans are herein referred to collectively as “</w:t>
      </w:r>
      <w:r>
        <w:rPr>
          <w:rFonts w:ascii="Arial" w:cs="Arial" w:eastAsia="Arial" w:hAnsi="Arial"/>
          <w:sz w:val="17"/>
          <w:szCs w:val="17"/>
          <w:u w:val="single" w:color="auto"/>
          <w:color w:val="auto"/>
        </w:rPr>
        <w:t>Overadvances</w:t>
      </w:r>
      <w:r>
        <w:rPr>
          <w:rFonts w:ascii="Arial" w:cs="Arial" w:eastAsia="Arial" w:hAnsi="Arial"/>
          <w:sz w:val="17"/>
          <w:szCs w:val="17"/>
          <w:color w:val="auto"/>
        </w:rPr>
        <w:t xml:space="preserve">”) or (y) deem the amount of Revolving Loans outstanding to the Borrowers that are in excess of Availability to be Overadvances;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Overadvance shall result in a Default due to Borrowers’ failure to comply with Section 2.01 for so long as such Overadvance remains outstanding in accordance with the terms of this paragraph, but solely with respect to the amount of such Overadvance. In addition, Overadvances may be made even if the condition precedent set forth in Section 4.02(c) has not been satisfied. All Overadvances shall constitute CBFR Borrowings. The making of an Overadvance on any one occasion shall not obligate the Administrative Agent to make any Overadvance on any other occasion. The authority of the Administrative Agent to make Overadvances is limited to an aggregate amount not to exceed $10,000,000 at any time, no Overadvance may remain outstanding for more than thirty (30) days and no Overadvance shall cause any Revolving Lender’s Revolving Exposure to exceed its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Required Lenders may at any time revoke the Administrative Agent’s authorization to make Overadvances. Any such revocation must be in writing and shall become effective prospectively upon the Administrative Agent’s receipt thereof.</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84" w:name="page85"/>
    <w:bookmarkEnd w:id="84"/>
    <w:p>
      <w:pPr>
        <w:jc w:val="both"/>
        <w:ind w:firstLine="1304"/>
        <w:spacing w:after="0" w:line="290" w:lineRule="auto"/>
        <w:tabs>
          <w:tab w:leader="none" w:pos="2215" w:val="left"/>
        </w:tabs>
        <w:numPr>
          <w:ilvl w:val="0"/>
          <w:numId w:val="54"/>
        </w:numPr>
        <w:rPr>
          <w:rFonts w:ascii="Arial" w:cs="Arial" w:eastAsia="Arial" w:hAnsi="Arial"/>
          <w:sz w:val="16"/>
          <w:szCs w:val="16"/>
          <w:color w:val="auto"/>
        </w:rPr>
      </w:pPr>
      <w:r>
        <w:rPr>
          <w:rFonts w:ascii="Arial" w:cs="Arial" w:eastAsia="Arial" w:hAnsi="Arial"/>
          <w:sz w:val="16"/>
          <w:szCs w:val="16"/>
          <w:color w:val="auto"/>
        </w:rPr>
        <w:t>Upon the making of a Swingline Loan or an Overadvance (whether before or after the occurrence of a Default and regardless of whether a Settlement has been requested with respect to such Swingline Loan or Overadvance), each Revolving Lender shall be deemed, without further action by any party hereto, to have unconditionally and irrevocably purchased from the Swingline Lender or the Administrative Agent, as the case may be, without recourse or warranty, an undivided interest and participation in such Swingline Loan or Overadvance in proportion to its Applicable Percentage of the Aggregate Revolving Commitment. The Swingline Lender or the Administrative Agent may, at any time, require the Revolving Lenders to fund their participations. From and after the date, if any, on which any Revolving Lender is required to fund its participation in any Swingline Loan or Overadvance purchased hereunder, the Administrative Agent shall promptly distribute to such Lender, such Lender’s Applicable Percentage of all payments of principal and interest and all proceeds of Collateral received by the Administrative Agent in respect of such Swingline Loan or Overadvance.</w:t>
      </w:r>
    </w:p>
    <w:p>
      <w:pPr>
        <w:spacing w:after="0" w:line="165" w:lineRule="exact"/>
        <w:rPr>
          <w:rFonts w:ascii="Arial" w:cs="Arial" w:eastAsia="Arial" w:hAnsi="Arial"/>
          <w:sz w:val="16"/>
          <w:szCs w:val="16"/>
          <w:color w:val="auto"/>
        </w:rPr>
      </w:pPr>
    </w:p>
    <w:p>
      <w:pPr>
        <w:jc w:val="both"/>
        <w:ind w:firstLine="1304"/>
        <w:spacing w:after="0" w:line="287" w:lineRule="auto"/>
        <w:tabs>
          <w:tab w:leader="none" w:pos="2293"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Administrative Agent, on behalf of the Swingline Lender, shall request settlement (a “</w:t>
      </w:r>
      <w:r>
        <w:rPr>
          <w:rFonts w:ascii="Arial" w:cs="Arial" w:eastAsia="Arial" w:hAnsi="Arial"/>
          <w:sz w:val="16"/>
          <w:szCs w:val="16"/>
          <w:u w:val="single" w:color="auto"/>
          <w:color w:val="auto"/>
        </w:rPr>
        <w:t>Settlement</w:t>
      </w:r>
      <w:r>
        <w:rPr>
          <w:rFonts w:ascii="Arial" w:cs="Arial" w:eastAsia="Arial" w:hAnsi="Arial"/>
          <w:sz w:val="16"/>
          <w:szCs w:val="16"/>
          <w:color w:val="auto"/>
        </w:rPr>
        <w:t>”) with the Revolving Lenders on at least a weekly basis or on any date that the Administrative Agent elects, by notifying the Revolving Lenders of such requested Settlement by facsimile, telephone, or e-mail no later than 10:00 a.m. Pacific time on the date of such requested Settlement (the “</w:t>
      </w:r>
      <w:r>
        <w:rPr>
          <w:rFonts w:ascii="Arial" w:cs="Arial" w:eastAsia="Arial" w:hAnsi="Arial"/>
          <w:sz w:val="16"/>
          <w:szCs w:val="16"/>
          <w:u w:val="single" w:color="auto"/>
          <w:color w:val="auto"/>
        </w:rPr>
        <w:t>Settlement Date</w:t>
      </w:r>
      <w:r>
        <w:rPr>
          <w:rFonts w:ascii="Arial" w:cs="Arial" w:eastAsia="Arial" w:hAnsi="Arial"/>
          <w:sz w:val="16"/>
          <w:szCs w:val="16"/>
          <w:color w:val="auto"/>
        </w:rPr>
        <w:t>”). Each Revolving Lender (other than the Swingline Lender, in the case of the Swingline Loans) shall transfer the amount of such Revolving Lender’s Applicable Percentage of the outstanding principal amount of the applicable Loan with respect to which Settlement is requested to the Administrative Agent, to such account of the Administrative Agent as the Administrative Agent may designate, not later than noon, Pacific time, on such Settlement Date. Settlements may occur during the existence of a Default and whether or not the applicable conditions precedent set forth in Section 4.02 have then been satisfied. Such amounts transferred to the Administrative Agent shall be applied against the amounts of the Swingline Lender’s Swingline Loans and, together with Swingline Lender’s Applicable Percentage of such Swingline Loan, shall constitute Revolving Loans of such Revolving Lenders, respectively. If any such amount is not transferred to the Administrative Agent by any Revolving Lender on such Settlement Date, the Swingline Lender shall be entitled to recover from such Lender on demand such amount, together with interest thereon, as specified in Section 2.07.</w:t>
      </w:r>
    </w:p>
    <w:p>
      <w:pPr>
        <w:spacing w:after="0" w:line="17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Letters of Credit</w:t>
      </w:r>
      <w:r>
        <w:rPr>
          <w:rFonts w:ascii="Arial" w:cs="Arial" w:eastAsia="Arial" w:hAnsi="Arial"/>
          <w:sz w:val="17"/>
          <w:szCs w:val="17"/>
          <w:color w:val="auto"/>
        </w:rPr>
        <w:t>. (a) General. Subject to the terms and conditions set forth herein, the Borrower Representative may request any Issuing Bank to issue Letters of Credit for its own account or for the account of another Borrower denominated in dollars as the applicant thereof for the support of its or its Subsidiaries’ obligations, in a form reasonably acceptable to such Issuing Bank, at any time and from time to time during the Availability Period, and such Issuing Bank may, but shall have no obligation, to issue such requested Letters of Credit pursuant to this Agreement.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85" w:name="page86"/>
    <w:bookmarkEnd w:id="85"/>
    <w:p>
      <w:pPr>
        <w:jc w:val="both"/>
        <w:ind w:left="-20" w:firstLine="1304"/>
        <w:spacing w:after="0" w:line="267" w:lineRule="auto"/>
        <w:tabs>
          <w:tab w:leader="none" w:pos="2516"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Notice of Issuance, Amendment, Extension; Certain Conditions. To request the issuance of a Letter of Credit (or the amendment or extension of an outstanding Letter of Credit), the Borrower Representative shall deliver by hand or facsimile (or transmit through Electronic System, if arrangements for doing so have been approved by the respective Issuing Bank) to an Issuing Bank selected by it and to the Administrative Agent (reasonably in advance of, but in any event no less than three (3) Business Days prior to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prepare, amend or extend such Letter of Credit. In addition, as a condition to any such Letter of Credit issuance, the applicable Borrower shall have entered into a continuing agreement (or other letter of credit agreement) for the issuance of letters of credit and/or shall submit a letter of credit application in each case, as required by the respective Issuing Bank and using such Issuing Bank’s standard form (each, a “</w:t>
      </w:r>
      <w:r>
        <w:rPr>
          <w:rFonts w:ascii="Arial" w:cs="Arial" w:eastAsia="Arial" w:hAnsi="Arial"/>
          <w:sz w:val="17"/>
          <w:szCs w:val="17"/>
          <w:u w:val="single" w:color="auto"/>
          <w:color w:val="auto"/>
        </w:rPr>
        <w:t>Letter of Credit Agreement</w:t>
      </w:r>
      <w:r>
        <w:rPr>
          <w:rFonts w:ascii="Arial" w:cs="Arial" w:eastAsia="Arial" w:hAnsi="Arial"/>
          <w:sz w:val="17"/>
          <w:szCs w:val="17"/>
          <w:color w:val="auto"/>
        </w:rPr>
        <w:t>”). In the event of any inconsistency between the terms and conditions of this Agreement and the terms and conditions of any Letter of Credit Agreement, the terms and conditions of this Agreement shall control. A Letter of Credit shall be issued, amended or extended only if (and upon issuance, amendment or extension of each Letter of Credit the Borrowers shall be deemed to represent and warrant that), after giving effect to such issuance, amendment or extension (i) the aggregate LC Exposure shall not exceed the Issuing Bank Sublimit, (ii) no Revolving Lender’s Revolving Exposure shall exceed its Revolving Commitment and (iii) the Aggregate Revolving Exposure shall not exceed the lesser of (x) the Aggregate Revolving Commitment and (y) the Borrowing Base. Notwithstanding the foregoing or anything to the contrary contained herein, no Issuing Bank shall be obligated to issue or modify any Letter of Credit if, immediately after giving effect thereto, the outstanding LC Exposure in respect of all Letters of Credit issued by such Person and its Affiliates would exceed such Issuing Bank’s Issuing Bank Sublimit. Without limiting the foregoing and without affecting the limitations contained herein, it is understood and agreed that the Borrower Representative may from time to time request that an Issuing Bank issue Letters of Credit in excess of its individual Issuing Bank Sublimit in effect at the time of such request, and each Issuing Bank agrees to consider any such request in good faith. Any Letter of Credit so issued by an Issuing Bank in excess of its individual Issuing Bank Sublimit then in effect shall nonetheless constitute a Letter of Credit for all purposes of this Agreement, and shall not affect the Issuing Bank Sublimit of any other Issuing Bank, subject to the limitations on the aggregate LC Exposure set forth in clause (i) of this Section 2.06(b).</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 Issuing Bank shall not be under any obligation to issue any Letter of Credit if:</w:t>
      </w:r>
    </w:p>
    <w:p>
      <w:pPr>
        <w:spacing w:after="0" w:line="225" w:lineRule="exact"/>
        <w:rPr>
          <w:sz w:val="20"/>
          <w:szCs w:val="20"/>
          <w:color w:val="auto"/>
        </w:rPr>
      </w:pPr>
    </w:p>
    <w:p>
      <w:pPr>
        <w:jc w:val="both"/>
        <w:ind w:left="640" w:firstLine="1292"/>
        <w:spacing w:after="0" w:line="272" w:lineRule="auto"/>
        <w:tabs>
          <w:tab w:leader="none" w:pos="29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such Issuing Bank from issuing such Letter of Credit, or any Requirement of Law relating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which was not applicable on the Effective Date and which such Issuing Bank in good faith deems material to it, or</w:t>
      </w:r>
    </w:p>
    <w:p>
      <w:pPr>
        <w:spacing w:after="0" w:line="177" w:lineRule="exact"/>
        <w:rPr>
          <w:rFonts w:ascii="Arial" w:cs="Arial" w:eastAsia="Arial" w:hAnsi="Arial"/>
          <w:sz w:val="17"/>
          <w:szCs w:val="17"/>
          <w:color w:val="auto"/>
        </w:rPr>
      </w:pPr>
    </w:p>
    <w:p>
      <w:pPr>
        <w:ind w:left="2820" w:hanging="888"/>
        <w:spacing w:after="0"/>
        <w:tabs>
          <w:tab w:leader="none" w:pos="28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issuance of such Letter of Credit would violate one or more policies of such Issuing Bank applicable to letters of</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credit generally.</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86" w:name="page87"/>
    <w:bookmarkEnd w:id="86"/>
    <w:p>
      <w:pPr>
        <w:jc w:val="both"/>
        <w:ind w:left="-8" w:firstLine="1304"/>
        <w:spacing w:after="0" w:line="259" w:lineRule="auto"/>
        <w:tabs>
          <w:tab w:leader="none" w:pos="2207" w:val="left"/>
        </w:tabs>
        <w:numPr>
          <w:ilvl w:val="1"/>
          <w:numId w:val="57"/>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expire (or be subject to termination or non-renewal by notice from the applicable Issuing Bank to the beneficiary thereof) at or prior to the close of business on the earlier of (i) the date one year after the date of the issuance of such Letter of Credit (or, in the case of any extension of the expiration thereof, including, without limitation, any automatic renewal provision, one year after such extension) and (ii) the date that is five Business Days prior to the Maturity Date.</w:t>
      </w:r>
    </w:p>
    <w:p>
      <w:pPr>
        <w:spacing w:after="0" w:line="186" w:lineRule="exact"/>
        <w:rPr>
          <w:rFonts w:ascii="Arial" w:cs="Arial" w:eastAsia="Arial" w:hAnsi="Arial"/>
          <w:sz w:val="18"/>
          <w:szCs w:val="18"/>
          <w:color w:val="auto"/>
        </w:rPr>
      </w:pPr>
    </w:p>
    <w:p>
      <w:pPr>
        <w:jc w:val="both"/>
        <w:ind w:left="-8" w:firstLine="1304"/>
        <w:spacing w:after="0" w:line="284" w:lineRule="auto"/>
        <w:tabs>
          <w:tab w:leader="none" w:pos="2312" w:val="left"/>
        </w:tabs>
        <w:numPr>
          <w:ilvl w:val="1"/>
          <w:numId w:val="57"/>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applicable Issuing Bank or the Revolving Lenders, such Issuing Bank hereby grants to each Revolving Lender, and each Revolving Lender hereby acquires from such Issuing Bank, a participation in such Letter of Credit equal to such Lender’s Applicable Percentage of the aggregate amount available to be drawn under such Letter of Credit. In consideration and in furtherance of the foregoing, each Revolving Lender hereby absolutely and unconditionally agrees to pay to the Administrative Agent, for the account of the respective Issuing Bank, such Lender’s Applicable Percentage of each LC Disbursement made by such Issuing Bank and not reimbursed by the Borrowers on the date due as provided in paragraph</w:t>
      </w:r>
    </w:p>
    <w:p>
      <w:pPr>
        <w:spacing w:after="0" w:line="4" w:lineRule="exact"/>
        <w:rPr>
          <w:rFonts w:ascii="Arial" w:cs="Arial" w:eastAsia="Arial" w:hAnsi="Arial"/>
          <w:sz w:val="16"/>
          <w:szCs w:val="16"/>
          <w:color w:val="auto"/>
        </w:rPr>
      </w:pPr>
    </w:p>
    <w:p>
      <w:pPr>
        <w:jc w:val="both"/>
        <w:ind w:left="-8" w:firstLine="8"/>
        <w:spacing w:after="0" w:line="253" w:lineRule="auto"/>
        <w:tabs>
          <w:tab w:leader="none" w:pos="239" w:val="left"/>
        </w:tabs>
        <w:numPr>
          <w:ilvl w:val="0"/>
          <w:numId w:val="58"/>
        </w:numPr>
        <w:rPr>
          <w:rFonts w:ascii="Arial" w:cs="Arial" w:eastAsia="Arial" w:hAnsi="Arial"/>
          <w:sz w:val="18"/>
          <w:szCs w:val="18"/>
          <w:color w:val="auto"/>
        </w:rPr>
      </w:pPr>
      <w:r>
        <w:rPr>
          <w:rFonts w:ascii="Arial" w:cs="Arial" w:eastAsia="Arial" w:hAnsi="Arial"/>
          <w:sz w:val="18"/>
          <w:szCs w:val="18"/>
          <w:color w:val="auto"/>
        </w:rPr>
        <w:t>of this Section, or of any reimbursement payment required to be refunded to the Borrowers for any reason, including after the Maturity Date. Each such payment shall be made without any offset, abatement, withholding or reduction whatsoever. Each Revolving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or the occurrence and continuance of a Default or reduction or termination of the Revolving Commitments.</w:t>
      </w:r>
    </w:p>
    <w:p>
      <w:pPr>
        <w:spacing w:after="0" w:line="190" w:lineRule="exact"/>
        <w:rPr>
          <w:rFonts w:ascii="Arial" w:cs="Arial" w:eastAsia="Arial" w:hAnsi="Arial"/>
          <w:sz w:val="18"/>
          <w:szCs w:val="18"/>
          <w:color w:val="auto"/>
        </w:rPr>
      </w:pPr>
    </w:p>
    <w:p>
      <w:pPr>
        <w:jc w:val="both"/>
        <w:ind w:left="-8" w:firstLine="1304"/>
        <w:spacing w:after="0" w:line="267" w:lineRule="auto"/>
        <w:tabs>
          <w:tab w:leader="none" w:pos="2342" w:val="left"/>
        </w:tabs>
        <w:numPr>
          <w:ilvl w:val="1"/>
          <w:numId w:val="58"/>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Borrowers shall reimburse such LC Disbursement by paying to the Administrative Agent an amount equal to such LC Disbursement not later than 9:00 a.m., Pacific time, on (i) the Business Day that the Borrower Representative receives notice of such LC Disbursement, if such notice is received prior to 9:00 a.m., Pacific time, on the day of receipt, or (ii) the Business Day immediately following the day that the Borrower Representative receives such notice, if such notice is received after 9:00a.m. Pacific time on the day of receipt;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Borrowers may, subject to the conditions to borrowing set forth herein, request in accordance with Section 2.03 or 2.05 that such payment be financed with an CBFR Borrowing or Swingline Loan in an equivalent amount and, to the extent so financed, the Borrowers’ obligation to make such payment shall be discharged and replaced by the resulting CBFR Borrowing or Swingline Loan, as applicable. If the Borrowers fail to make such payment when due, the Administrative Agent shall notify each Revolving Lender of the applicable LC Disbursement, the payment then due from the Borrowers in respect thereof and such Lender’s Applicable Percentage thereof. Promptly following receipt of such notice, each Revolving Lender shall pay to the Administrative Agent its Applicable Percentage of the payment then due from the Borrowers, in the same manner as provided in Section 2.07 with respect to Loans made by such Lender (and Section 2.07 shall apply, mutatis mutandis, to the payment obligations of the Revolving Lenders), and the Administrative Agent shall promptly pay to the respective Issuing Bank the amounts so received by it from the Revolving Lenders. Promptly following receipt by the Administrative Agent of any payment from the Borrowers pursuant to this paragraph, the Administrative Agent shall distribute such payment to the respective Issuing Bank or, to the extent that Revolving Lenders have made payments pursuant to this paragraph to reimburse such Issuing Bank, then to such Lenders and such Issuing Bank, as their interests may appear. Any payment made by a Revolving Lender pursuant to this paragraph to reimburse an Issuing Bank for any LC Disbursement (other than the funding of CBFR Revolving Loans or a Swingline Loan as contemplated above) shall not constitute a Loan and shall not relieve the Borrowers of their obligation to reimburse such LC Disbursement.</w:t>
      </w: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87" w:name="page88"/>
    <w:bookmarkEnd w:id="87"/>
    <w:p>
      <w:pPr>
        <w:ind w:left="2252" w:hanging="956"/>
        <w:spacing w:after="0"/>
        <w:tabs>
          <w:tab w:leader="none" w:pos="2252"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The Borrowers’ joint and several obligation to reimburse LC Disbursements as provided in paragraph</w:t>
      </w:r>
    </w:p>
    <w:p>
      <w:pPr>
        <w:spacing w:after="0" w:line="46" w:lineRule="exact"/>
        <w:rPr>
          <w:rFonts w:ascii="Arial" w:cs="Arial" w:eastAsia="Arial" w:hAnsi="Arial"/>
          <w:sz w:val="16"/>
          <w:szCs w:val="16"/>
          <w:color w:val="auto"/>
        </w:rPr>
      </w:pPr>
    </w:p>
    <w:p>
      <w:pPr>
        <w:jc w:val="both"/>
        <w:ind w:left="-8" w:firstLine="8"/>
        <w:spacing w:after="0" w:line="283" w:lineRule="auto"/>
        <w:tabs>
          <w:tab w:leader="none" w:pos="248"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of this Section shall be absolute, unconditional and irrevocable, and shall be performed strictly in accordance with the terms of this Agreement under any and all circumstances whatsoever and irrespective of (i) any lack of validity or enforceability of any Letter of Credit, any Letter of Credit Agreement or this Agreement, or any term or provision therein or herein, (ii) any draft or other document presented under a Letter of Credit proving to be forged, fraudulent or invalid in any respect or any statement therein being untrue or inaccurate in any respect, (iii) any payment by the respective Issuing Bank under a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the respective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an Issuing Bank from liability to the Borrowers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81" w:lineRule="exact"/>
        <w:rPr>
          <w:rFonts w:ascii="Arial" w:cs="Arial" w:eastAsia="Arial" w:hAnsi="Arial"/>
          <w:sz w:val="16"/>
          <w:szCs w:val="16"/>
          <w:color w:val="auto"/>
        </w:rPr>
      </w:pPr>
    </w:p>
    <w:p>
      <w:pPr>
        <w:jc w:val="both"/>
        <w:ind w:left="-8" w:firstLine="1304"/>
        <w:spacing w:after="0" w:line="255" w:lineRule="auto"/>
        <w:tabs>
          <w:tab w:leader="none" w:pos="2271"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Issuing Bank for any Letter of Credit shall, within the time allowed by applicable law or the specific terms of the Letter of Credit following its receipt thereof, examine all documents purporting to represent a demand for payment under such Letter of Credit. Such Issuing Bank shall promptly after such examination notify the Administrative Agent and the applicable Borrower by telephone (confirmed by fax or through Electronic Systems) of such demand for payment if such Issuing Bank has made or will make an LC Disbursement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failure to give or delay in giving such notice shall not relieve the Borrowers of their obligation to reimburse such Issuing Bank and the Revolving Lenders with respect to any such LC Disbursement.</w:t>
      </w:r>
    </w:p>
    <w:p>
      <w:pPr>
        <w:spacing w:after="0" w:line="192" w:lineRule="exact"/>
        <w:rPr>
          <w:rFonts w:ascii="Arial" w:cs="Arial" w:eastAsia="Arial" w:hAnsi="Arial"/>
          <w:sz w:val="18"/>
          <w:szCs w:val="18"/>
          <w:color w:val="auto"/>
        </w:rPr>
      </w:pPr>
    </w:p>
    <w:p>
      <w:pPr>
        <w:jc w:val="both"/>
        <w:ind w:left="-8" w:firstLine="1304"/>
        <w:spacing w:after="0" w:line="254" w:lineRule="auto"/>
        <w:tabs>
          <w:tab w:leader="none" w:pos="2325"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Interim Interest</w:t>
      </w:r>
      <w:r>
        <w:rPr>
          <w:rFonts w:ascii="Arial" w:cs="Arial" w:eastAsia="Arial" w:hAnsi="Arial"/>
          <w:sz w:val="18"/>
          <w:szCs w:val="18"/>
          <w:color w:val="auto"/>
        </w:rPr>
        <w:t xml:space="preserve">. If the Issuing Bank for any Letter of Credit shall make any LC Disbursement, then, unless the Borrowers shall reimburse such LC Disbursement in full on the date such LC Disbursement is made, the unpaid amount thereof shall bear interest, for each day from and including the date such LC Disbursement is made to but excluding the date that the Borrowers reimburse such LC Disbursement, at the rate per annum then applicable to CBFR Revolving Loans and such interest shall be due and payable on the date when such reimbursement is payable;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Borrowers fail to reimburse such LC Disbursement when due pursuant to paragraph (e) of this Section, then Section 2.13(d) shall apply. Interest accrued pursuant to this paragraph shall be for the account of such Issuing Bank, except that interest accrued on and after the date of payment by any Revolving Lender pursuant to paragraph (e) of this Section to reimburse such Issuing Bank for such LC Disbursement shall be for the account of such Lender to the extent of such payment.</w:t>
      </w:r>
    </w:p>
    <w:p>
      <w:pPr>
        <w:spacing w:after="0" w:line="3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88" w:name="page89"/>
    <w:bookmarkEnd w:id="88"/>
    <w:p>
      <w:pPr>
        <w:ind w:left="2232" w:hanging="936"/>
        <w:spacing w:after="0"/>
        <w:tabs>
          <w:tab w:leader="none" w:pos="22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Replacement and Resignation of an Issuing Bank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52" w:firstLine="1292"/>
        <w:spacing w:after="0" w:line="269" w:lineRule="auto"/>
        <w:tabs>
          <w:tab w:leader="none" w:pos="3152" w:val="left"/>
        </w:tabs>
        <w:numPr>
          <w:ilvl w:val="1"/>
          <w:numId w:val="61"/>
        </w:numPr>
        <w:rPr>
          <w:rFonts w:ascii="Arial" w:cs="Arial" w:eastAsia="Arial" w:hAnsi="Arial"/>
          <w:sz w:val="17"/>
          <w:szCs w:val="17"/>
          <w:color w:val="auto"/>
        </w:rPr>
      </w:pPr>
      <w:r>
        <w:rPr>
          <w:rFonts w:ascii="Arial" w:cs="Arial" w:eastAsia="Arial" w:hAnsi="Arial"/>
          <w:sz w:val="17"/>
          <w:szCs w:val="17"/>
          <w:color w:val="auto"/>
        </w:rPr>
        <w:t>An Issuing Bank may be replaced at any time by written agreement among the Borrower Representative, the Administrative Agent, the replaced Issuing Bank and the successor Issuing Bank. The Administrative Agent shall notify the Revolving Lenders of any such replacement of an Issuing Bank. At the time any such replacement shall become effective, the Borrowers shall pay all unpaid fees accrued for the account of the replaced Issuing Bank pursuant to Section 2.12(b). From and after the effective date of any such replacement, (A) the successor Issuing Bank shall have all the rights and obligations of an Issuing Bank under this Agreement with respect to Letters of Credit to be issued thereafter and (B) references herein to the term “</w:t>
      </w:r>
      <w:r>
        <w:rPr>
          <w:rFonts w:ascii="Arial" w:cs="Arial" w:eastAsia="Arial" w:hAnsi="Arial"/>
          <w:sz w:val="17"/>
          <w:szCs w:val="17"/>
          <w:u w:val="single" w:color="auto"/>
          <w:color w:val="auto"/>
        </w:rPr>
        <w:t>Issuing Bank</w:t>
      </w:r>
      <w:r>
        <w:rPr>
          <w:rFonts w:ascii="Arial" w:cs="Arial" w:eastAsia="Arial" w:hAnsi="Arial"/>
          <w:sz w:val="17"/>
          <w:szCs w:val="17"/>
          <w:color w:val="auto"/>
        </w:rPr>
        <w:t>”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then outstanding and issued by it prior to such replacement, but shall not be required to issue additional Letters of Credit or extend or otherwise amend any existing Letter of Credit.</w:t>
      </w:r>
    </w:p>
    <w:p>
      <w:pPr>
        <w:spacing w:after="0" w:line="185" w:lineRule="exact"/>
        <w:rPr>
          <w:rFonts w:ascii="Arial" w:cs="Arial" w:eastAsia="Arial" w:hAnsi="Arial"/>
          <w:sz w:val="17"/>
          <w:szCs w:val="17"/>
          <w:color w:val="auto"/>
        </w:rPr>
      </w:pPr>
    </w:p>
    <w:p>
      <w:pPr>
        <w:jc w:val="both"/>
        <w:ind w:left="652" w:firstLine="1292"/>
        <w:spacing w:after="0" w:line="263" w:lineRule="auto"/>
        <w:tabs>
          <w:tab w:leader="none" w:pos="2896" w:val="left"/>
        </w:tabs>
        <w:numPr>
          <w:ilvl w:val="1"/>
          <w:numId w:val="61"/>
        </w:numPr>
        <w:rPr>
          <w:rFonts w:ascii="Arial" w:cs="Arial" w:eastAsia="Arial" w:hAnsi="Arial"/>
          <w:sz w:val="18"/>
          <w:szCs w:val="18"/>
          <w:color w:val="auto"/>
        </w:rPr>
      </w:pPr>
      <w:r>
        <w:rPr>
          <w:rFonts w:ascii="Arial" w:cs="Arial" w:eastAsia="Arial" w:hAnsi="Arial"/>
          <w:sz w:val="18"/>
          <w:szCs w:val="18"/>
          <w:color w:val="auto"/>
        </w:rPr>
        <w:t>Subject to the appointment and acceptance of a successor Issuing Bank, any Issuing Bank may resign as an Issuing Bank at any time upon thirty (30) days’ prior written notice to the Administrative Agent, the Borrower Representative and the Lenders, in which case, such resigning Issuing Bank shall be replaced in accordance with Section 2.06(i)(i) above.</w:t>
      </w:r>
    </w:p>
    <w:p>
      <w:pPr>
        <w:spacing w:after="0" w:line="184" w:lineRule="exact"/>
        <w:rPr>
          <w:sz w:val="20"/>
          <w:szCs w:val="20"/>
          <w:color w:val="auto"/>
        </w:rPr>
      </w:pPr>
    </w:p>
    <w:p>
      <w:pPr>
        <w:jc w:val="both"/>
        <w:ind w:left="-8" w:firstLine="1304"/>
        <w:spacing w:after="0" w:line="284" w:lineRule="auto"/>
        <w:tabs>
          <w:tab w:leader="none" w:pos="2290" w:val="left"/>
        </w:tabs>
        <w:numPr>
          <w:ilvl w:val="1"/>
          <w:numId w:val="62"/>
        </w:numPr>
        <w:rPr>
          <w:rFonts w:ascii="Arial" w:cs="Arial" w:eastAsia="Arial" w:hAnsi="Arial"/>
          <w:sz w:val="16"/>
          <w:szCs w:val="16"/>
          <w:color w:val="auto"/>
        </w:rPr>
      </w:pPr>
      <w:r>
        <w:rPr>
          <w:rFonts w:ascii="Arial" w:cs="Arial" w:eastAsia="Arial" w:hAnsi="Arial"/>
          <w:sz w:val="16"/>
          <w:szCs w:val="16"/>
          <w:u w:val="single" w:color="auto"/>
          <w:color w:val="auto"/>
        </w:rPr>
        <w:t>Cash Collateralization</w:t>
      </w:r>
      <w:r>
        <w:rPr>
          <w:rFonts w:ascii="Arial" w:cs="Arial" w:eastAsia="Arial" w:hAnsi="Arial"/>
          <w:sz w:val="16"/>
          <w:szCs w:val="16"/>
          <w:color w:val="auto"/>
        </w:rPr>
        <w:t>. If any Default shall occur and be continuing, on the Business Day that the Borrower Representative receives notice from the Administrative Agent or the Required Lenders (or, if the maturity of the Loans has been accelerated, Revolving Lenders with LC Exposure representing greater than 50% of the aggregate LC Exposure) demanding the deposit of cash collateral pursuant to this paragraph, the Borrowers shall deposit in an account or accounts with the Administrative Agent, in the name of the Administrative Agent and for the benefit of the Revolving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xml:space="preserve">”), an amount in cash equal to 105% of the amount of the LC Exposure as of such date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accrued and unpaid interest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any Borrower described in clause</w:t>
      </w:r>
    </w:p>
    <w:p>
      <w:pPr>
        <w:spacing w:after="0" w:line="2" w:lineRule="exact"/>
        <w:rPr>
          <w:rFonts w:ascii="Arial" w:cs="Arial" w:eastAsia="Arial" w:hAnsi="Arial"/>
          <w:sz w:val="16"/>
          <w:szCs w:val="16"/>
          <w:color w:val="auto"/>
        </w:rPr>
      </w:pPr>
    </w:p>
    <w:p>
      <w:pPr>
        <w:jc w:val="both"/>
        <w:ind w:left="-8" w:firstLine="8"/>
        <w:spacing w:after="0" w:line="266" w:lineRule="auto"/>
        <w:tabs>
          <w:tab w:leader="none" w:pos="271"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or (i) of Article VII. Such Borrower also shall deposit cash collateral in accordance with this paragraph as and to the extent required by Sections 2.10(b), 2.11(b) or 2.20. Each such deposit shall be held by the Administrative Agent as collateral for the payment and performance of the Secured Obligations. In addition, and without limiting the foregoing or paragraph (c) of this Section, if any LC Exposure remains outstanding after the expiration date specified in said paragraph (c), the Borrowers shall immediately deposit in the LC Collateral Account an amount in cash equal to 105% of such LC Exposure as of such date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any accrued and unpaid interest thereon. The Administrative Agent shall have exclusive dominion and control, including the exclusive right of withdrawal, over the LC Collateral Account and the Borrowers hereby grant the Administrative Agent a security interest in the LC Collateral Account and all money or other assets on deposit therein or credited thereto.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LC Collateral Account. Moneys in the LC Collateral Account shall be applied by the Administrative Agent to reimburse each Issuing Bank for LC Disbursements for which it has not been reimbursed, together with related fees, costs, and customary processing charges, and, to the extent not so applied, shall be held for the satisfaction of the reimbursement obligations of the Borrowers for the LC Exposure at such time or, if the maturity of the Loans has been accelerated (but subject to the consent of Revolving Lenders with LC Exposure representing greater than 50% of the aggregate LC Exposure), be applied to satisfy other Secured Obligations. If the Borrowers are required to provide an amount of cash collateral hereunder as a result of the occurrence of a Default, such amount (to the extent not applied as aforesaid) shall be returned to the Borrowers within three (3) Business Days after all such Defaults have been cured or waived as confirmed in writing by the Administrative Agent.</w:t>
      </w:r>
    </w:p>
    <w:p>
      <w:pPr>
        <w:spacing w:after="0" w:line="2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89" w:name="page90"/>
    <w:bookmarkEnd w:id="89"/>
    <w:p>
      <w:pPr>
        <w:jc w:val="both"/>
        <w:ind w:firstLine="1304"/>
        <w:spacing w:after="0" w:line="284" w:lineRule="auto"/>
        <w:tabs>
          <w:tab w:leader="none" w:pos="2239"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Issuing Bank Reports to the Administrative Agent</w:t>
      </w:r>
      <w:r>
        <w:rPr>
          <w:rFonts w:ascii="Arial" w:cs="Arial" w:eastAsia="Arial" w:hAnsi="Arial"/>
          <w:sz w:val="16"/>
          <w:szCs w:val="16"/>
          <w:color w:val="auto"/>
        </w:rPr>
        <w:t>. Unless otherwise agreed by the Administrative Agent, each Issuing Bank shall, in addition to its notification obligations set forth elsewhere in this Section, report in writing to the Administrative Agent (i) periodic activity (for such period or recurrent periods as shall be requested by the Administrative Agent) in respect of Letters of Credit issued by such Issuing Bank, including all issuances, extensions, and amendments, all expirations and cancelations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each Business Day on which such Issuing Bank makes any LC Disbursement, the date and amount of such LC Disbursement,</w:t>
      </w:r>
    </w:p>
    <w:p>
      <w:pPr>
        <w:spacing w:after="0" w:line="2" w:lineRule="exact"/>
        <w:rPr>
          <w:rFonts w:ascii="Arial" w:cs="Arial" w:eastAsia="Arial" w:hAnsi="Arial"/>
          <w:sz w:val="16"/>
          <w:szCs w:val="16"/>
          <w:color w:val="auto"/>
        </w:rPr>
      </w:pPr>
    </w:p>
    <w:p>
      <w:pPr>
        <w:jc w:val="both"/>
        <w:ind w:firstLine="8"/>
        <w:spacing w:after="0" w:line="255" w:lineRule="auto"/>
        <w:tabs>
          <w:tab w:leader="none" w:pos="3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 any Business Day on which any Borrower fails to reimburse an LC Disbursement required to be reimbursed to such Issuing Bank on such day, the date of such failure and the amount of such LC Disbursement, and (v) on any other Business Day, such other information as the Administrative Agent shall reasonably request as to the Letters of Credit issued by such Issuing Bank.</w:t>
      </w:r>
    </w:p>
    <w:p>
      <w:pPr>
        <w:spacing w:after="0" w:line="189" w:lineRule="exact"/>
        <w:rPr>
          <w:rFonts w:ascii="Arial" w:cs="Arial" w:eastAsia="Arial" w:hAnsi="Arial"/>
          <w:sz w:val="18"/>
          <w:szCs w:val="18"/>
          <w:color w:val="auto"/>
        </w:rPr>
      </w:pPr>
    </w:p>
    <w:p>
      <w:pPr>
        <w:jc w:val="both"/>
        <w:ind w:firstLine="1304"/>
        <w:spacing w:after="0" w:line="290" w:lineRule="auto"/>
        <w:tabs>
          <w:tab w:leader="none" w:pos="2244"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Letters of Credit Issued for Account of Subsidiaries</w:t>
      </w:r>
      <w:r>
        <w:rPr>
          <w:rFonts w:ascii="Arial" w:cs="Arial" w:eastAsia="Arial" w:hAnsi="Arial"/>
          <w:sz w:val="16"/>
          <w:szCs w:val="16"/>
          <w:color w:val="auto"/>
        </w:rPr>
        <w:t>. Notwithstanding that a Letter of Credit issued or outstanding hereunder supports any obligations of, or is for the account of, a Subsidiary, or states that a Subsidiary is the “</w:t>
      </w:r>
      <w:r>
        <w:rPr>
          <w:rFonts w:ascii="Arial" w:cs="Arial" w:eastAsia="Arial" w:hAnsi="Arial"/>
          <w:sz w:val="16"/>
          <w:szCs w:val="16"/>
          <w:u w:val="single" w:color="auto"/>
          <w:color w:val="auto"/>
        </w:rPr>
        <w:t>account party,</w:t>
      </w:r>
      <w:r>
        <w:rPr>
          <w:rFonts w:ascii="Arial" w:cs="Arial" w:eastAsia="Arial" w:hAnsi="Arial"/>
          <w:sz w:val="16"/>
          <w:szCs w:val="16"/>
          <w:color w:val="auto"/>
        </w:rPr>
        <w:t>” “</w:t>
      </w:r>
      <w:r>
        <w:rPr>
          <w:rFonts w:ascii="Arial" w:cs="Arial" w:eastAsia="Arial" w:hAnsi="Arial"/>
          <w:sz w:val="16"/>
          <w:szCs w:val="16"/>
          <w:u w:val="single" w:color="auto"/>
          <w:color w:val="auto"/>
        </w:rPr>
        <w:t>applicant,</w:t>
      </w:r>
      <w:r>
        <w:rPr>
          <w:rFonts w:ascii="Arial" w:cs="Arial" w:eastAsia="Arial" w:hAnsi="Arial"/>
          <w:sz w:val="16"/>
          <w:szCs w:val="16"/>
          <w:color w:val="auto"/>
        </w:rPr>
        <w:t>” “</w:t>
      </w:r>
      <w:r>
        <w:rPr>
          <w:rFonts w:ascii="Arial" w:cs="Arial" w:eastAsia="Arial" w:hAnsi="Arial"/>
          <w:sz w:val="16"/>
          <w:szCs w:val="16"/>
          <w:u w:val="single" w:color="auto"/>
          <w:color w:val="auto"/>
        </w:rPr>
        <w:t>customer,</w:t>
      </w:r>
      <w:r>
        <w:rPr>
          <w:rFonts w:ascii="Arial" w:cs="Arial" w:eastAsia="Arial" w:hAnsi="Arial"/>
          <w:sz w:val="16"/>
          <w:szCs w:val="16"/>
          <w:color w:val="auto"/>
        </w:rPr>
        <w:t>” “</w:t>
      </w:r>
      <w:r>
        <w:rPr>
          <w:rFonts w:ascii="Arial" w:cs="Arial" w:eastAsia="Arial" w:hAnsi="Arial"/>
          <w:sz w:val="16"/>
          <w:szCs w:val="16"/>
          <w:u w:val="single" w:color="auto"/>
          <w:color w:val="auto"/>
        </w:rPr>
        <w:t>instructing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or the like of or for such Letter of Credit, and without derogating from any rights of the Issuing Bank (whether arising by contract, at law, in equity or otherwise) against such Subsidiary in respect of such Letter of Credit, the Borrowers (i) shall reimburse, indemnify and compensate the Issuing Bank hereunder for such Letter of Credit (including to reimburse any and all drawings thereunder) as if such Letter of Credit had been issued solely for the account of a Borrower and (ii) irrevocably waives any and all defenses that might otherwise be available to it as a guarantor or surety of any or all of the obligations of such Subsidiary in respect of such Letter of Credit. Each Borrower hereby acknowledges that the issuance of such Letters of Credit for its Subsidiaries inures to the benefit of the Borrowers, and that each Borrower’s business derives substantial benefits from the businesses of such Subsidiaries.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such Lender hereunder on the proposed date thereof solely by wire transfer of immediately available funds by 1:00 p.m., Pacific time, to the account of the Administrative Agent most recently designated by it for such purpose by notice to the Lenders in an amount equal to such Lender’s Applicable Percentage;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Swingline Loans shall be made as provided in Section 2.05. The Administrative Agent will make such Loans available to the Borrower Representative by promptly crediting the funds so received in the aforesaid account of the Administrative Agent to the Funding Account;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CBFR Revolving Loans made to finance the reimbursement of (i) an LC Disbursement as provided in Section 2.06(e) shall be remitted by the Administrative Agent to the Issuing Bank and (ii) a Protective Advance or an Overadvance shall be retained by the Administrative Agent.</w:t>
      </w:r>
    </w:p>
    <w:p>
      <w:pPr>
        <w:spacing w:after="0" w:line="177" w:lineRule="exact"/>
        <w:rPr>
          <w:sz w:val="20"/>
          <w:szCs w:val="20"/>
          <w:color w:val="auto"/>
        </w:rPr>
      </w:pPr>
    </w:p>
    <w:p>
      <w:pPr>
        <w:jc w:val="both"/>
        <w:ind w:firstLine="1304"/>
        <w:spacing w:after="0" w:line="287" w:lineRule="auto"/>
        <w:tabs>
          <w:tab w:leader="none" w:pos="2279" w:val="left"/>
        </w:tabs>
        <w:numPr>
          <w:ilvl w:val="0"/>
          <w:numId w:val="66"/>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the Borrowers each severally agree to pay to the Administrative Agent forthwith on demand such corresponding amount with interest thereon, for each day from and including the date such amount is made available to the applicable Borrower to but excluding the date of payment to the Administrative Agent, at (i) in the case of such Lender, the greater of the NYFRB Rate and a rate determined by the Administrative Agent in accordance with banking industry rules on interbank compensation and (ii) in the case of the Borrowers, the interest rate applicable to CBFR Loans. If such Lender pays such amount to the Administrative Agent, then such amount shall constitute such Lender’s Loan included in such Borrowing, </w:t>
      </w:r>
      <w:r>
        <w:rPr>
          <w:rFonts w:ascii="Arial" w:cs="Arial" w:eastAsia="Arial" w:hAnsi="Arial"/>
          <w:sz w:val="16"/>
          <w:szCs w:val="16"/>
          <w:u w:val="single" w:color="auto"/>
          <w:color w:val="auto"/>
        </w:rPr>
        <w:t>provided</w:t>
      </w:r>
      <w:r>
        <w:rPr>
          <w:rFonts w:ascii="Arial" w:cs="Arial" w:eastAsia="Arial" w:hAnsi="Arial"/>
          <w:sz w:val="16"/>
          <w:szCs w:val="16"/>
          <w:color w:val="auto"/>
        </w:rPr>
        <w:t>, that any interest received from a Borrower by the Administrative Agent during the period beginning when Administrative Agent funded the Borrowing until such Lender pays such amount shall be solely for the account of the Administrative Agent.</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0" w:name="page91"/>
    <w:bookmarkEnd w:id="90"/>
    <w:p>
      <w:pPr>
        <w:jc w:val="both"/>
        <w:ind w:firstLine="648"/>
        <w:spacing w:after="0" w:line="272"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Interest Elections</w:t>
      </w:r>
      <w:r>
        <w:rPr>
          <w:rFonts w:ascii="Arial" w:cs="Arial" w:eastAsia="Arial" w:hAnsi="Arial"/>
          <w:sz w:val="17"/>
          <w:szCs w:val="17"/>
          <w:color w:val="auto"/>
        </w:rPr>
        <w:t>. (a) Each Borrowing initially shall be of the Type specified in the applicable Borrowing Request and, in the case of a Eurodollar Borrowing, shall have an initial Interest Period as specified in such Borrowing Request. Thereafter, the Borrower Representative may elect to convert such Borrowing to a different Type or to continue such Borrowing and, in the case of a Eurodollar Borrowing, may elect Interest Periods therefor, all as provided in this Section. The Borrower Representative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This Section shall not apply to Swingline Borrowings, Overadvances or Protective Advances, which may not be converted or continued.</w:t>
      </w:r>
    </w:p>
    <w:p>
      <w:pPr>
        <w:spacing w:after="0" w:line="177" w:lineRule="exact"/>
        <w:rPr>
          <w:sz w:val="20"/>
          <w:szCs w:val="20"/>
          <w:color w:val="auto"/>
        </w:rPr>
      </w:pPr>
    </w:p>
    <w:p>
      <w:pPr>
        <w:jc w:val="both"/>
        <w:ind w:firstLine="1304"/>
        <w:spacing w:after="0" w:line="271" w:lineRule="auto"/>
        <w:tabs>
          <w:tab w:leader="none" w:pos="2387" w:val="left"/>
        </w:tabs>
        <w:numPr>
          <w:ilvl w:val="0"/>
          <w:numId w:val="67"/>
        </w:numPr>
        <w:rPr>
          <w:rFonts w:ascii="Arial" w:cs="Arial" w:eastAsia="Arial" w:hAnsi="Arial"/>
          <w:sz w:val="17"/>
          <w:szCs w:val="17"/>
          <w:color w:val="auto"/>
        </w:rPr>
      </w:pPr>
      <w:r>
        <w:rPr>
          <w:rFonts w:ascii="Arial" w:cs="Arial" w:eastAsia="Arial" w:hAnsi="Arial"/>
          <w:sz w:val="17"/>
          <w:szCs w:val="17"/>
          <w:color w:val="auto"/>
        </w:rPr>
        <w:t>To make an election pursuant to this Section, the Borrower Representative shall notify the Administrative Agent of such election either in writing (delivered by hand or fax) by delivering an Interest Election Request signed by a Responsible Officer of the Borrower Representative or through Electronic System if arrangements for doing so have been approved by the Administrative Agent (or if an Extenuating Circumstance shall exist, by telephone) by the time that a Borrowing Request would be required under Section 2.03 if the Borrowers were requesting a Borrowing of the Type resulting from such election to be made on the effective date of such election. Each such Interest Election Request shall be irrevocable and each such telephonic Interest Election Request, if permitted, shall be confirmed immediately upon the cessation of the Extenuating Circumstance by hand delivery, Electronic System or facsimile to the Administrative Agent of a written Interest Election Request in a form approved by the Administrative Agent and signed by a Responsible Officer of the Borrower Representative.</w:t>
      </w:r>
    </w:p>
    <w:p>
      <w:pPr>
        <w:spacing w:after="0" w:line="178" w:lineRule="exact"/>
        <w:rPr>
          <w:rFonts w:ascii="Arial" w:cs="Arial" w:eastAsia="Arial" w:hAnsi="Arial"/>
          <w:sz w:val="17"/>
          <w:szCs w:val="17"/>
          <w:color w:val="auto"/>
        </w:rPr>
      </w:pPr>
    </w:p>
    <w:p>
      <w:pPr>
        <w:ind w:firstLine="1304"/>
        <w:spacing w:after="0" w:line="277" w:lineRule="auto"/>
        <w:tabs>
          <w:tab w:leader="none" w:pos="22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Each written (or if permitted, telephonic) Interest Election Request (including requests submitted through Electronic System) shall specify the following information in compliance with Section 2.02:</w:t>
      </w:r>
    </w:p>
    <w:p>
      <w:pPr>
        <w:spacing w:after="0" w:line="170" w:lineRule="exact"/>
        <w:rPr>
          <w:rFonts w:ascii="Arial" w:cs="Arial" w:eastAsia="Arial" w:hAnsi="Arial"/>
          <w:sz w:val="18"/>
          <w:szCs w:val="18"/>
          <w:color w:val="auto"/>
        </w:rPr>
      </w:pPr>
    </w:p>
    <w:p>
      <w:pPr>
        <w:jc w:val="both"/>
        <w:ind w:left="660" w:firstLine="1292"/>
        <w:spacing w:after="0" w:line="286" w:lineRule="auto"/>
        <w:tabs>
          <w:tab w:leader="none" w:pos="3066" w:val="left"/>
        </w:tabs>
        <w:numPr>
          <w:ilvl w:val="1"/>
          <w:numId w:val="67"/>
        </w:numPr>
        <w:rPr>
          <w:rFonts w:ascii="Arial" w:cs="Arial" w:eastAsia="Arial" w:hAnsi="Arial"/>
          <w:sz w:val="17"/>
          <w:szCs w:val="17"/>
          <w:color w:val="auto"/>
        </w:rPr>
      </w:pPr>
      <w:r>
        <w:rPr>
          <w:rFonts w:ascii="Arial" w:cs="Arial" w:eastAsia="Arial" w:hAnsi="Arial"/>
          <w:sz w:val="17"/>
          <w:szCs w:val="17"/>
          <w:color w:val="auto"/>
        </w:rPr>
        <w:t>the name of 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65" w:lineRule="exact"/>
        <w:rPr>
          <w:rFonts w:ascii="Arial" w:cs="Arial" w:eastAsia="Arial" w:hAnsi="Arial"/>
          <w:sz w:val="17"/>
          <w:szCs w:val="17"/>
          <w:color w:val="auto"/>
        </w:rPr>
      </w:pPr>
    </w:p>
    <w:p>
      <w:pPr>
        <w:ind w:left="2840" w:hanging="888"/>
        <w:spacing w:after="0"/>
        <w:tabs>
          <w:tab w:leader="none" w:pos="28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effective date of the election made pursuant to such Interest Election Request, which shall be a Business Day;</w:t>
      </w:r>
    </w:p>
    <w:p>
      <w:pPr>
        <w:spacing w:after="0" w:line="248" w:lineRule="exact"/>
        <w:rPr>
          <w:rFonts w:ascii="Arial" w:cs="Arial" w:eastAsia="Arial" w:hAnsi="Arial"/>
          <w:sz w:val="16"/>
          <w:szCs w:val="16"/>
          <w:color w:val="auto"/>
        </w:rPr>
      </w:pPr>
    </w:p>
    <w:p>
      <w:pPr>
        <w:ind w:left="2800" w:hanging="848"/>
        <w:spacing w:after="0"/>
        <w:tabs>
          <w:tab w:leader="none" w:pos="28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whether the resulting Borrowing is to be an CBFR Borrowing or a Eurodollar Borrowing; and</w:t>
      </w:r>
    </w:p>
    <w:p>
      <w:pPr>
        <w:spacing w:after="0" w:line="225" w:lineRule="exact"/>
        <w:rPr>
          <w:rFonts w:ascii="Arial" w:cs="Arial" w:eastAsia="Arial" w:hAnsi="Arial"/>
          <w:sz w:val="18"/>
          <w:szCs w:val="18"/>
          <w:color w:val="auto"/>
        </w:rPr>
      </w:pPr>
    </w:p>
    <w:p>
      <w:pPr>
        <w:ind w:left="660" w:firstLine="1292"/>
        <w:spacing w:after="0" w:line="277" w:lineRule="auto"/>
        <w:tabs>
          <w:tab w:leader="none" w:pos="2899" w:val="left"/>
        </w:tabs>
        <w:numPr>
          <w:ilvl w:val="1"/>
          <w:numId w:val="67"/>
        </w:numPr>
        <w:rPr>
          <w:rFonts w:ascii="Arial" w:cs="Arial" w:eastAsia="Arial" w:hAnsi="Arial"/>
          <w:sz w:val="18"/>
          <w:szCs w:val="18"/>
          <w:color w:val="auto"/>
        </w:rPr>
      </w:pPr>
      <w:r>
        <w:rPr>
          <w:rFonts w:ascii="Arial" w:cs="Arial" w:eastAsia="Arial" w:hAnsi="Arial"/>
          <w:sz w:val="18"/>
          <w:szCs w:val="18"/>
          <w:color w:val="auto"/>
        </w:rPr>
        <w:t>if the resulting Borrowing is a Eurodollar Borrowing, the Interest Period to be applicable thereto after giving effect to such election, which shall be a period contemplated by the definition of the term “</w:t>
      </w:r>
      <w:r>
        <w:rPr>
          <w:rFonts w:ascii="Arial" w:cs="Arial" w:eastAsia="Arial" w:hAnsi="Arial"/>
          <w:sz w:val="18"/>
          <w:szCs w:val="18"/>
          <w:u w:val="single" w:color="auto"/>
          <w:color w:val="auto"/>
        </w:rPr>
        <w:t>Interest Period</w:t>
      </w:r>
      <w:r>
        <w:rPr>
          <w:rFonts w:ascii="Arial" w:cs="Arial" w:eastAsia="Arial" w:hAnsi="Arial"/>
          <w:sz w:val="18"/>
          <w:szCs w:val="18"/>
          <w:color w:val="auto"/>
        </w:rPr>
        <w: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such Interest Election Request requests a Eurodollar Borrowing but does not specify an Interest Period, then the Borrowers shall be deemed to have selected an Interest Period of one month’s duration.</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1" w:name="page92"/>
    <w:bookmarkEnd w:id="91"/>
    <w:p>
      <w:pPr>
        <w:ind w:firstLine="1304"/>
        <w:spacing w:after="0" w:line="277" w:lineRule="auto"/>
        <w:tabs>
          <w:tab w:leader="none" w:pos="2252"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Lender of the details thereof and of such Lender’s portion of each resulting Borrowing.</w:t>
      </w:r>
    </w:p>
    <w:p>
      <w:pPr>
        <w:spacing w:after="0" w:line="170" w:lineRule="exact"/>
        <w:rPr>
          <w:rFonts w:ascii="Arial" w:cs="Arial" w:eastAsia="Arial" w:hAnsi="Arial"/>
          <w:sz w:val="18"/>
          <w:szCs w:val="18"/>
          <w:color w:val="auto"/>
        </w:rPr>
      </w:pPr>
    </w:p>
    <w:p>
      <w:pPr>
        <w:jc w:val="both"/>
        <w:ind w:firstLine="1304"/>
        <w:spacing w:after="0" w:line="273" w:lineRule="auto"/>
        <w:tabs>
          <w:tab w:leader="none" w:pos="2377"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the Borrower Representative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CBFR Borrowing. Notwithstanding any contrary provision hereof, if a Default has occurred and is continuing and the Administrative Agent, at the request of the Required Lenders, so notifies the Borrower Representative, then, so long as a Default is continuing (i) no outstanding Borrowing may be converted to or continued as a Eurodollar Borrowing and (ii) unless repaid, each Eurodollar Borrowing shall be converted to an CBFR Borrowing at the end of the Interest Period applicable thereto.</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u w:val="single" w:color="auto"/>
          <w:color w:val="auto"/>
        </w:rPr>
        <w:t>Termination of Revolving Commitments; Increase in Revolving Commitments</w:t>
      </w:r>
      <w:r>
        <w:rPr>
          <w:rFonts w:ascii="Arial" w:cs="Arial" w:eastAsia="Arial" w:hAnsi="Arial"/>
          <w:sz w:val="18"/>
          <w:szCs w:val="18"/>
          <w:color w:val="auto"/>
        </w:rPr>
        <w:t>. (a) Unless previously terminated, the Revolving Commitments shall terminate on the Maturity Date.</w:t>
      </w:r>
    </w:p>
    <w:p>
      <w:pPr>
        <w:spacing w:after="0" w:line="170" w:lineRule="exact"/>
        <w:rPr>
          <w:sz w:val="20"/>
          <w:szCs w:val="20"/>
          <w:color w:val="auto"/>
        </w:rPr>
      </w:pPr>
    </w:p>
    <w:p>
      <w:pPr>
        <w:ind w:left="2240" w:hanging="936"/>
        <w:spacing w:after="0"/>
        <w:tabs>
          <w:tab w:leader="none" w:pos="22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The Borrowers may at any time terminate the Revolving Commitments upon Payment in Full of the Secured Obligations.</w:t>
      </w:r>
    </w:p>
    <w:p>
      <w:pPr>
        <w:spacing w:after="0" w:line="248" w:lineRule="exact"/>
        <w:rPr>
          <w:rFonts w:ascii="Arial" w:cs="Arial" w:eastAsia="Arial" w:hAnsi="Arial"/>
          <w:sz w:val="16"/>
          <w:szCs w:val="16"/>
          <w:color w:val="auto"/>
        </w:rPr>
      </w:pPr>
    </w:p>
    <w:p>
      <w:pPr>
        <w:jc w:val="both"/>
        <w:ind w:firstLine="1304"/>
        <w:spacing w:after="0" w:line="271" w:lineRule="auto"/>
        <w:tabs>
          <w:tab w:leader="none" w:pos="2215"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The Borrower Representative shall notify the Administrative Agent of any election to terminate the Revolving Commitments under paragraph (b) of this Section at least three (3) Business Days prior to the effective date of such termination, specifying such election and the effective date thereof. Promptly following receipt of any notice, the Administrative Agent shall advise the Lenders of the contents thereof. Each notice delivered by the Borrower Representative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notice of termination of the Revolving Commitments delivered by the Borrower Representative may state that such notice is conditioned upon the effectiveness of other credit facilities, in which case such notice may be revoked by the Borrower Representative (by notice to the Administrative Agent on or prior to the specified effective date) if such condition is not satisfied. Any termination of the Revolving Commitments shall be permanent. Each reduction of the Revolving Commitments shall be made ratably among the Lenders in accordance with their respective Revolving Commitments.</w:t>
      </w:r>
    </w:p>
    <w:p>
      <w:pPr>
        <w:spacing w:after="0" w:line="178" w:lineRule="exact"/>
        <w:rPr>
          <w:rFonts w:ascii="Arial" w:cs="Arial" w:eastAsia="Arial" w:hAnsi="Arial"/>
          <w:sz w:val="17"/>
          <w:szCs w:val="17"/>
          <w:color w:val="auto"/>
        </w:rPr>
      </w:pPr>
    </w:p>
    <w:p>
      <w:pPr>
        <w:jc w:val="both"/>
        <w:ind w:firstLine="1304"/>
        <w:spacing w:after="0" w:line="271" w:lineRule="auto"/>
        <w:tabs>
          <w:tab w:leader="none" w:pos="2266" w:val="left"/>
        </w:tabs>
        <w:numPr>
          <w:ilvl w:val="1"/>
          <w:numId w:val="69"/>
        </w:numPr>
        <w:rPr>
          <w:rFonts w:ascii="Arial" w:cs="Arial" w:eastAsia="Arial" w:hAnsi="Arial"/>
          <w:sz w:val="17"/>
          <w:szCs w:val="17"/>
          <w:color w:val="auto"/>
        </w:rPr>
      </w:pPr>
      <w:r>
        <w:rPr>
          <w:rFonts w:ascii="Arial" w:cs="Arial" w:eastAsia="Arial" w:hAnsi="Arial"/>
          <w:sz w:val="17"/>
          <w:szCs w:val="17"/>
          <w:color w:val="auto"/>
        </w:rPr>
        <w:t xml:space="preserve">At any time and from time to time, the Borrowers shall have the right to increase the Revolving Commitments by obtaining additional Revolving Commitments, either from one or more of the Lenders or another lending institution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request for an increase shall be in a minimum amount of $5,000,000, (ii) the Borrower Representative, on behalf of the Borrowers, may make a maximum of 5 such requests after the Effective Date, (iii) after giving effect thereto, the sum of the total of the additional Revolving Commitments does not exceed $25,000,000, (iv) the Administrative Agent and the Issuing Bank have approved the identity of any such new Lender, such approvals not to be unreasonably withheld, delayed, or conditioned, (v) any such new Lender assumes all of the rights and obligations of a “</w:t>
      </w:r>
      <w:r>
        <w:rPr>
          <w:rFonts w:ascii="Arial" w:cs="Arial" w:eastAsia="Arial" w:hAnsi="Arial"/>
          <w:sz w:val="17"/>
          <w:szCs w:val="17"/>
          <w:u w:val="single" w:color="auto"/>
          <w:color w:val="auto"/>
        </w:rPr>
        <w:t>Lender</w:t>
      </w:r>
      <w:r>
        <w:rPr>
          <w:rFonts w:ascii="Arial" w:cs="Arial" w:eastAsia="Arial" w:hAnsi="Arial"/>
          <w:sz w:val="17"/>
          <w:szCs w:val="17"/>
          <w:color w:val="auto"/>
        </w:rPr>
        <w:t>” hereunder, and (vi) the procedure described in Section 2.09(e) have been satisfied. Nothing contained in this Section 2.09 shall constitute, or otherwise be deemed to be, a commitment on the part of any Lender to increase its Revolving Commitment hereunder at any time.</w:t>
      </w:r>
    </w:p>
    <w:p>
      <w:pPr>
        <w:spacing w:after="0" w:line="178" w:lineRule="exact"/>
        <w:rPr>
          <w:rFonts w:ascii="Arial" w:cs="Arial" w:eastAsia="Arial" w:hAnsi="Arial"/>
          <w:sz w:val="17"/>
          <w:szCs w:val="17"/>
          <w:color w:val="auto"/>
        </w:rPr>
      </w:pPr>
    </w:p>
    <w:p>
      <w:pPr>
        <w:jc w:val="both"/>
        <w:ind w:firstLine="1304"/>
        <w:spacing w:after="0" w:line="285" w:lineRule="auto"/>
        <w:tabs>
          <w:tab w:leader="none" w:pos="2512" w:val="left"/>
        </w:tabs>
        <w:numPr>
          <w:ilvl w:val="1"/>
          <w:numId w:val="69"/>
        </w:numPr>
        <w:rPr>
          <w:rFonts w:ascii="Arial" w:cs="Arial" w:eastAsia="Arial" w:hAnsi="Arial"/>
          <w:sz w:val="16"/>
          <w:szCs w:val="16"/>
          <w:color w:val="auto"/>
        </w:rPr>
      </w:pPr>
      <w:r>
        <w:rPr>
          <w:rFonts w:ascii="Arial" w:cs="Arial" w:eastAsia="Arial" w:hAnsi="Arial"/>
          <w:sz w:val="16"/>
          <w:szCs w:val="16"/>
          <w:color w:val="auto"/>
        </w:rPr>
        <w:t>Any amendment hereto for such an increase or addition shall be in form and substance reasonably satisfactory to the Administrative Agent and shall only require the written signatures of the Administrative Agent, the Borrowers and each Lender being added or increasing its Revolving Commitment. As a condition precedent to such an increase or addition, the Borrowers shall deliver to the Administrative Agent (i) a certificate of each Loan Party signed by an authorized officer of such Loan Party (A) certifying and attaching the resolutions adopted by such Loan Party approving or consenting to such increase, and (B) in the case of the Borrowers, certifying that, before and after giving effect to such increase or addition,</w:t>
      </w:r>
    </w:p>
    <w:p>
      <w:pPr>
        <w:spacing w:after="0" w:line="1" w:lineRule="exact"/>
        <w:rPr>
          <w:rFonts w:ascii="Arial" w:cs="Arial" w:eastAsia="Arial" w:hAnsi="Arial"/>
          <w:sz w:val="16"/>
          <w:szCs w:val="16"/>
          <w:color w:val="auto"/>
        </w:rPr>
      </w:pPr>
    </w:p>
    <w:p>
      <w:pPr>
        <w:jc w:val="both"/>
        <w:ind w:firstLine="8"/>
        <w:spacing w:after="0" w:line="281" w:lineRule="auto"/>
        <w:tabs>
          <w:tab w:leader="none" w:pos="295"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representations and warranties contained in Article III and the other Loan Documents are true and correct, except to the extent that such representations and warranties specifically refer to an earlier date, in which case they are true and correct as of such earlier date, (2) no Default exists, and</w:t>
      </w:r>
    </w:p>
    <w:p>
      <w:pPr>
        <w:spacing w:after="0" w:line="1" w:lineRule="exact"/>
        <w:rPr>
          <w:rFonts w:ascii="Arial" w:cs="Arial" w:eastAsia="Arial" w:hAnsi="Arial"/>
          <w:sz w:val="16"/>
          <w:szCs w:val="16"/>
          <w:color w:val="auto"/>
        </w:rPr>
      </w:pPr>
    </w:p>
    <w:p>
      <w:pPr>
        <w:ind w:right="20" w:firstLine="8"/>
        <w:spacing w:after="0" w:line="323" w:lineRule="auto"/>
        <w:tabs>
          <w:tab w:leader="none" w:pos="27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Borrowers are in compliance (on a pro forma basis) with the covenants contained in Section 6.12, as if a Covenant Testing Trigger Period is in effect, and (ii) legal opinions and documents consistent with those delivered on the Effective Date, to the extent requested by the Administrative Agent.</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2" w:name="page93"/>
    <w:bookmarkEnd w:id="92"/>
    <w:p>
      <w:pPr>
        <w:jc w:val="both"/>
        <w:ind w:firstLine="1304"/>
        <w:spacing w:after="0" w:line="286" w:lineRule="auto"/>
        <w:tabs>
          <w:tab w:leader="none" w:pos="2281" w:val="left"/>
        </w:tabs>
        <w:numPr>
          <w:ilvl w:val="0"/>
          <w:numId w:val="72"/>
        </w:numPr>
        <w:rPr>
          <w:rFonts w:ascii="Arial" w:cs="Arial" w:eastAsia="Arial" w:hAnsi="Arial"/>
          <w:sz w:val="16"/>
          <w:szCs w:val="16"/>
          <w:color w:val="auto"/>
        </w:rPr>
      </w:pPr>
      <w:r>
        <w:rPr>
          <w:rFonts w:ascii="Arial" w:cs="Arial" w:eastAsia="Arial" w:hAnsi="Arial"/>
          <w:sz w:val="16"/>
          <w:szCs w:val="16"/>
          <w:color w:val="auto"/>
        </w:rPr>
        <w:t>On the effective date of any such increase or addition, (i) any Lender increasing (or, in the case of any newly added Lender, extending) its Revolving Commitment shall make available to the Administrative Agent such amounts in immediately available funds as the Administrative Agent shall determine, for the benefit of the other Lenders, as being required in order to cause, after giving effect to such increase or addition and the use of such amounts to make payments to such other Lenders, each Lender’s portion of the outstanding Revolving Loans of all the Lenders to equal its revised Applicable Percentage of such outstanding Revolving Loans, and the Administrative Agent shall make such other adjustments among the Lenders with respect to the Revolving Loans then outstanding and amounts of principal, interest, commitment fees and other amounts paid or payable with respect thereto as shall be necessary, in the opinion of the Administrative Agent, in order to effect such reallocation and (ii) the Borrowers shall be deemed to have repaid and reborrowed all outstanding Revolving Loans as of the date of any increase (or addition) in the Revolving Commitments (with such reborrowing to consist of the Types of Revolving Loans, with related Interest Periods if applicable, specified in a notice delivered by the Borrower Representative, in accordance with the requirements of Section 2.03). The deemed payments made pursuant to clause (ii) of the immediately preceding sentence shall be accompanied by payment of all accrued interest on the amount prepaid and, in respect of each Eurodollar Loan, shall be subject to indemnification by the Borrowers pursuant to the provisions of Section 2.16 if the deemed payment occurs other than on the last day of the related Interest Periods. Within a reasonable time after the effective date of any increase or addition, the Administrative Agent shall, and is hereby authorized and directed to, revise the Commitment Schedule to reflect such increase or addition and shall distribute such revised Commitment Schedule to each of the Lenders and the Borrower Representative, whereupon such revised Commitment Schedule shall replace the old Commitment Schedule and become part of this Agreement.</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and Amortization of Loans; Evidence of Debt</w:t>
      </w:r>
      <w:r>
        <w:rPr>
          <w:rFonts w:ascii="Arial" w:cs="Arial" w:eastAsia="Arial" w:hAnsi="Arial"/>
          <w:sz w:val="18"/>
          <w:szCs w:val="18"/>
          <w:color w:val="auto"/>
        </w:rPr>
        <w:t>. The Borrowers hereby unconditionally promise to pay (i) to the Administrative Agent for the account of each Revolving Lender the then unpaid principal amount of each Revolving Loan on the Maturity Date, and (ii) to the Administrative Agent the then unpaid amount of each Protective Advance on the earlier of the Maturity Date and demand by the Administrative Agent and (iii) to the Administrative Agent the then unpaid principal amount of each Overadvance on the earlier of the Maturity Date and demand by the Administrative Agent.</w:t>
      </w:r>
    </w:p>
    <w:p>
      <w:pPr>
        <w:spacing w:after="0" w:line="188" w:lineRule="exact"/>
        <w:rPr>
          <w:sz w:val="20"/>
          <w:szCs w:val="20"/>
          <w:color w:val="auto"/>
        </w:rPr>
      </w:pPr>
    </w:p>
    <w:p>
      <w:pPr>
        <w:jc w:val="both"/>
        <w:ind w:firstLine="1304"/>
        <w:spacing w:after="0" w:line="275" w:lineRule="auto"/>
        <w:tabs>
          <w:tab w:leader="none" w:pos="23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During each Cash Dominion Period, on each Business Day, the Administrative Agent shall apply all funds credited to the Collection Account on such Business Day or the immediately preceding Business Day (at the discretion of the Administrative Agent, whether or not immediately available) first to prepay any Protective Advances and Overadvances that may be outstanding, pro rata, and second to prepay the Revolving Loans (including Swingline Loans) and to cash collateralize outstanding LC Exposure. Notwithstanding the foregoing, to the extent any funds credited to the Collection Account constitute Net Proceeds, the application of such Net Proceeds shall be subject to Section 2.11(c).</w:t>
      </w:r>
    </w:p>
    <w:p>
      <w:pPr>
        <w:spacing w:after="0" w:line="176" w:lineRule="exact"/>
        <w:rPr>
          <w:rFonts w:ascii="Arial" w:cs="Arial" w:eastAsia="Arial" w:hAnsi="Arial"/>
          <w:sz w:val="17"/>
          <w:szCs w:val="17"/>
          <w:color w:val="auto"/>
        </w:rPr>
      </w:pPr>
    </w:p>
    <w:p>
      <w:pPr>
        <w:jc w:val="both"/>
        <w:ind w:firstLine="1304"/>
        <w:spacing w:after="0" w:line="263" w:lineRule="auto"/>
        <w:tabs>
          <w:tab w:leader="none" w:pos="22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3" w:name="page94"/>
    <w:bookmarkEnd w:id="93"/>
    <w:p>
      <w:pPr>
        <w:jc w:val="both"/>
        <w:ind w:firstLine="1304"/>
        <w:spacing w:after="0" w:line="259" w:lineRule="auto"/>
        <w:tabs>
          <w:tab w:leader="none" w:pos="22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186" w:lineRule="exact"/>
        <w:rPr>
          <w:rFonts w:ascii="Arial" w:cs="Arial" w:eastAsia="Arial" w:hAnsi="Arial"/>
          <w:sz w:val="18"/>
          <w:szCs w:val="18"/>
          <w:color w:val="auto"/>
        </w:rPr>
      </w:pPr>
    </w:p>
    <w:p>
      <w:pPr>
        <w:jc w:val="both"/>
        <w:ind w:firstLine="1304"/>
        <w:spacing w:after="0" w:line="259" w:lineRule="auto"/>
        <w:tabs>
          <w:tab w:leader="none" w:pos="225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entries made in the accounts maintained pursuant to paragraph (c) or (d) of this Section shall be prima facie evidence of the existence and amounts of the obligations recorded therein absent manifest error;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failure of any Lender or the Administrative Agent to maintain such accounts or any error therein shall not in any manner affect the obligation of the Borrowers to repay the Loans in accordance with the terms of this Agreement.</w:t>
      </w:r>
    </w:p>
    <w:p>
      <w:pPr>
        <w:spacing w:after="0" w:line="186" w:lineRule="exact"/>
        <w:rPr>
          <w:rFonts w:ascii="Arial" w:cs="Arial" w:eastAsia="Arial" w:hAnsi="Arial"/>
          <w:sz w:val="18"/>
          <w:szCs w:val="18"/>
          <w:color w:val="auto"/>
        </w:rPr>
      </w:pPr>
    </w:p>
    <w:p>
      <w:pPr>
        <w:jc w:val="both"/>
        <w:ind w:firstLine="1304"/>
        <w:spacing w:after="0" w:line="279" w:lineRule="auto"/>
        <w:tabs>
          <w:tab w:leader="none" w:pos="2445"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Any Lender may request that Loans made by it be evidenced by a promissory note. In such event, the Borrowers shall prepare, execute and deliver to such Lender a promissory note payable to such Lender (or, if requested by such Lender, to such Lender and its registered assigns) and in a form approved by the Administrative Agent. Thereafter, the Loans evidenced by such promissory note and interest thereon shall at all times (including after assignment pursuant to Section 9.04) be represented by one or more promissory notes in such form.</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(a) The Borrowers shall have the right at any time and from time to time to prepay any Borrowing in whole or in part, subject to prior notice in accordance with paragraph (e) of this Section and, if applicable, payment of any break funding expenses under Section 2.16.</w:t>
      </w:r>
    </w:p>
    <w:p>
      <w:pPr>
        <w:spacing w:after="0" w:line="184" w:lineRule="exact"/>
        <w:rPr>
          <w:sz w:val="20"/>
          <w:szCs w:val="20"/>
          <w:color w:val="auto"/>
        </w:rPr>
      </w:pPr>
    </w:p>
    <w:p>
      <w:pPr>
        <w:jc w:val="both"/>
        <w:ind w:firstLine="1304"/>
        <w:spacing w:after="0" w:line="259" w:lineRule="auto"/>
        <w:tabs>
          <w:tab w:leader="none" w:pos="2401" w:val="left"/>
        </w:tabs>
        <w:numPr>
          <w:ilvl w:val="0"/>
          <w:numId w:val="75"/>
        </w:numPr>
        <w:rPr>
          <w:rFonts w:ascii="Arial" w:cs="Arial" w:eastAsia="Arial" w:hAnsi="Arial"/>
          <w:sz w:val="18"/>
          <w:szCs w:val="18"/>
          <w:color w:val="auto"/>
        </w:rPr>
      </w:pPr>
      <w:r>
        <w:rPr>
          <w:rFonts w:ascii="Arial" w:cs="Arial" w:eastAsia="Arial" w:hAnsi="Arial"/>
          <w:sz w:val="18"/>
          <w:szCs w:val="18"/>
          <w:color w:val="auto"/>
        </w:rPr>
        <w:t>Except for Overadvances permitted under Section 2.05, in the event and on such occasion that the Aggregate Revolving Exposure exceeds the lesser of (i) the Aggregate Revolving Commitment and (ii) the Borrowing Base, the Borrowers shall prepay, on demand, the Revolving Loans, LC Exposure and/or Swingline Loans or cash collateralize the LC Exposure in an account with the Administrative Agent pursuant to Section 2.06(j), as applicable, in an aggregate amount equal to such excess.</w:t>
      </w:r>
    </w:p>
    <w:p>
      <w:pPr>
        <w:spacing w:after="0" w:line="186" w:lineRule="exact"/>
        <w:rPr>
          <w:rFonts w:ascii="Arial" w:cs="Arial" w:eastAsia="Arial" w:hAnsi="Arial"/>
          <w:sz w:val="18"/>
          <w:szCs w:val="18"/>
          <w:color w:val="auto"/>
        </w:rPr>
      </w:pPr>
    </w:p>
    <w:p>
      <w:pPr>
        <w:jc w:val="both"/>
        <w:ind w:firstLine="1304"/>
        <w:spacing w:after="0" w:line="268" w:lineRule="auto"/>
        <w:tabs>
          <w:tab w:leader="none" w:pos="2242"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In the event and on each occasion that any Net Proceeds are received by or on behalf of any Loan Party or any Subsidiary in respect of any Prepayment Event, the Borrowers shall, immediately after such Net Proceeds are received by any Loan Party or any Subsidiary, prepay the Obligations and cash collateralize the LC Exposure as set forth in Section 2.11(d) below in an aggregate amount equal to 100% of such Net Proceeds,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event described in clause (a) or (b) of the definition of the term “Prepayment Event”, if the Borrower shall deliver to the Administrative Agent a certificate of a Financial Officer to the effect that the Loan Parties intend to apply the Net Proceeds from such event (or a portion thereof specified in such certificate), within 12 months after receipt of such Net Proceeds, to acquire (or replace or rebuild) real property, equipment or other tangible assets (excluding inventory) to be used in the business of the Loan Parties, and certifying that no Default has occurred and is continuing, then either (i) so long as a Cash Dominion Period is not in effect, no prepayment shall be required pursuant to this paragraph in respect of the Net Proceeds specified in such certificate or (ii) if as a Cash Dominion Period is in effect, then, if the Net Proceeds specified in such certificate are to be applied to acquire, replace or rebuild such assets by (A) the Borrowers, such Net Proceeds shall be applied by the Administrative Agent to reduce the outstanding principal balance of the Revolving Loans (without a permanent reduction of the Revolving Commitment) and upon such application, the Administrative Agent shall establish a Reserve against the Borrowing Base in an amount equal to the amount of such proceeds so applied and (B) any Loan Party that is not a Borrower, such Net Proceeds shall be deposited in a cash collateral account, and in the case of either (A) or (B), thereafter, such funds shall be made available to the applicable Loan Party as follows: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4" w:name="page95"/>
    <w:bookmarkEnd w:id="94"/>
    <w:p>
      <w:pPr>
        <w:ind w:left="660" w:firstLine="1292"/>
        <w:spacing w:after="0" w:line="342" w:lineRule="auto"/>
        <w:tabs>
          <w:tab w:leader="none" w:pos="299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Borrower shall request a Revolving Borrowing (specifying that the request is to use Net Proceeds pursuant to this Section) or the applicable Loan Party shall request a release from the cash collateral account be made in the amount needed;</w:t>
      </w:r>
    </w:p>
    <w:p>
      <w:pPr>
        <w:spacing w:after="0" w:line="123" w:lineRule="exact"/>
        <w:rPr>
          <w:rFonts w:ascii="Arial" w:cs="Arial" w:eastAsia="Arial" w:hAnsi="Arial"/>
          <w:sz w:val="16"/>
          <w:szCs w:val="16"/>
          <w:color w:val="auto"/>
        </w:rPr>
      </w:pPr>
    </w:p>
    <w:p>
      <w:pPr>
        <w:ind w:left="2860" w:hanging="908"/>
        <w:spacing w:after="0"/>
        <w:tabs>
          <w:tab w:leader="none" w:pos="28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so long as the conditions set forth in Section 4.02 have been met, the Revolving Lenders shall make such Revolving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Borrowing; and</w:t>
      </w:r>
    </w:p>
    <w:p>
      <w:pPr>
        <w:spacing w:after="0" w:line="210" w:lineRule="exact"/>
        <w:rPr>
          <w:rFonts w:ascii="Arial" w:cs="Arial" w:eastAsia="Arial" w:hAnsi="Arial"/>
          <w:sz w:val="16"/>
          <w:szCs w:val="16"/>
          <w:color w:val="auto"/>
        </w:rPr>
      </w:pPr>
    </w:p>
    <w:p>
      <w:pPr>
        <w:ind w:left="660" w:firstLine="1292"/>
        <w:spacing w:after="0" w:line="277" w:lineRule="auto"/>
        <w:tabs>
          <w:tab w:leader="none" w:pos="2892"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 Net Proceeds applied against the Revolving Borrowing, the Reserve established with respect to such proceeds shall be reduced by the amount of such Revolving Borrowing;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of any such Net Proceeds therefrom that have not been so applied, or such definitive agreement(s) have not been entered into, by the end of such 12-month period or any such Net Proceeds that are subject to such definitive agreement(s) have not been so applied by the end of an additional six months following the end of such 12-month period, a prepayment shall be required at such time in an amount equal to such Net Proceeds that have not been so applied.</w:t>
      </w:r>
    </w:p>
    <w:p>
      <w:pPr>
        <w:spacing w:after="0" w:line="187" w:lineRule="exact"/>
        <w:rPr>
          <w:sz w:val="20"/>
          <w:szCs w:val="20"/>
          <w:color w:val="auto"/>
        </w:rPr>
      </w:pPr>
    </w:p>
    <w:p>
      <w:pPr>
        <w:ind w:right="20" w:firstLine="1304"/>
        <w:spacing w:after="0" w:line="342" w:lineRule="auto"/>
        <w:tabs>
          <w:tab w:leader="none" w:pos="2252" w:val="left"/>
        </w:tabs>
        <w:numPr>
          <w:ilvl w:val="0"/>
          <w:numId w:val="77"/>
        </w:numPr>
        <w:rPr>
          <w:rFonts w:ascii="Arial" w:cs="Arial" w:eastAsia="Arial" w:hAnsi="Arial"/>
          <w:sz w:val="16"/>
          <w:szCs w:val="16"/>
          <w:color w:val="auto"/>
        </w:rPr>
      </w:pPr>
      <w:r>
        <w:rPr>
          <w:rFonts w:ascii="Arial" w:cs="Arial" w:eastAsia="Arial" w:hAnsi="Arial"/>
          <w:sz w:val="16"/>
          <w:szCs w:val="16"/>
          <w:color w:val="auto"/>
        </w:rPr>
        <w:t>(i) All prepayments made pursuant to Section 2.11(a) shall be applied to prepay such Loans in accordance with the Lenders’ respective Applicable Percentages without a corresponding reduction in the Revolving Commitments and to cash collateralize outstanding LC Exposure.</w:t>
      </w:r>
    </w:p>
    <w:p>
      <w:pPr>
        <w:spacing w:after="0" w:line="123" w:lineRule="exact"/>
        <w:rPr>
          <w:rFonts w:ascii="Arial" w:cs="Arial" w:eastAsia="Arial" w:hAnsi="Arial"/>
          <w:sz w:val="16"/>
          <w:szCs w:val="16"/>
          <w:color w:val="auto"/>
        </w:rPr>
      </w:pPr>
    </w:p>
    <w:p>
      <w:pPr>
        <w:jc w:val="both"/>
        <w:ind w:left="660" w:firstLine="1292"/>
        <w:spacing w:after="0" w:line="263" w:lineRule="auto"/>
        <w:tabs>
          <w:tab w:leader="none" w:pos="3201" w:val="left"/>
        </w:tabs>
        <w:numPr>
          <w:ilvl w:val="1"/>
          <w:numId w:val="77"/>
        </w:numPr>
        <w:rPr>
          <w:rFonts w:ascii="Arial" w:cs="Arial" w:eastAsia="Arial" w:hAnsi="Arial"/>
          <w:sz w:val="18"/>
          <w:szCs w:val="18"/>
          <w:color w:val="auto"/>
        </w:rPr>
      </w:pPr>
      <w:r>
        <w:rPr>
          <w:rFonts w:ascii="Arial" w:cs="Arial" w:eastAsia="Arial" w:hAnsi="Arial"/>
          <w:sz w:val="18"/>
          <w:szCs w:val="18"/>
          <w:color w:val="auto"/>
        </w:rPr>
        <w:t>All such amounts pursuant to Section 2.11(c) shall be applied, first to prepay any Protective Advances and Overadvances that may be outstanding, pro rata, and second to prepay the Revolving Loans (including Swingline Loans) without a corresponding reduction in the Revolving Commitments and to cash collateralize outstanding LC Exposure.</w:t>
      </w:r>
    </w:p>
    <w:p>
      <w:pPr>
        <w:spacing w:after="0" w:line="183" w:lineRule="exact"/>
        <w:rPr>
          <w:rFonts w:ascii="Arial" w:cs="Arial" w:eastAsia="Arial" w:hAnsi="Arial"/>
          <w:sz w:val="18"/>
          <w:szCs w:val="18"/>
          <w:color w:val="auto"/>
        </w:rPr>
      </w:pPr>
    </w:p>
    <w:p>
      <w:pPr>
        <w:jc w:val="both"/>
        <w:ind w:firstLine="1304"/>
        <w:spacing w:after="0" w:line="287" w:lineRule="auto"/>
        <w:tabs>
          <w:tab w:leader="none" w:pos="2229"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The Borrower Representative shall notify the Administrative Agent (and, in the case of prepayment of a Swingline Loan, the Swingline Lender) by telephone (confirmed by fax) or through Electronic System, if arrangements for doing so have been approved by the Administrative Agent, of any prepayment hereunder not later than noon, Pacific time, (A) in the case of prepayment of a Eurodollar Borrowing, three (3) Business Days before the date of prepayment, or (B) in the case of prepayment of a CBFR Borrowing, one (1) Business Day before the date of prepayment. Each such notice shall be irrevocable and shall specify the prepayment date and the principal amount of each Borrowing or portion thereof to be prepaid;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 notice of prepayment is given in connection with a conditional notice of termination of the Revolving Commitments as contemplated by Section 2.09, then such notice of prepayment may be revoked if such notice of termination is revoked in accordance with Section 2.09. Promptly following receipt of any such notice relating to a Revolving Borrowing, the Administrative Agent shall advise the Lenders of the contents thereof. Each partial prepayment of any Revolving Borrowing shall be in an amount that would be permitted in the case of an advance of a Revolving Borrowing of the same Type as provided in Section 2.02. Each prepayment of a Revolving Borrowing shall be applied ratably to the Revolving Loans included in the prepaid Borrowing. Prepayments shall be accompanied by (i) accrued interest to the extent required by Section 2.13 and (ii) break funding payments pursuant to Section 2.16.</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(a) The Borrowers agree to pay to the Administrative Agent for the account of each Lender a commitment fee, which shall accrue at the applicable Commitment Fee Rate on the average daily amount of the Available Revolving Commitment of such Lender during the period from and including the Effective Date to but excluding the date on which the Revolving Commitments terminate. Commitment fees accrued through and including the first day of each calendar month shall be payable in arrears on such day and on the date on which the Revolving Commitments terminate, commencing on the first such date to occur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commitment fees accruing after the date on which the Revolving Commitments terminate shall be payable on demand. All commitment fees shall be computed on the basis of a year of 360 days and shall be payable for the actual number of days elapsed (including the first day and the last day of each period but excluding the date on which the Revolving Commitments terminate).</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5" w:name="page96"/>
    <w:bookmarkEnd w:id="95"/>
    <w:p>
      <w:pPr>
        <w:jc w:val="both"/>
        <w:ind w:firstLine="1304"/>
        <w:spacing w:after="0" w:line="285" w:lineRule="auto"/>
        <w:tabs>
          <w:tab w:leader="none" w:pos="2374"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The Borrowers agree to pay (i) to the Administrative Agent for the account of each Revolving Lender a participation fee with respect to its participations in each outstanding Letter of Credit, which shall accrue on the daily maximum stated amount then available to be drawn under such Letter of Credit at the same Applicable Rate used to determine the interest rate applicable to Eurodollar Revolving Loans during the period from and including the Effective Date to but excluding the later of the date on which such Lender’s Revolving Commitment terminates and the date on which such Lender ceases to have any LC Exposure, and (ii) to each Issuing Bank for its own account a fronting fee with respect to each Letter of Credit issued by such Issuing Bank, which shall accrue at the rate of 0.125% per annum (or such higher rate or rates per annum separately agreed upon between the Borrower and such Issuing Bank) on the average daily maximum stated amount then available to be drawn under such Letter of Credit, during the period from and including the Effective Date to but excluding the later of the date of termination of the Revolving Commitments and the date on which there ceases to be any LC Exposure with respect to Letters of Credit issued by such Issuing Bank, as well as such Issuing Bank’s standard fees and commissions with respect to the issuance, amendment or extension of any Letter of Credit and other processing fees and other standard costs and charges, of such Issuing Bank relating to Letters of Credit as from time to time in effect. Participation fees and fronting fees accrued through and including the last day of each calendar month shall be payable on the first Business Day of each calendar month, commencing on the first such date to occur after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ten (10) days after demand. All participation fees and fronting fees shall be computed on the basis of a year of 360 days and shall be payable for the actual number of days elapsed (including the first day but excluding the last day).</w:t>
      </w:r>
    </w:p>
    <w:p>
      <w:pPr>
        <w:spacing w:after="0" w:line="176" w:lineRule="exact"/>
        <w:rPr>
          <w:rFonts w:ascii="Arial" w:cs="Arial" w:eastAsia="Arial" w:hAnsi="Arial"/>
          <w:sz w:val="16"/>
          <w:szCs w:val="16"/>
          <w:color w:val="auto"/>
        </w:rPr>
      </w:pPr>
    </w:p>
    <w:p>
      <w:pPr>
        <w:jc w:val="both"/>
        <w:ind w:firstLine="1304"/>
        <w:spacing w:after="0" w:line="257" w:lineRule="auto"/>
        <w:tabs>
          <w:tab w:leader="none" w:pos="2242"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the account of each Revolving Lender at any time that full cash dominion is in effect, a collection day fee equal to the additional interest that the Borrowers would have paid in respect of the Revolving Loans, at the CBFR plus the Applicable Margin, as if each uncollected check had not been received in the collection account and credited to the Borrowers until the earlier of (i) the date that such check is actually collected and (ii) three Business Days after the Business Day that such check was actually received in the collection account. Such collection day fee will be payable monthly in arrears.</w:t>
      </w:r>
    </w:p>
    <w:p>
      <w:pPr>
        <w:spacing w:after="0" w:line="187" w:lineRule="exact"/>
        <w:rPr>
          <w:rFonts w:ascii="Arial" w:cs="Arial" w:eastAsia="Arial" w:hAnsi="Arial"/>
          <w:sz w:val="18"/>
          <w:szCs w:val="18"/>
          <w:color w:val="auto"/>
        </w:rPr>
      </w:pPr>
    </w:p>
    <w:p>
      <w:pPr>
        <w:ind w:firstLine="1304"/>
        <w:spacing w:after="0" w:line="277" w:lineRule="auto"/>
        <w:tabs>
          <w:tab w:leader="none" w:pos="2306"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Borrowers agree to pay to the Administrative Agent, for its own account, fees payable in the amounts and at the times separately agreed upon between the Borrowers and the Administrative Agent.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3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in immediately available funds, to the Administrative Agent (or to an Issuing Bank, in the case of fees payable to it) for distribution, in the case of commitment fees and participation fees, to the Lenders. Fees paid shall not be refundable under any circumstances.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CBFR Borrowings (including all Swingline Loans) shall bear interest at the CBFR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Rate.</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6" w:name="page97"/>
    <w:bookmarkEnd w:id="96"/>
    <w:p>
      <w:pPr>
        <w:ind w:right="20" w:firstLine="1304"/>
        <w:spacing w:after="0" w:line="277" w:lineRule="auto"/>
        <w:tabs>
          <w:tab w:leader="none" w:pos="2347"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The Loans comprising each Eurodollar Borrowing shall bear interest at the Adjusted LIBO Rate for the Interest Period in effect for such Borrowing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left="2420" w:hanging="1116"/>
        <w:spacing w:after="0"/>
        <w:tabs>
          <w:tab w:leader="none" w:pos="24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Each Protective Advance and each Overadvance shall bear interest at the CBFR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Applicable Rate for Revolving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Loans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2%.</w:t>
      </w:r>
    </w:p>
    <w:p>
      <w:pPr>
        <w:spacing w:after="0" w:line="210" w:lineRule="exact"/>
        <w:rPr>
          <w:rFonts w:ascii="Arial" w:cs="Arial" w:eastAsia="Arial" w:hAnsi="Arial"/>
          <w:sz w:val="16"/>
          <w:szCs w:val="16"/>
          <w:color w:val="auto"/>
        </w:rPr>
      </w:pPr>
    </w:p>
    <w:p>
      <w:pPr>
        <w:jc w:val="both"/>
        <w:ind w:firstLine="1304"/>
        <w:spacing w:after="0" w:line="257" w:lineRule="auto"/>
        <w:tabs>
          <w:tab w:leader="none" w:pos="2509"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any principal of or interest on any Loan or any fee or other amount payable by the Borrowers hereunder is not paid when due, whether at stated maturity, upon acceleration or otherwise, such overdue amount shall bear interest, after as well as before judgment, at a rate per annum equal to (i) in the case of overdue principal of any Loan, 2%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rate otherwise applicable to such Loan as provided in the preceding paragraphs of this Section or (ii) in the case of any other amount, 2%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rate applicable to CBFR Loans as provided in paragraph (a) of this Section.</w:t>
      </w:r>
    </w:p>
    <w:p>
      <w:pPr>
        <w:spacing w:after="0" w:line="187" w:lineRule="exact"/>
        <w:rPr>
          <w:rFonts w:ascii="Arial" w:cs="Arial" w:eastAsia="Arial" w:hAnsi="Arial"/>
          <w:sz w:val="18"/>
          <w:szCs w:val="18"/>
          <w:color w:val="auto"/>
        </w:rPr>
      </w:pPr>
    </w:p>
    <w:p>
      <w:pPr>
        <w:jc w:val="both"/>
        <w:ind w:firstLine="1304"/>
        <w:spacing w:after="0" w:line="273" w:lineRule="auto"/>
        <w:tabs>
          <w:tab w:leader="none" w:pos="2256"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Accrued interest on each Loan (for CBFR Loans, accrued through the last day of the prior calendar month) shall be payable in arrears on each Interest Payment Date for such Loan and upon termination of the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interest accrued pursuant to paragraph (d) of this Section shall be payable on demand, (ii) in the event of any repayment or prepayment of any Loan (other than a prepayment of a CBFR Revolving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77" w:lineRule="exact"/>
        <w:rPr>
          <w:rFonts w:ascii="Arial" w:cs="Arial" w:eastAsia="Arial" w:hAnsi="Arial"/>
          <w:sz w:val="17"/>
          <w:szCs w:val="17"/>
          <w:color w:val="auto"/>
        </w:rPr>
      </w:pPr>
    </w:p>
    <w:p>
      <w:pPr>
        <w:jc w:val="both"/>
        <w:ind w:firstLine="1304"/>
        <w:spacing w:after="0" w:line="296" w:lineRule="auto"/>
        <w:tabs>
          <w:tab w:leader="none" w:pos="22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interest computed by reference to the CB Floating Rate shall be computed on the basis of a year of 365 days (or 366 days in a leap year), and in each case shall be payable for the actual number of days elapsed (including the first day but excluding the last day). All interest hereunder on any Loan shall be computed on a daily basis based upon the outstanding principal amount of such Loan as of the applicable date of determination. The applicable CB Floating Rate, Adjusted LIBO Rate, REVLIBOR30 Rate, or LIBO Rate shall be determined by the Administrative Agent, and such determination shall be conclusive absent manifest error.</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 Illegality</w:t>
      </w:r>
      <w:r>
        <w:rPr>
          <w:rFonts w:ascii="Arial" w:cs="Arial" w:eastAsia="Arial" w:hAnsi="Arial"/>
          <w:sz w:val="18"/>
          <w:szCs w:val="18"/>
          <w:color w:val="auto"/>
        </w:rPr>
        <w:t>.</w:t>
      </w:r>
    </w:p>
    <w:p>
      <w:pPr>
        <w:spacing w:after="0" w:line="225" w:lineRule="exact"/>
        <w:rPr>
          <w:sz w:val="20"/>
          <w:szCs w:val="20"/>
          <w:color w:val="auto"/>
        </w:rPr>
      </w:pPr>
    </w:p>
    <w:p>
      <w:pPr>
        <w:ind w:left="2260" w:hanging="956"/>
        <w:spacing w:after="0"/>
        <w:tabs>
          <w:tab w:leader="none" w:pos="22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Subject to clauses (c), (d), (e), (f), (g) and (h) of this Section 2.14, if prior to the commencement of any Interest Period for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Eurodollar Borrowing:</w:t>
      </w:r>
    </w:p>
    <w:p>
      <w:pPr>
        <w:spacing w:after="0" w:line="210" w:lineRule="exact"/>
        <w:rPr>
          <w:rFonts w:ascii="Arial" w:cs="Arial" w:eastAsia="Arial" w:hAnsi="Arial"/>
          <w:sz w:val="16"/>
          <w:szCs w:val="16"/>
          <w:color w:val="auto"/>
        </w:rPr>
      </w:pPr>
    </w:p>
    <w:p>
      <w:pPr>
        <w:jc w:val="both"/>
        <w:ind w:left="660" w:firstLine="1292"/>
        <w:spacing w:after="0" w:line="279" w:lineRule="auto"/>
        <w:tabs>
          <w:tab w:leader="none" w:pos="2971" w:val="left"/>
        </w:tabs>
        <w:numPr>
          <w:ilvl w:val="1"/>
          <w:numId w:val="80"/>
        </w:numPr>
        <w:rPr>
          <w:rFonts w:ascii="Arial" w:cs="Arial" w:eastAsia="Arial" w:hAnsi="Arial"/>
          <w:sz w:val="17"/>
          <w:szCs w:val="17"/>
          <w:color w:val="auto"/>
        </w:rPr>
      </w:pPr>
      <w:r>
        <w:rPr>
          <w:rFonts w:ascii="Arial" w:cs="Arial" w:eastAsia="Arial" w:hAnsi="Arial"/>
          <w:sz w:val="17"/>
          <w:szCs w:val="17"/>
          <w:color w:val="auto"/>
        </w:rPr>
        <w:t xml:space="preserve">the Administrative Agent determines (which determination shall be conclusive and binding absent manifest error) that adequate and reasonable means do not exist for ascertaining the Adjusted LIBO Rate or the LIBO Rate, as applicable (including, without limitation, by means of a LIBO Interpolated Rate or because the LIBO Screen Rate is not available or published on a current basis) for such Interest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Benchmark Transition Event shall have occurred at such time; or</w:t>
      </w:r>
    </w:p>
    <w:p>
      <w:pPr>
        <w:spacing w:after="0" w:line="171" w:lineRule="exact"/>
        <w:rPr>
          <w:rFonts w:ascii="Arial" w:cs="Arial" w:eastAsia="Arial" w:hAnsi="Arial"/>
          <w:sz w:val="17"/>
          <w:szCs w:val="17"/>
          <w:color w:val="auto"/>
        </w:rPr>
      </w:pPr>
    </w:p>
    <w:p>
      <w:pPr>
        <w:jc w:val="both"/>
        <w:ind w:left="660" w:firstLine="1292"/>
        <w:spacing w:after="0" w:line="263" w:lineRule="auto"/>
        <w:tabs>
          <w:tab w:leader="none" w:pos="2999"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7" w:name="page98"/>
    <w:bookmarkEnd w:id="97"/>
    <w:p>
      <w:pPr>
        <w:jc w:val="both"/>
        <w:spacing w:after="0" w:line="255" w:lineRule="auto"/>
        <w:rPr>
          <w:sz w:val="20"/>
          <w:szCs w:val="20"/>
          <w:color w:val="auto"/>
        </w:rPr>
      </w:pPr>
      <w:r>
        <w:rPr>
          <w:rFonts w:ascii="Arial" w:cs="Arial" w:eastAsia="Arial" w:hAnsi="Arial"/>
          <w:sz w:val="18"/>
          <w:szCs w:val="18"/>
          <w:color w:val="auto"/>
        </w:rPr>
        <w:t>then the Administrative Agent shall give notice thereof to the Borrower Representative and the Lenders through Electronic System as provided in Section 9.01 as promptly as practicable thereafter and, until the Administrative Agent notifies the Borrower Representative and the Lenders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 CBFR Borrowing on the last day of the then current Interest Period applicable thereto, and (B) if any Borrowing Request requests a Eurodollar Borrowing, such Borrowing shall be made as a CBFR Borrowing.</w:t>
      </w:r>
    </w:p>
    <w:p>
      <w:pPr>
        <w:spacing w:after="0" w:line="192" w:lineRule="exact"/>
        <w:rPr>
          <w:sz w:val="20"/>
          <w:szCs w:val="20"/>
          <w:color w:val="auto"/>
        </w:rPr>
      </w:pPr>
    </w:p>
    <w:p>
      <w:pPr>
        <w:jc w:val="both"/>
        <w:ind w:firstLine="1304"/>
        <w:spacing w:after="0" w:line="269" w:lineRule="auto"/>
        <w:tabs>
          <w:tab w:leader="none" w:pos="2252"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any Lender determines that any Requirement of Law has made it unlawful, or if any Governmental Authority has asserted that it is unlawful, for any Lender or its applicable lending office to make, maintain, fund or continue any Eurodollar Borrowing, or any Governmental Authority has imposed material restrictions on the authority of such Lender to purchase or sell, or to take deposits of, dollars in the London interbank market, then, on notice thereof by such Lender to the Borrower Representative through the Administrative Agent, any obligations of such Lender to make, maintain, fund or continue Eurodollar Loans or to convert CBFR Borrowings to Eurodollar Borrowings will be suspended until such Lender notifies the Administrative Agent and the Borrower Representative that the circumstances giving rise to such determination no longer exist. Upon receipt of such notice, the Borrowers will upon demand from such Lender (with a copy to the Administrative Agent), either convert or prepay all Eurodollar Borrowings of such Lender to CBFR Borrowings, either on the last day of the Interest Period therefor, if such Lender may lawfully continue to maintain such Eurodollar Borrowings to such day, or immediately, if such Lender may not lawfully continue to maintain such Loans. Upon any such conversion or prepayment, the Borrowers will also pay accrued interest on the amount so converted or prepaid.</w:t>
      </w:r>
    </w:p>
    <w:p>
      <w:pPr>
        <w:spacing w:after="0" w:line="185" w:lineRule="exact"/>
        <w:rPr>
          <w:rFonts w:ascii="Arial" w:cs="Arial" w:eastAsia="Arial" w:hAnsi="Arial"/>
          <w:sz w:val="17"/>
          <w:szCs w:val="17"/>
          <w:color w:val="auto"/>
        </w:rPr>
      </w:pPr>
    </w:p>
    <w:p>
      <w:pPr>
        <w:jc w:val="both"/>
        <w:ind w:firstLine="1304"/>
        <w:spacing w:after="0" w:line="287" w:lineRule="auto"/>
        <w:tabs>
          <w:tab w:leader="none" w:pos="2256"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Notwithstanding anything to the contrary herein or in any other Loan Document, if a Benchmark Transition Event, an Early Opt-in Election or an Other Benchmark Rate Election, as applicable, and its related Benchmark Replacement Date have occurred prior to the Reference Time in respect of any setting of the then-current Benchmark, then (x) if a Benchmark Replacement is determined in accordance with clause (1) or (2) of the definition of “</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(3) of the definition of “</w:t>
      </w:r>
      <w:r>
        <w:rPr>
          <w:rFonts w:ascii="Arial" w:cs="Arial" w:eastAsia="Arial" w:hAnsi="Arial"/>
          <w:sz w:val="16"/>
          <w:szCs w:val="16"/>
          <w:u w:val="single" w:color="auto"/>
          <w:color w:val="auto"/>
        </w:rPr>
        <w:t>Benchmark Replacement</w:t>
      </w:r>
      <w:r>
        <w:rPr>
          <w:rFonts w:ascii="Arial" w:cs="Arial" w:eastAsia="Arial" w:hAnsi="Arial"/>
          <w:sz w:val="16"/>
          <w:szCs w:val="16"/>
          <w:color w:val="auto"/>
        </w:rPr>
        <w: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71" w:lineRule="exact"/>
        <w:rPr>
          <w:rFonts w:ascii="Arial" w:cs="Arial" w:eastAsia="Arial" w:hAnsi="Arial"/>
          <w:sz w:val="16"/>
          <w:szCs w:val="16"/>
          <w:color w:val="auto"/>
        </w:rPr>
      </w:pPr>
    </w:p>
    <w:p>
      <w:pPr>
        <w:jc w:val="both"/>
        <w:ind w:firstLine="1304"/>
        <w:spacing w:after="0" w:line="291" w:lineRule="auto"/>
        <w:tabs>
          <w:tab w:leader="none" w:pos="2387"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or in any other Loan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(d) shall not be effective unless the Administrative Agent has delivered to the Lenders and the Borrower Representative a Term SOFR Notice. For the avoidance of doubt, the Administrative Agent shall not be required to deliver a Term SOFR Notice after the occurrence of a Term SOFR Transition Event and may do so in its sole discretion.</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98" w:name="page99"/>
    <w:bookmarkEnd w:id="98"/>
    <w:p>
      <w:pPr>
        <w:jc w:val="both"/>
        <w:ind w:left="-20" w:firstLine="1304"/>
        <w:spacing w:after="0" w:line="259" w:lineRule="auto"/>
        <w:tabs>
          <w:tab w:leader="none" w:pos="2263"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spacing w:after="0" w:line="186" w:lineRule="exact"/>
        <w:rPr>
          <w:rFonts w:ascii="Arial" w:cs="Arial" w:eastAsia="Arial" w:hAnsi="Arial"/>
          <w:sz w:val="18"/>
          <w:szCs w:val="18"/>
          <w:color w:val="auto"/>
        </w:rPr>
      </w:pPr>
    </w:p>
    <w:p>
      <w:pPr>
        <w:jc w:val="both"/>
        <w:ind w:left="-20" w:firstLine="1304"/>
        <w:spacing w:after="0" w:line="253" w:lineRule="auto"/>
        <w:tabs>
          <w:tab w:leader="none" w:pos="2423"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Borrower Representative and the Lenders of (i) any occurrence of a Benchmark Transition Event, an Early Opt-in Election or an Other Benchmark Rate Election, as applicable, (ii) the implementation of any Benchmark Replacement, (iii) the effectiveness of any Benchmark Replacement Conforming Changes, (iv) the removal or reinstatement of any tenor of a Benchmark pursuant to clause (d) below and (v) the commencement or conclusion of any Benchmark Unavailability Period. Any determination, decision or election that may be made by the Administrative Agent or, if applicable, any Lender (or group of Lenders) pursuant to this Section 2.14,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2.14.</w:t>
      </w:r>
    </w:p>
    <w:p>
      <w:pPr>
        <w:spacing w:after="0" w:line="196" w:lineRule="exact"/>
        <w:rPr>
          <w:rFonts w:ascii="Arial" w:cs="Arial" w:eastAsia="Arial" w:hAnsi="Arial"/>
          <w:sz w:val="18"/>
          <w:szCs w:val="18"/>
          <w:color w:val="auto"/>
        </w:rPr>
      </w:pPr>
    </w:p>
    <w:p>
      <w:pPr>
        <w:jc w:val="both"/>
        <w:ind w:left="-20" w:firstLine="1304"/>
        <w:spacing w:after="0" w:line="269" w:lineRule="auto"/>
        <w:tabs>
          <w:tab w:leader="none" w:pos="2286"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at any time (including in connection with the implementation of a Benchmark Replacement), (i) if the then-current Benchmark is a term rate (including Term SOFR or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w:t>
      </w:r>
      <w:r>
        <w:rPr>
          <w:rFonts w:ascii="Arial" w:cs="Arial" w:eastAsia="Arial" w:hAnsi="Arial"/>
          <w:sz w:val="17"/>
          <w:szCs w:val="17"/>
          <w:u w:val="single" w:color="auto"/>
          <w:color w:val="auto"/>
        </w:rPr>
        <w:t>Interest Period</w:t>
      </w:r>
      <w:r>
        <w:rPr>
          <w:rFonts w:ascii="Arial" w:cs="Arial" w:eastAsia="Arial" w:hAnsi="Arial"/>
          <w:sz w:val="17"/>
          <w:szCs w:val="17"/>
          <w:color w:val="auto"/>
        </w:rPr>
        <w:t>”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w:t>
      </w:r>
      <w:r>
        <w:rPr>
          <w:rFonts w:ascii="Arial" w:cs="Arial" w:eastAsia="Arial" w:hAnsi="Arial"/>
          <w:sz w:val="17"/>
          <w:szCs w:val="17"/>
          <w:u w:val="single" w:color="auto"/>
          <w:color w:val="auto"/>
        </w:rPr>
        <w:t>Interest Period</w:t>
      </w:r>
      <w:r>
        <w:rPr>
          <w:rFonts w:ascii="Arial" w:cs="Arial" w:eastAsia="Arial" w:hAnsi="Arial"/>
          <w:sz w:val="17"/>
          <w:szCs w:val="17"/>
          <w:color w:val="auto"/>
        </w:rPr>
        <w:t>” for all Benchmark settings at or after such time to reinstate such previously removed tenor.</w:t>
      </w:r>
    </w:p>
    <w:p>
      <w:pPr>
        <w:spacing w:after="0" w:line="185" w:lineRule="exact"/>
        <w:rPr>
          <w:rFonts w:ascii="Arial" w:cs="Arial" w:eastAsia="Arial" w:hAnsi="Arial"/>
          <w:sz w:val="17"/>
          <w:szCs w:val="17"/>
          <w:color w:val="auto"/>
        </w:rPr>
      </w:pPr>
    </w:p>
    <w:p>
      <w:pPr>
        <w:jc w:val="both"/>
        <w:ind w:left="-20" w:firstLine="1304"/>
        <w:spacing w:after="0" w:line="255" w:lineRule="auto"/>
        <w:tabs>
          <w:tab w:leader="none" w:pos="2421" w:val="left"/>
        </w:tabs>
        <w:numPr>
          <w:ilvl w:val="0"/>
          <w:numId w:val="82"/>
        </w:numPr>
        <w:rPr>
          <w:rFonts w:ascii="Arial" w:cs="Arial" w:eastAsia="Arial" w:hAnsi="Arial"/>
          <w:sz w:val="18"/>
          <w:szCs w:val="18"/>
          <w:color w:val="auto"/>
        </w:rPr>
      </w:pPr>
      <w:r>
        <w:rPr>
          <w:rFonts w:ascii="Arial" w:cs="Arial" w:eastAsia="Arial" w:hAnsi="Arial"/>
          <w:sz w:val="18"/>
          <w:szCs w:val="18"/>
          <w:color w:val="auto"/>
        </w:rPr>
        <w:t>Upon the Borrower Representative’s receipt of notice of the commencement of a Benchmark Unavailability Period, the Borrowers may revoke any request for a Eurodollar Borrowing of, conversion to or continuation of Eurodollar Loans to be made, converted or continued during any Benchmark Unavailability Period and, failing that, the Borrowers will be deemed to have converted any such request into a request for a Borrowing of or conversion to CBFR Loans. During any Benchmark Unavailability Period or at any time that a tenor for the then-current Benchmark is not an Available Tenor, the component of CBFR based upon the then-current Benchmark or such tenor for such Benchmark, as applicable, will not be used in any determination of CBFR.</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225" w:lineRule="exact"/>
        <w:rPr>
          <w:sz w:val="20"/>
          <w:szCs w:val="20"/>
          <w:color w:val="auto"/>
        </w:rPr>
      </w:pPr>
    </w:p>
    <w:p>
      <w:pPr>
        <w:jc w:val="both"/>
        <w:ind w:left="640" w:firstLine="1292"/>
        <w:spacing w:after="0" w:line="286" w:lineRule="auto"/>
        <w:tabs>
          <w:tab w:leader="none" w:pos="3046" w:val="left"/>
        </w:tabs>
        <w:numPr>
          <w:ilvl w:val="0"/>
          <w:numId w:val="83"/>
        </w:numPr>
        <w:rPr>
          <w:rFonts w:ascii="Arial" w:cs="Arial" w:eastAsia="Arial" w:hAnsi="Arial"/>
          <w:sz w:val="17"/>
          <w:szCs w:val="17"/>
          <w:color w:val="auto"/>
        </w:rPr>
      </w:pPr>
      <w:r>
        <w:rPr>
          <w:rFonts w:ascii="Arial" w:cs="Arial" w:eastAsia="Arial" w:hAnsi="Arial"/>
          <w:sz w:val="17"/>
          <w:szCs w:val="17"/>
          <w:color w:val="auto"/>
        </w:rPr>
        <w:t>impose, modify or deem applicable any reserve, special deposit, liquidity or similar requirement (including any compulsory loan requirement, insurance charge or other assessment) against assets of, deposits with or for the account of, or credit extended by, any Lender (except any such reserve requirement reflected in the Adjusted LIBO Rate) or the Issuing Bank;</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99" w:name="page100"/>
    <w:bookmarkEnd w:id="99"/>
    <w:p>
      <w:pPr>
        <w:ind w:left="660" w:firstLine="1292"/>
        <w:spacing w:after="0" w:line="308" w:lineRule="auto"/>
        <w:tabs>
          <w:tab w:leader="none" w:pos="2918" w:val="left"/>
        </w:tabs>
        <w:numPr>
          <w:ilvl w:val="0"/>
          <w:numId w:val="84"/>
        </w:numPr>
        <w:rPr>
          <w:rFonts w:ascii="Arial" w:cs="Arial" w:eastAsia="Arial" w:hAnsi="Arial"/>
          <w:sz w:val="17"/>
          <w:szCs w:val="17"/>
          <w:color w:val="auto"/>
        </w:rPr>
      </w:pPr>
      <w:r>
        <w:rPr>
          <w:rFonts w:ascii="Arial" w:cs="Arial" w:eastAsia="Arial" w:hAnsi="Arial"/>
          <w:sz w:val="17"/>
          <w:szCs w:val="17"/>
          <w:color w:val="auto"/>
        </w:rPr>
        <w:t>impose on any Lender or the Issuing Bank or the applicable offshore interbank market any other condition, cost or expense (other than Taxes) affecting this Agreement or Loans made by such Lender or any Letter of Credit or participation therein; or</w:t>
      </w:r>
    </w:p>
    <w:p>
      <w:pPr>
        <w:spacing w:after="0" w:line="146" w:lineRule="exact"/>
        <w:rPr>
          <w:rFonts w:ascii="Arial" w:cs="Arial" w:eastAsia="Arial" w:hAnsi="Arial"/>
          <w:sz w:val="17"/>
          <w:szCs w:val="17"/>
          <w:color w:val="auto"/>
        </w:rPr>
      </w:pPr>
    </w:p>
    <w:p>
      <w:pPr>
        <w:jc w:val="both"/>
        <w:ind w:left="660" w:firstLine="1292"/>
        <w:spacing w:after="0" w:line="263" w:lineRule="auto"/>
        <w:tabs>
          <w:tab w:leader="none" w:pos="28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and the result of any of the foregoing shall be to increase the cost to such Lender or such other Recipient of making, continuing, converting into or maintaining any Loan (or of maintaining its obligation to make any such Loan) or to increase the cost to such Lender, the Issuing Bank or such other Recipient of participating in, issuing or maintaining any Letter of Credit or to reduce the amount of any sum received or receivable by such Lender, the Issuing Bank or such other Recipient hereunder (whether of principal, interest or otherwise), then the Borrowers will pay to such Lender, the Issuing Bank or such other Recipient, as the case may be, such additional amount or amounts as will compensate such Lender, the Issuing Bank or such other Recipient, as the case may be, for such additional costs incurred or reduction suffered.</w:t>
      </w:r>
    </w:p>
    <w:p>
      <w:pPr>
        <w:spacing w:after="0" w:line="178" w:lineRule="exact"/>
        <w:rPr>
          <w:sz w:val="20"/>
          <w:szCs w:val="20"/>
          <w:color w:val="auto"/>
        </w:rPr>
      </w:pPr>
    </w:p>
    <w:p>
      <w:pPr>
        <w:jc w:val="both"/>
        <w:ind w:firstLine="1304"/>
        <w:spacing w:after="0" w:line="290" w:lineRule="auto"/>
        <w:tabs>
          <w:tab w:leader="none" w:pos="2401" w:val="left"/>
        </w:tabs>
        <w:numPr>
          <w:ilvl w:val="0"/>
          <w:numId w:val="85"/>
        </w:numPr>
        <w:rPr>
          <w:rFonts w:ascii="Arial" w:cs="Arial" w:eastAsia="Arial" w:hAnsi="Arial"/>
          <w:sz w:val="16"/>
          <w:szCs w:val="16"/>
          <w:color w:val="auto"/>
        </w:rPr>
      </w:pPr>
      <w:r>
        <w:rPr>
          <w:rFonts w:ascii="Arial" w:cs="Arial" w:eastAsia="Arial" w:hAnsi="Arial"/>
          <w:sz w:val="16"/>
          <w:szCs w:val="16"/>
          <w:color w:val="auto"/>
        </w:rPr>
        <w:t>If any Lender or the Issuing Bank determines that any Change in Law regarding capital or liquidity requirements has or would have the effect of reducing the rate of return on such Lender’s or the Issuing Bank’s capital or on the capital of such Lender’s or the Issuing Bank’s holding company, if any, as a consequence of this Agreement, the Revolving Commitments of, or the Loans made by, or participations in Letters of Credit or Swingline Loans held by, such Lender, or the Letters of Credit issued by the Issuing Bank, to a level below that which such Lender or the Issuing Bank or such Lender’s or the Issuing Bank’s holding company could have achieved but for such Change in Law (taking into consideration such Lender’s or the Issuing Bank’s policies and the policies of such Lender’s or the Issuing Bank’s holding company with respect to capital adequacy and liquidity), then from time to time the Borrowers will pay to such Lender or the Issuing Bank, as the case may be, such additional amount or amounts as will compensate such Lender or the Issuing Bank or such Lender’s or the Issuing Bank’s holding company for any such reduction suffered.</w:t>
      </w:r>
    </w:p>
    <w:p>
      <w:pPr>
        <w:spacing w:after="0" w:line="165" w:lineRule="exact"/>
        <w:rPr>
          <w:rFonts w:ascii="Arial" w:cs="Arial" w:eastAsia="Arial" w:hAnsi="Arial"/>
          <w:sz w:val="16"/>
          <w:szCs w:val="16"/>
          <w:color w:val="auto"/>
        </w:rPr>
      </w:pPr>
    </w:p>
    <w:p>
      <w:pPr>
        <w:jc w:val="both"/>
        <w:ind w:firstLine="1304"/>
        <w:spacing w:after="0" w:line="259" w:lineRule="auto"/>
        <w:tabs>
          <w:tab w:leader="none" w:pos="231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certificate of a Lender or the Issuing Bank setting forth the amount or amounts necessary to compensate such Lender or the Issuing Bank or its holding company, as the case may be, as specified in paragraph (a) or (b) of this Section shall be delivered to the Borrower Representative and shall be conclusive absent manifest error. The Borrowers shall pay such Lender or the Issuing Bank,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jc w:val="both"/>
        <w:ind w:firstLine="1304"/>
        <w:spacing w:after="0" w:line="254" w:lineRule="auto"/>
        <w:tabs>
          <w:tab w:leader="none" w:pos="2347" w:val="left"/>
        </w:tabs>
        <w:numPr>
          <w:ilvl w:val="0"/>
          <w:numId w:val="85"/>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or the Issuing Bank to demand compensation pursuant to this Section shall not constitute a waiver of such Lender’s or the Issuing Bank’s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Borrowers shall not be required to compensate a Lender or the Issuing Bank pursuant to this Section for any increased costs or reductions incurred more than 270 days prior to the date that such Lender or the Issuing Bank, as the case may be, notifies the Borrower Representative of the Change in Law giving rise to such increased costs or reductions and of such Lender’s or the Issuing Bank’s intention to claim compensation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further that, if the Change in Law giving rise to such increased costs or reductions is retroactive, then the 270-day period referred to above shall be extended to include the period of retroactive effect thereof.</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Break Funding Payments</w:t>
      </w:r>
      <w:r>
        <w:rPr>
          <w:rFonts w:ascii="Arial" w:cs="Arial" w:eastAsia="Arial" w:hAnsi="Arial"/>
          <w:sz w:val="16"/>
          <w:szCs w:val="16"/>
          <w:color w:val="auto"/>
        </w:rPr>
        <w:t>. In the event of (a) the payment of any principal of any Eurodollar Loan other than on the last day of an Interest Period applicable thereto (including as a result of an Event of Default or as a result of any prepayment pursuant to Section 2.11), (b) the conversion of any Eurodollar Loan other than on the last day of the Interest Period applicable thereto, (c) the failure to borrow, convert, continue or prepay any Eurodollar Loan on the date specified in any notice delivered pursuant hereto (regardless of whether such notice may be revoked under Section 2.09(c) and is revoked in accordance therewith), or (d) the assignment of any Eurodollar Loan other than on the last day of the Interest Period applicable thereto as a result of a request by the Borrower Representative pursuant to Section 2.19 or 9.02(d), then, in any such event, the Borrowers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Eurodollar Loan had such event not occurred, at the Adjusted LIBO Rate that would have been applicable to such Eurodollar Loan, for the period from the date of such event to the last day of the then current Interest Period therefor (or, in the case of a failure to borrow, convert or continue, for the period that would have been the Interest Period for such Eurodollar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Representative and shall be conclusive absent manifest error. The Borrowers shall pay such Lender the amount shown as due on any such certificate within ten (10) days after receipt thereof.</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0" w:name="page101"/>
    <w:bookmarkEnd w:id="100"/>
    <w:p>
      <w:pPr>
        <w:jc w:val="both"/>
        <w:ind w:firstLine="648"/>
        <w:spacing w:after="0" w:line="271" w:lineRule="auto"/>
        <w:rPr>
          <w:sz w:val="20"/>
          <w:szCs w:val="20"/>
          <w:color w:val="auto"/>
        </w:rPr>
      </w:pPr>
      <w:r>
        <w:rPr>
          <w:rFonts w:ascii="Arial" w:cs="Arial" w:eastAsia="Arial" w:hAnsi="Arial"/>
          <w:sz w:val="17"/>
          <w:szCs w:val="17"/>
          <w:color w:val="auto"/>
        </w:rPr>
        <w:t xml:space="preserve">SECTION 2.17. </w:t>
      </w:r>
      <w:r>
        <w:rPr>
          <w:rFonts w:ascii="Arial" w:cs="Arial" w:eastAsia="Arial" w:hAnsi="Arial"/>
          <w:sz w:val="17"/>
          <w:szCs w:val="17"/>
          <w:u w:val="single" w:color="auto"/>
          <w:color w:val="auto"/>
        </w:rPr>
        <w:t>Withholding of Taxes; Gross-Up</w:t>
      </w:r>
      <w:r>
        <w:rPr>
          <w:rFonts w:ascii="Arial" w:cs="Arial" w:eastAsia="Arial" w:hAnsi="Arial"/>
          <w:sz w:val="17"/>
          <w:szCs w:val="17"/>
          <w:color w:val="auto"/>
        </w:rPr>
        <w:t xml:space="preserve">. (a) </w:t>
      </w: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2.17) the applicable Recipient receives an amount equal to the sum it would have received had no such deduction or withholding been made.</w:t>
      </w:r>
    </w:p>
    <w:p>
      <w:pPr>
        <w:spacing w:after="0" w:line="178" w:lineRule="exact"/>
        <w:rPr>
          <w:sz w:val="20"/>
          <w:szCs w:val="20"/>
          <w:color w:val="auto"/>
        </w:rPr>
      </w:pPr>
    </w:p>
    <w:p>
      <w:pPr>
        <w:ind w:firstLine="1304"/>
        <w:spacing w:after="0" w:line="277" w:lineRule="auto"/>
        <w:tabs>
          <w:tab w:leader="none" w:pos="232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Payment of Other Taxes by the Loan Parties</w:t>
      </w:r>
      <w:r>
        <w:rPr>
          <w:rFonts w:ascii="Arial" w:cs="Arial" w:eastAsia="Arial" w:hAnsi="Arial"/>
          <w:sz w:val="18"/>
          <w:szCs w:val="18"/>
          <w:color w:val="auto"/>
        </w:rPr>
        <w:t>. The Loan Parties shall timely pay to the relevant Governmental Authority in accordance with applicable law, or at the option of the Administrative Agent timely reimburse it for, Other Taxes.</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485"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Evidence of Payment</w:t>
      </w:r>
      <w:r>
        <w:rPr>
          <w:rFonts w:ascii="Arial" w:cs="Arial" w:eastAsia="Arial" w:hAnsi="Arial"/>
          <w:sz w:val="18"/>
          <w:szCs w:val="18"/>
          <w:color w:val="auto"/>
        </w:rPr>
        <w:t>. As soon as practicable after any payment of Taxes by Loan Party to a Governmental Authority pursuant to this Section 2.17,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86" w:lineRule="exact"/>
        <w:rPr>
          <w:rFonts w:ascii="Arial" w:cs="Arial" w:eastAsia="Arial" w:hAnsi="Arial"/>
          <w:sz w:val="18"/>
          <w:szCs w:val="18"/>
          <w:color w:val="auto"/>
        </w:rPr>
      </w:pPr>
    </w:p>
    <w:p>
      <w:pPr>
        <w:jc w:val="both"/>
        <w:ind w:firstLine="1304"/>
        <w:spacing w:after="0" w:line="293" w:lineRule="auto"/>
        <w:tabs>
          <w:tab w:leader="none" w:pos="2293"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Indemnification by the Loan Parties</w:t>
      </w:r>
      <w:r>
        <w:rPr>
          <w:rFonts w:ascii="Arial" w:cs="Arial" w:eastAsia="Arial" w:hAnsi="Arial"/>
          <w:sz w:val="16"/>
          <w:szCs w:val="16"/>
          <w:color w:val="auto"/>
        </w:rPr>
        <w:t>. The Loan Parties shall jointly and severally indemnify each Recipient, within ten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any Loan Party by a Lender (with a copy to the Administrative Agent), or by the Administrative Agent on its own behalf or on behalf of a Lender, shall be conclusive absent manifest error.</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1" w:name="page102"/>
    <w:bookmarkEnd w:id="101"/>
    <w:p>
      <w:pPr>
        <w:jc w:val="both"/>
        <w:ind w:left="-20" w:firstLine="1304"/>
        <w:spacing w:after="0" w:line="269" w:lineRule="auto"/>
        <w:tabs>
          <w:tab w:leader="none" w:pos="223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9.04(c)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setoff and apply any and all amounts at any time owing to such Lender under any Loan Document or otherwise payable by the Administrative Agent to such Lender from any other source against any amount due to the Administrative Agent under this paragraph (e).</w:t>
      </w:r>
    </w:p>
    <w:p>
      <w:pPr>
        <w:spacing w:after="0" w:line="185" w:lineRule="exact"/>
        <w:rPr>
          <w:rFonts w:ascii="Arial" w:cs="Arial" w:eastAsia="Arial" w:hAnsi="Arial"/>
          <w:sz w:val="17"/>
          <w:szCs w:val="17"/>
          <w:color w:val="auto"/>
        </w:rPr>
      </w:pPr>
    </w:p>
    <w:p>
      <w:pPr>
        <w:jc w:val="both"/>
        <w:ind w:left="-20" w:firstLine="1304"/>
        <w:spacing w:after="0" w:line="269" w:lineRule="auto"/>
        <w:tabs>
          <w:tab w:leader="none" w:pos="239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Status of Lenders</w:t>
      </w:r>
      <w:r>
        <w:rPr>
          <w:rFonts w:ascii="Arial" w:cs="Arial" w:eastAsia="Arial" w:hAnsi="Arial"/>
          <w:sz w:val="17"/>
          <w:szCs w:val="17"/>
          <w:color w:val="auto"/>
        </w:rPr>
        <w:t>. (i) Any Lender that is entitled to an exemption from or reduction of withholding Tax with respect to payments made under any Loan Document shall deliver to the Borrower Representative and the Administrative Agent, at the time or times reasonably requested by the Borrower Representative or the Administrative Agent, such properly completed and executed documentation reasonably requested by the Borrower Representative or the Administrative Agent as will permit such payments to be made without withholding or at a reduced rate of withholding. In addition, any Lender, if reasonably requested by the Borrower Representative or the Administrative Agent, shall deliver such other documentation prescribed by applicable law or reasonably requested by the Borrower Representative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2.17(f)(ii)(A), (ii)(B) and (ii)(D)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rFonts w:ascii="Arial" w:cs="Arial" w:eastAsia="Arial" w:hAnsi="Arial"/>
          <w:sz w:val="17"/>
          <w:szCs w:val="17"/>
          <w:color w:val="auto"/>
        </w:rPr>
      </w:pPr>
    </w:p>
    <w:p>
      <w:pPr>
        <w:ind w:left="2820" w:hanging="888"/>
        <w:spacing w:after="0"/>
        <w:tabs>
          <w:tab w:leader="none" w:pos="28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any Borrower is a U.S. Person,</w:t>
      </w:r>
    </w:p>
    <w:p>
      <w:pPr>
        <w:spacing w:after="0" w:line="225" w:lineRule="exact"/>
        <w:rPr>
          <w:rFonts w:ascii="Arial" w:cs="Arial" w:eastAsia="Arial" w:hAnsi="Arial"/>
          <w:sz w:val="18"/>
          <w:szCs w:val="18"/>
          <w:color w:val="auto"/>
        </w:rPr>
      </w:pPr>
    </w:p>
    <w:p>
      <w:pPr>
        <w:jc w:val="both"/>
        <w:ind w:left="1280" w:firstLine="1300"/>
        <w:spacing w:after="0" w:line="259" w:lineRule="auto"/>
        <w:tabs>
          <w:tab w:leader="none" w:pos="3469"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Representative and the Administrative Agent on or prior to the date on which such Lender becomes a Lender under this Agreement (and from time to time thereafter upon the reasonable request of the Borrower Representative or the Administrative Agent), an executed copy of IRS Form W-9 certifying that such Lender is exempt from U.S. federal backup withholding tax;</w:t>
      </w:r>
    </w:p>
    <w:p>
      <w:pPr>
        <w:spacing w:after="0" w:line="186" w:lineRule="exact"/>
        <w:rPr>
          <w:rFonts w:ascii="Arial" w:cs="Arial" w:eastAsia="Arial" w:hAnsi="Arial"/>
          <w:sz w:val="18"/>
          <w:szCs w:val="18"/>
          <w:color w:val="auto"/>
        </w:rPr>
      </w:pPr>
    </w:p>
    <w:p>
      <w:pPr>
        <w:jc w:val="both"/>
        <w:ind w:left="1280" w:firstLine="1300"/>
        <w:spacing w:after="0" w:line="259" w:lineRule="auto"/>
        <w:tabs>
          <w:tab w:leader="none" w:pos="3459" w:val="left"/>
        </w:tabs>
        <w:numPr>
          <w:ilvl w:val="2"/>
          <w:numId w:val="87"/>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whichever of the following is applicable:</w:t>
      </w:r>
    </w:p>
    <w:p>
      <w:pPr>
        <w:spacing w:after="0" w:line="186" w:lineRule="exact"/>
        <w:rPr>
          <w:rFonts w:ascii="Arial" w:cs="Arial" w:eastAsia="Arial" w:hAnsi="Arial"/>
          <w:sz w:val="18"/>
          <w:szCs w:val="18"/>
          <w:color w:val="auto"/>
        </w:rPr>
      </w:pPr>
    </w:p>
    <w:p>
      <w:pPr>
        <w:jc w:val="both"/>
        <w:ind w:left="1940" w:firstLine="1288"/>
        <w:spacing w:after="0" w:line="273" w:lineRule="auto"/>
        <w:tabs>
          <w:tab w:leader="none" w:pos="4206" w:val="left"/>
        </w:tabs>
        <w:numPr>
          <w:ilvl w:val="3"/>
          <w:numId w:val="87"/>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Loan Document, an executed copy of IRS Form W-8BEN or IRS Form W-8BEN-E, as applicable, establishing an exemption from, or reduction of, U.S. federal withholding Tax pursuant to the “</w:t>
      </w:r>
      <w:r>
        <w:rPr>
          <w:rFonts w:ascii="Arial" w:cs="Arial" w:eastAsia="Arial" w:hAnsi="Arial"/>
          <w:sz w:val="17"/>
          <w:szCs w:val="17"/>
          <w:u w:val="single" w:color="auto"/>
          <w:color w:val="auto"/>
        </w:rPr>
        <w:t>interest</w:t>
      </w:r>
      <w:r>
        <w:rPr>
          <w:rFonts w:ascii="Arial" w:cs="Arial" w:eastAsia="Arial" w:hAnsi="Arial"/>
          <w:sz w:val="17"/>
          <w:szCs w:val="17"/>
          <w:color w:val="auto"/>
        </w:rPr>
        <w:t>” article of such tax treaty and (y) with respect to any other applicable payments under any Loan Document, IRS Form W-8BEN or IRS Form W-8BEN-E, as applicable, establishing an exemption from, or reduction of, U.S. Federal withholding Tax pursuant to the “</w:t>
      </w:r>
      <w:r>
        <w:rPr>
          <w:rFonts w:ascii="Arial" w:cs="Arial" w:eastAsia="Arial" w:hAnsi="Arial"/>
          <w:sz w:val="17"/>
          <w:szCs w:val="17"/>
          <w:u w:val="single" w:color="auto"/>
          <w:color w:val="auto"/>
        </w:rPr>
        <w:t>business profits</w:t>
      </w:r>
      <w:r>
        <w:rPr>
          <w:rFonts w:ascii="Arial" w:cs="Arial" w:eastAsia="Arial" w:hAnsi="Arial"/>
          <w:sz w:val="17"/>
          <w:szCs w:val="17"/>
          <w:color w:val="auto"/>
        </w:rPr>
        <w:t>” or “</w:t>
      </w:r>
      <w:r>
        <w:rPr>
          <w:rFonts w:ascii="Arial" w:cs="Arial" w:eastAsia="Arial" w:hAnsi="Arial"/>
          <w:sz w:val="17"/>
          <w:szCs w:val="17"/>
          <w:u w:val="single" w:color="auto"/>
          <w:color w:val="auto"/>
        </w:rPr>
        <w:t>other income</w:t>
      </w:r>
      <w:r>
        <w:rPr>
          <w:rFonts w:ascii="Arial" w:cs="Arial" w:eastAsia="Arial" w:hAnsi="Arial"/>
          <w:sz w:val="17"/>
          <w:szCs w:val="17"/>
          <w:color w:val="auto"/>
        </w:rPr>
        <w:t>” article of such tax treaty;</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2" w:name="page103"/>
    <w:bookmarkEnd w:id="102"/>
    <w:p>
      <w:pPr>
        <w:ind w:left="840" w:firstLine="1288"/>
        <w:spacing w:after="0" w:line="277" w:lineRule="auto"/>
        <w:tabs>
          <w:tab w:leader="none" w:pos="3106"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case of a Foreign Lender claiming that its extension of credit will generate U.S. effectively connected income, an executed copy of IRS Form W-8ECI;</w:t>
      </w:r>
    </w:p>
    <w:p>
      <w:pPr>
        <w:spacing w:after="0" w:line="170" w:lineRule="exact"/>
        <w:rPr>
          <w:rFonts w:ascii="Arial" w:cs="Arial" w:eastAsia="Arial" w:hAnsi="Arial"/>
          <w:sz w:val="18"/>
          <w:szCs w:val="18"/>
          <w:color w:val="auto"/>
        </w:rPr>
      </w:pPr>
    </w:p>
    <w:p>
      <w:pPr>
        <w:jc w:val="both"/>
        <w:ind w:left="840" w:firstLine="1288"/>
        <w:spacing w:after="0" w:line="255" w:lineRule="auto"/>
        <w:tabs>
          <w:tab w:leader="none" w:pos="3079" w:val="left"/>
        </w:tabs>
        <w:numPr>
          <w:ilvl w:val="1"/>
          <w:numId w:val="88"/>
        </w:numPr>
        <w:rPr>
          <w:rFonts w:ascii="Arial" w:cs="Arial" w:eastAsia="Arial" w:hAnsi="Arial"/>
          <w:sz w:val="18"/>
          <w:szCs w:val="18"/>
          <w:color w:val="auto"/>
        </w:rPr>
      </w:pPr>
      <w:r>
        <w:rPr>
          <w:rFonts w:ascii="Arial" w:cs="Arial" w:eastAsia="Arial" w:hAnsi="Arial"/>
          <w:sz w:val="18"/>
          <w:szCs w:val="18"/>
          <w:color w:val="auto"/>
        </w:rPr>
        <w:t>in the case of a Foreign Lender claiming the benefits of the exemption for portfolio interest under Section 881(c) of the Code, (x) a certificate in form and substance satisfactory to the Administrative Agent to the effect that such Foreign Lender is not a “</w:t>
      </w:r>
      <w:r>
        <w:rPr>
          <w:rFonts w:ascii="Arial" w:cs="Arial" w:eastAsia="Arial" w:hAnsi="Arial"/>
          <w:sz w:val="18"/>
          <w:szCs w:val="18"/>
          <w:u w:val="single" w:color="auto"/>
          <w:color w:val="auto"/>
        </w:rPr>
        <w:t>bank</w:t>
      </w:r>
      <w:r>
        <w:rPr>
          <w:rFonts w:ascii="Arial" w:cs="Arial" w:eastAsia="Arial" w:hAnsi="Arial"/>
          <w:sz w:val="18"/>
          <w:szCs w:val="18"/>
          <w:color w:val="auto"/>
        </w:rPr>
        <w:t>” within the meaning of Section 881(c)(3)(A) of the Code, a “</w:t>
      </w:r>
      <w:r>
        <w:rPr>
          <w:rFonts w:ascii="Arial" w:cs="Arial" w:eastAsia="Arial" w:hAnsi="Arial"/>
          <w:sz w:val="18"/>
          <w:szCs w:val="18"/>
          <w:u w:val="single" w:color="auto"/>
          <w:color w:val="auto"/>
        </w:rPr>
        <w:t>10 percent shareholder</w:t>
      </w:r>
      <w:r>
        <w:rPr>
          <w:rFonts w:ascii="Arial" w:cs="Arial" w:eastAsia="Arial" w:hAnsi="Arial"/>
          <w:sz w:val="18"/>
          <w:szCs w:val="18"/>
          <w:color w:val="auto"/>
        </w:rPr>
        <w:t>” of a Borrower within the meaning of Section 881(c)(3)(B) of the Code, or a “</w:t>
      </w:r>
      <w:r>
        <w:rPr>
          <w:rFonts w:ascii="Arial" w:cs="Arial" w:eastAsia="Arial" w:hAnsi="Arial"/>
          <w:sz w:val="18"/>
          <w:szCs w:val="18"/>
          <w:u w:val="single" w:color="auto"/>
          <w:color w:val="auto"/>
        </w:rPr>
        <w:t>controlled foreign corporation</w:t>
      </w:r>
      <w:r>
        <w:rPr>
          <w:rFonts w:ascii="Arial" w:cs="Arial" w:eastAsia="Arial" w:hAnsi="Arial"/>
          <w:sz w:val="18"/>
          <w:szCs w:val="18"/>
          <w:color w:val="auto"/>
        </w:rPr>
        <w:t>”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 (y) an executed copy of IRS Form W-8BEN or IRS Form W-8BEN-E, as applicable; or</w:t>
      </w:r>
    </w:p>
    <w:p>
      <w:pPr>
        <w:spacing w:after="0" w:line="192" w:lineRule="exact"/>
        <w:rPr>
          <w:rFonts w:ascii="Arial" w:cs="Arial" w:eastAsia="Arial" w:hAnsi="Arial"/>
          <w:sz w:val="18"/>
          <w:szCs w:val="18"/>
          <w:color w:val="auto"/>
        </w:rPr>
      </w:pPr>
    </w:p>
    <w:p>
      <w:pPr>
        <w:jc w:val="both"/>
        <w:ind w:left="840" w:firstLine="1288"/>
        <w:spacing w:after="0" w:line="254" w:lineRule="auto"/>
        <w:tabs>
          <w:tab w:leader="none" w:pos="3241" w:val="left"/>
        </w:tabs>
        <w:numPr>
          <w:ilvl w:val="1"/>
          <w:numId w:val="88"/>
        </w:numPr>
        <w:rPr>
          <w:rFonts w:ascii="Arial" w:cs="Arial" w:eastAsia="Arial" w:hAnsi="Arial"/>
          <w:sz w:val="18"/>
          <w:szCs w:val="18"/>
          <w:color w:val="auto"/>
        </w:rPr>
      </w:pPr>
      <w:r>
        <w:rPr>
          <w:rFonts w:ascii="Arial" w:cs="Arial" w:eastAsia="Arial" w:hAnsi="Arial"/>
          <w:sz w:val="18"/>
          <w:szCs w:val="18"/>
          <w:color w:val="auto"/>
        </w:rPr>
        <w:t>to the extent a Foreign Lender is not the beneficial owner, an executed copy of IRS Form W-8IMY, accompanied by IRS Form W-8ECI, IRS Form W-8BEN or IRS Form W-8BEN-E, as applicable, a U.S. Tax Compliance Certificate in form and substance satisfactory to the Administrative Agent,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in form and substance satisfactory to the Administrative Agent on behalf of each such direct and indirect partner;</w:t>
      </w:r>
    </w:p>
    <w:p>
      <w:pPr>
        <w:spacing w:after="0" w:line="194" w:lineRule="exact"/>
        <w:rPr>
          <w:rFonts w:ascii="Arial" w:cs="Arial" w:eastAsia="Arial" w:hAnsi="Arial"/>
          <w:sz w:val="18"/>
          <w:szCs w:val="18"/>
          <w:color w:val="auto"/>
        </w:rPr>
      </w:pPr>
    </w:p>
    <w:p>
      <w:pPr>
        <w:jc w:val="both"/>
        <w:ind w:left="180" w:firstLine="1300"/>
        <w:spacing w:after="0" w:line="254" w:lineRule="auto"/>
        <w:tabs>
          <w:tab w:leader="none" w:pos="2359"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Representative and the Administrative Agent (in such number of copies as shall be requested by the recipient) on or prior to the date on which such Foreign Lender becomes a Lender under this Agreement (and from time to time thereafter upon the reasonable request of the Borrower Representative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spacing w:after="0" w:line="194" w:lineRule="exact"/>
        <w:rPr>
          <w:rFonts w:ascii="Arial" w:cs="Arial" w:eastAsia="Arial" w:hAnsi="Arial"/>
          <w:sz w:val="18"/>
          <w:szCs w:val="18"/>
          <w:color w:val="auto"/>
        </w:rPr>
      </w:pPr>
    </w:p>
    <w:p>
      <w:pPr>
        <w:jc w:val="both"/>
        <w:ind w:left="180" w:firstLine="1300"/>
        <w:spacing w:after="0" w:line="285" w:lineRule="auto"/>
        <w:tabs>
          <w:tab w:leader="none" w:pos="2477"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Representative and the Administrative Agent at the time or times prescribed by law and at such time or times reasonably requested by the Borrower Representative or the Administrative Agent such documentation prescribed by applicable law (including as prescribed by Section 1471(b)</w:t>
      </w:r>
    </w:p>
    <w:p>
      <w:pPr>
        <w:spacing w:after="0" w:line="1" w:lineRule="exact"/>
        <w:rPr>
          <w:rFonts w:ascii="Arial" w:cs="Arial" w:eastAsia="Arial" w:hAnsi="Arial"/>
          <w:sz w:val="16"/>
          <w:szCs w:val="16"/>
          <w:color w:val="auto"/>
        </w:rPr>
      </w:pPr>
    </w:p>
    <w:p>
      <w:pPr>
        <w:jc w:val="both"/>
        <w:ind w:left="180"/>
        <w:spacing w:after="0" w:line="253" w:lineRule="auto"/>
        <w:rPr>
          <w:rFonts w:ascii="Arial" w:cs="Arial" w:eastAsia="Arial" w:hAnsi="Arial"/>
          <w:sz w:val="16"/>
          <w:szCs w:val="16"/>
          <w:color w:val="auto"/>
        </w:rPr>
      </w:pPr>
      <w:r>
        <w:rPr>
          <w:rFonts w:ascii="Arial" w:cs="Arial" w:eastAsia="Arial" w:hAnsi="Arial"/>
          <w:sz w:val="18"/>
          <w:szCs w:val="18"/>
          <w:color w:val="auto"/>
        </w:rPr>
        <w:t>(3)(C)(i) of the Code) and such additional documentation reasonably requested by the Borrower Representative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(D), “</w:t>
      </w:r>
      <w:r>
        <w:rPr>
          <w:rFonts w:ascii="Arial" w:cs="Arial" w:eastAsia="Arial" w:hAnsi="Arial"/>
          <w:sz w:val="18"/>
          <w:szCs w:val="18"/>
          <w:u w:val="single" w:color="auto"/>
          <w:color w:val="auto"/>
        </w:rPr>
        <w:t>FATCA</w:t>
      </w:r>
      <w:r>
        <w:rPr>
          <w:rFonts w:ascii="Arial" w:cs="Arial" w:eastAsia="Arial" w:hAnsi="Arial"/>
          <w:sz w:val="18"/>
          <w:szCs w:val="18"/>
          <w:color w:val="auto"/>
        </w:rPr>
        <w:t>” shall include any amendments made to FATCA after the date of this Agreement.</w:t>
      </w:r>
    </w:p>
    <w:p>
      <w:pPr>
        <w:spacing w:after="0" w:line="2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800" w:right="339" w:bottom="1440" w:gutter="0" w:footer="0" w:header="0"/>
        </w:sectPr>
      </w:pPr>
    </w:p>
    <w:bookmarkStart w:id="103" w:name="page104"/>
    <w:bookmarkEnd w:id="103"/>
    <w:p>
      <w:pPr>
        <w:ind w:firstLine="648"/>
        <w:spacing w:after="0" w:line="308" w:lineRule="auto"/>
        <w:rPr>
          <w:sz w:val="20"/>
          <w:szCs w:val="20"/>
          <w:color w:val="auto"/>
        </w:rPr>
      </w:pPr>
      <w:r>
        <w:rPr>
          <w:rFonts w:ascii="Arial" w:cs="Arial" w:eastAsia="Arial" w:hAnsi="Arial"/>
          <w:sz w:val="17"/>
          <w:szCs w:val="17"/>
          <w:color w:val="auto"/>
        </w:rPr>
        <w:t>Each Lender agrees that if any form or certification it previously delivered expires or becomes obsolete or inaccurate in any respect, it shall update such form or certification or promptly notify the Borrower Representative and the Administrative Agent in writing of its legal inability to do so.</w:t>
      </w:r>
    </w:p>
    <w:p>
      <w:pPr>
        <w:spacing w:after="0" w:line="146" w:lineRule="exact"/>
        <w:rPr>
          <w:sz w:val="20"/>
          <w:szCs w:val="20"/>
          <w:color w:val="auto"/>
        </w:rPr>
      </w:pPr>
    </w:p>
    <w:p>
      <w:pPr>
        <w:jc w:val="both"/>
        <w:ind w:firstLine="1304"/>
        <w:spacing w:after="0" w:line="268" w:lineRule="auto"/>
        <w:tabs>
          <w:tab w:leader="none" w:pos="2360"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w:t>
      </w:r>
      <w:r>
        <w:rPr>
          <w:rFonts w:ascii="Arial" w:cs="Arial" w:eastAsia="Arial" w:hAnsi="Arial"/>
          <w:sz w:val="17"/>
          <w:szCs w:val="17"/>
          <w:i w:val="1"/>
          <w:iCs w:val="1"/>
          <w:u w:val="single" w:color="auto"/>
          <w:color w:val="auto"/>
        </w:rPr>
        <w:t>plus</w:t>
      </w:r>
      <w:r>
        <w:rPr>
          <w:rFonts w:ascii="Arial" w:cs="Arial" w:eastAsia="Arial" w:hAnsi="Arial"/>
          <w:sz w:val="17"/>
          <w:szCs w:val="17"/>
          <w:color w:val="auto"/>
        </w:rPr>
        <w:t xml:space="preserve">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paragraph (g) shall not be construed to require any indemnified party to make available its Tax returns (or any other information relating to its Taxes that it deems confidential) to the indemnifying party or any other Person.</w:t>
      </w:r>
    </w:p>
    <w:p>
      <w:pPr>
        <w:spacing w:after="0" w:line="186" w:lineRule="exact"/>
        <w:rPr>
          <w:rFonts w:ascii="Arial" w:cs="Arial" w:eastAsia="Arial" w:hAnsi="Arial"/>
          <w:sz w:val="17"/>
          <w:szCs w:val="17"/>
          <w:color w:val="auto"/>
        </w:rPr>
      </w:pPr>
    </w:p>
    <w:p>
      <w:pPr>
        <w:jc w:val="both"/>
        <w:ind w:firstLine="1304"/>
        <w:spacing w:after="0" w:line="263" w:lineRule="auto"/>
        <w:tabs>
          <w:tab w:leader="none" w:pos="2455"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Each party’s obligations under this Section shall survive the resignation or replacement of the Administrative Agent or any assignment of rights by, or the replacement of, a Lender, the termination of the Revolving Commitments and the repayment, satisfaction or discharge of all obligations under any Loan Document (including Payment in Full of the Secured Obligations).</w:t>
      </w:r>
    </w:p>
    <w:p>
      <w:pPr>
        <w:spacing w:after="0" w:line="183" w:lineRule="exact"/>
        <w:rPr>
          <w:rFonts w:ascii="Arial" w:cs="Arial" w:eastAsia="Arial" w:hAnsi="Arial"/>
          <w:sz w:val="18"/>
          <w:szCs w:val="18"/>
          <w:color w:val="auto"/>
        </w:rPr>
      </w:pPr>
    </w:p>
    <w:p>
      <w:pPr>
        <w:ind w:left="2240" w:hanging="936"/>
        <w:spacing w:after="0"/>
        <w:tabs>
          <w:tab w:leader="none" w:pos="224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For purposes of this Section 2.17, the term “</w:t>
      </w:r>
      <w:r>
        <w:rPr>
          <w:rFonts w:ascii="Arial" w:cs="Arial" w:eastAsia="Arial" w:hAnsi="Arial"/>
          <w:sz w:val="18"/>
          <w:szCs w:val="18"/>
          <w:u w:val="single" w:color="auto"/>
          <w:color w:val="auto"/>
        </w:rPr>
        <w:t>applicable law</w:t>
      </w:r>
      <w:r>
        <w:rPr>
          <w:rFonts w:ascii="Arial" w:cs="Arial" w:eastAsia="Arial" w:hAnsi="Arial"/>
          <w:sz w:val="18"/>
          <w:szCs w:val="18"/>
          <w:color w:val="auto"/>
        </w:rPr>
        <w:t>” includes FATCA.</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Payments Generally; Allocation of Proceeds; Sharing of Setoffs</w:t>
      </w:r>
      <w:r>
        <w:rPr>
          <w:rFonts w:ascii="Arial" w:cs="Arial" w:eastAsia="Arial" w:hAnsi="Arial"/>
          <w:sz w:val="16"/>
          <w:szCs w:val="16"/>
          <w:color w:val="auto"/>
        </w:rPr>
        <w:t>. (a) The Borrowers shall make each payment or prepayment required to be made by them hereunder (whether of principal, interest, fees or reimbursement of LC Disbursements, or of amounts payable under Section 2.15, 2.16 or 2.17, or otherwise) prior to 2:00 p.m., Pacific time, on the date when due or the date fixed for any prepayment hereunder, in immediately available funds, without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at its offices at 10 South Dearborn Street, Floor L2, Chicago, Illinois, except payments to be made directly to the Issuing Bank or Swingline Lender as expressly provided herein and except that payments pursuant to Sections 2.15, 2.16, 2.17 and 9.03 shall be made directly to the Persons entitled thereto. The Administrative Agent shall distribute any such payments received by it for the account of any other Person to the appropriate recipient promptly following receipt thereof. Unless otherwise provided for herein,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4" w:name="page105"/>
    <w:bookmarkEnd w:id="104"/>
    <w:p>
      <w:pPr>
        <w:jc w:val="both"/>
        <w:ind w:left="-20" w:firstLine="1304"/>
        <w:spacing w:after="0" w:line="284" w:lineRule="auto"/>
        <w:tabs>
          <w:tab w:leader="none" w:pos="2286" w:val="left"/>
        </w:tabs>
        <w:numPr>
          <w:ilvl w:val="0"/>
          <w:numId w:val="91"/>
        </w:numPr>
        <w:rPr>
          <w:rFonts w:ascii="Arial" w:cs="Arial" w:eastAsia="Arial" w:hAnsi="Arial"/>
          <w:sz w:val="16"/>
          <w:szCs w:val="16"/>
          <w:color w:val="auto"/>
        </w:rPr>
      </w:pPr>
      <w:r>
        <w:rPr>
          <w:rFonts w:ascii="Arial" w:cs="Arial" w:eastAsia="Arial" w:hAnsi="Arial"/>
          <w:sz w:val="16"/>
          <w:szCs w:val="16"/>
          <w:color w:val="auto"/>
        </w:rPr>
        <w:t>All payments and any proceeds of Collateral received by the Administrative Agent (i) not constituting either (A) a specific payment of principal, interest, fees or other sum payable under the Loan Documents (which shall be applied as specified by the Borrowers), (B) a mandatory prepayment (which shall be applied in accordance with Section 2.11) or (C) amounts to be applied from the Collection Account during any Cash Dominion Period (which shall be applied in accordance with Section 2.10(b)) or (ii) after an Event of Default has occurred and is continuing and the Administrative Agent so elects or the Required Lenders so direct, shall be applied ratably first, to pay any fees, indemnities, or expense reimbursements then due to the Administrative Agent and the Issuing Bank from the Borrowers (other than in connection with Banking Services Obligations or Swap Agreement Obligations), second, to pay any fees, indemnities, or expense reimbursements then due to the Lenders from the Borrowers (other than in connection with Banking Services Obligations or Swap Agreement Obligations), third, to pay interest due in respect of the Overadvances and Protective Advances, fourth, to pay the principal of the Overadvances and Protective Advances, fifth, to pay interest then due and payable on the Loans (other than the Overadvances and Protective Advances) ratably, sixth, to prepay principal on the Loans (other than the Overadvances and Protective Advances) and unreimbursed LC Disbursements, seventh, to pay an amount to the Administrative Agent equal to one hundred five percent (105%) of the aggregate LC Exposure, to be held as cash collateral for such Obligations, eighth, to pay any amounts owing in respect of Swap Agreement Obligations up to and including the amount most recently provided to the Administrative Agent pursuant to Section 2.22, for which Reserves have been established, ninth, to payment of any amounts owing in respect of Banking Services Obligations and Swap Agreement Obligations up to and including the amount most recently provided to the Administrative Agent pursuant to Section 2.22 and to the extent not paid pursuant to clause eighth above, and tenth, to the payment of any other Secured Obligation due to the Administrative Agent or any Lender by the Borrowers. Notwithstanding the foregoing, amounts received from any Loan Party shall not be applied to any Excluded Swap Obligation of such Loan Party. Notwithstanding anything to the contrary contained in this Agreement, unless so directed by the Borrower Representative, or unless a Default is in existence, neither the Administrative Agent nor any Lender shall apply any payment which it receives to any Eurodollar Loan of a Class, except (a) on the expiration date of the Interest Period applicable thereto or (b) in the event, and only to the extent, that there are no outstanding CBFR Loans of the same Class and, in any such event, the Borrowers shall pay the break funding payment required in accordance with Section 2.16. The Administrative Agent and the Lenders shall have the continuing and exclusive right to apply and reverse and reapply any and all such proceeds and payments to any portion of the Secured Obligations.</w:t>
      </w:r>
    </w:p>
    <w:p>
      <w:pPr>
        <w:spacing w:after="0" w:line="178" w:lineRule="exact"/>
        <w:rPr>
          <w:rFonts w:ascii="Arial" w:cs="Arial" w:eastAsia="Arial" w:hAnsi="Arial"/>
          <w:sz w:val="16"/>
          <w:szCs w:val="16"/>
          <w:color w:val="auto"/>
        </w:rPr>
      </w:pPr>
    </w:p>
    <w:p>
      <w:pPr>
        <w:jc w:val="both"/>
        <w:ind w:left="-20" w:firstLine="1304"/>
        <w:spacing w:after="0" w:line="288" w:lineRule="auto"/>
        <w:tabs>
          <w:tab w:leader="none" w:pos="25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At the election of the Administrative Agent, all payments of principal, interest, LC Disbursements, fees, premiums, reimbursable expenses (including, without limitation, all reimbursement for fees, costs and expenses pursuant to Section 9.03), and other sums payable under the Loan Documents, may be paid from the proceeds of Borrowings made hereunder whether made following a request by the Borrower Representative pursuant to Section 2.03 or a deemed request as provided in this Section or may be deducted from any deposit account of any Borrower maintained with the Administrative Agent. The Borrowers hereby irrevocably authorize (i) the Administrative Agent to make a Borrowing for the purpose of paying each payment of principal, interest and fees as it becomes due hereunder or any other amount due under the Loan Documents and agrees that all such amounts charged shall constitute Loans (including Swingline Loans and Overadvances, but such a Borrowing may only constitute a Protective Advance if it is to reimburse costs, fees and expenses as described in Section 9.03) and that all such Borrowings shall be deemed to have been requested pursuant to Section 2.03, 2.04 or 2.05, as applicable, and (ii) the Administrative Agent to charge any deposit account of any Borrower maintained with the Administrative Agent for each payment of principal, interest and fees as it becomes due hereunder or any other amount due under the Loan Documents.</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5" w:name="page106"/>
    <w:bookmarkEnd w:id="105"/>
    <w:p>
      <w:pPr>
        <w:jc w:val="both"/>
        <w:ind w:left="-20" w:firstLine="1304"/>
        <w:spacing w:after="0" w:line="268" w:lineRule="auto"/>
        <w:tabs>
          <w:tab w:leader="none" w:pos="2408"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except as otherwise expressly provided herein, any Lender shall, by exercising any right of setoff or counterclaim or otherwise, obtain payment in respect of any principal of or interest on any of its Loans or participations in LC Disbursements resulting in such Lender receiving payment of a greater proportion of the aggregate amount of its Loans and participations in LC Disbursements and Swingline Loans and accrued interest thereon than the proportion received by any other similarly situated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all such Lenders ratably in accordance with the aggregate amount of principal of and accrued interest on their respective Loans and participations in LC Disbursements and Swingline Loans; provided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or any payment obtained by a Lender as consideration for the assignment of or sale of a participation in any of its Loans or participations in LC Disbursements or Swingline Loans to any assignee or participant, other than to the Borrowers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81" w:lineRule="exact"/>
        <w:rPr>
          <w:rFonts w:ascii="Arial" w:cs="Arial" w:eastAsia="Arial" w:hAnsi="Arial"/>
          <w:sz w:val="17"/>
          <w:szCs w:val="17"/>
          <w:color w:val="auto"/>
        </w:rPr>
      </w:pPr>
    </w:p>
    <w:p>
      <w:pPr>
        <w:jc w:val="both"/>
        <w:ind w:left="-20" w:firstLine="1304"/>
        <w:spacing w:after="0" w:line="289" w:lineRule="auto"/>
        <w:tabs>
          <w:tab w:leader="none" w:pos="2290" w:val="left"/>
        </w:tabs>
        <w:numPr>
          <w:ilvl w:val="0"/>
          <w:numId w:val="92"/>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prior to any date on which any payment is due to the Administrative Agent for the account of the Lenders or the Issuing Bank pursuant to the terms hereof or any other Loan Document (including any date that is fixed for prepayment by notice from the Borrower Representative to the Administrative Agent pursuant to Section 2.11(e)), notice from the Borrower Representative that the Borrowers will not make such payment or prepayment, the Administrative Agent may assume that the Borrowers have made such payment on such date in accordance herewith and may, in reliance upon such assumption, distribute to the Lenders or the Issuing Bank, as the case may be, the amount due. In such event, if the Borrowers have not in fact made such payment, then each of the Lenders or the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NYFRB Rate and a rate determined by the Administrative Agent in accordance with banking industry rules on interbank compensation.</w:t>
      </w:r>
    </w:p>
    <w:p>
      <w:pPr>
        <w:spacing w:after="0" w:line="166" w:lineRule="exact"/>
        <w:rPr>
          <w:rFonts w:ascii="Arial" w:cs="Arial" w:eastAsia="Arial" w:hAnsi="Arial"/>
          <w:sz w:val="16"/>
          <w:szCs w:val="16"/>
          <w:color w:val="auto"/>
        </w:rPr>
      </w:pPr>
    </w:p>
    <w:p>
      <w:pPr>
        <w:jc w:val="both"/>
        <w:ind w:left="-20" w:firstLine="1304"/>
        <w:spacing w:after="0" w:line="291" w:lineRule="auto"/>
        <w:tabs>
          <w:tab w:leader="none" w:pos="2247"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Administrative Agent may from time to time provide the Borrowers with account statements or invoices with respect to any of the Secured Obligations (the “</w:t>
      </w:r>
      <w:r>
        <w:rPr>
          <w:rFonts w:ascii="Arial" w:cs="Arial" w:eastAsia="Arial" w:hAnsi="Arial"/>
          <w:sz w:val="16"/>
          <w:szCs w:val="16"/>
          <w:u w:val="single" w:color="auto"/>
          <w:color w:val="auto"/>
        </w:rPr>
        <w:t>Statements</w:t>
      </w:r>
      <w:r>
        <w:rPr>
          <w:rFonts w:ascii="Arial" w:cs="Arial" w:eastAsia="Arial" w:hAnsi="Arial"/>
          <w:sz w:val="16"/>
          <w:szCs w:val="16"/>
          <w:color w:val="auto"/>
        </w:rPr>
        <w:t>”). The Administrative Agent is under no duty or obligation to provide Statements, which, if provided, will be solely for the Borrowers’ convenience. Statements may contain estimates of the amounts owed during the relevant billing period, whether of principal, interest, fees or other Secured Obligations. If the Borrowers pay the full amount indicated on a Statement on or before the due date indicated on such Statement, the Borrowers shall not be in default of payment with respect to the billing period indicated on such Statement; provided, that acceptance by the Administrative Agent, on behalf of the Lenders, of any payment that is less than the total amount actually due at that time (including but not limited to any past due amounts) shall not constitute a waiver of the Administrative Agent’s or the Lenders’ right to receive payment in full at another time.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6" w:name="page107"/>
    <w:bookmarkEnd w:id="106"/>
    <w:p>
      <w:pPr>
        <w:ind w:left="66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2" w:lineRule="auto"/>
        <w:tabs>
          <w:tab w:leader="none" w:pos="231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If any Lender requests compensation under Section 2.15, or if the Borrowers are required to pay any Indemnified Taxes or additional amounts to any Lender or any Governmental Authority for the account of any Lender pursuant to Section 2.17, then such Lender shall use reasonable efforts to designate a different lending office for funding or booking its Loans hereunder or to assign its rights and obligations hereunder to another of its offices, branches or affiliates, if, in the business judgment of such Lender, such designation or assignment (i) would eliminate or reduce amounts payable pursuant to Section 2.15 or 2.17,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77" w:lineRule="exact"/>
        <w:rPr>
          <w:rFonts w:ascii="Arial" w:cs="Arial" w:eastAsia="Arial" w:hAnsi="Arial"/>
          <w:sz w:val="17"/>
          <w:szCs w:val="17"/>
          <w:color w:val="auto"/>
        </w:rPr>
      </w:pPr>
    </w:p>
    <w:p>
      <w:pPr>
        <w:jc w:val="both"/>
        <w:ind w:firstLine="1304"/>
        <w:spacing w:after="0" w:line="284" w:lineRule="auto"/>
        <w:tabs>
          <w:tab w:leader="none" w:pos="2306"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any Lender requests compensation under Section 2.15, or if the Borrowers are required to pay any Indemnified Taxes or additional amounts to any Lender or any Governmental Authority for the account of any Lender pursuant to Section 2.17, or if any Lender becomes a Defaulting Lender, then the Borrowers may, at their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2.15 or 2.17) and obligations under this Agreement and other Loan Documents to an assignee that shall assume such obligations (which assignee may be another Lender, if a Lender accepts such assignment); provided that (i) the Borrowers shall have received the prior written consent of the Administrative Agent (and in circumstances where its consent would be required under Section 9.04, the Issuing Bank and the Swingline Lender), which consent shall not unreasonably be withheld, delayed, or conditioned, (ii) such Lender shall have received payment of an amount equal to the outstanding principal of its Loans and funded participations in LC Disbursements and Swingline Loans, accrued interest thereon, accrued fees and all other amounts payable to it hereunder, from the assignee (to the extent of such outstanding principal and accrued interest and fees) or the Borrowers (in the case of all other amounts) and (iii) in the case of any such assignment resulting from a claim for compensation under Section 2.15 or payments required to be made pursuant to Section 2.17, such assignment will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Each party hereto agrees that (x)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(y) the Lender required to make such assignment need not be a party thereto in order for such assignment to be effective and shall be deemed to have consented to an be bound by the terms thereof; provided that, following the effectiveness of any such assignment, the other parties to such assignment agree to execute and deliver such documents necessary to evidence such assignment as reasonably requested by the applicable Lender, provided that any such documents shall be without recourse to or warranty by the parties thereto.</w:t>
      </w:r>
    </w:p>
    <w:p>
      <w:pPr>
        <w:spacing w:after="0" w:line="18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2.20.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170" w:lineRule="exact"/>
        <w:rPr>
          <w:sz w:val="20"/>
          <w:szCs w:val="20"/>
          <w:color w:val="auto"/>
        </w:rPr>
      </w:pPr>
    </w:p>
    <w:p>
      <w:pPr>
        <w:ind w:left="2400" w:hanging="1096"/>
        <w:spacing w:after="0"/>
        <w:tabs>
          <w:tab w:leader="none" w:pos="24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fees shall cease to accrue on the unfunded portion of the Revolving Commitment of such Defaulting Lender pursuant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2.12(a);</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7" w:name="page108"/>
    <w:bookmarkEnd w:id="107"/>
    <w:p>
      <w:pPr>
        <w:jc w:val="both"/>
        <w:ind w:left="-20" w:firstLine="1304"/>
        <w:spacing w:after="0" w:line="284" w:lineRule="auto"/>
        <w:tabs>
          <w:tab w:leader="none" w:pos="2435" w:val="left"/>
        </w:tabs>
        <w:numPr>
          <w:ilvl w:val="0"/>
          <w:numId w:val="95"/>
        </w:numPr>
        <w:rPr>
          <w:rFonts w:ascii="Arial" w:cs="Arial" w:eastAsia="Arial" w:hAnsi="Arial"/>
          <w:sz w:val="16"/>
          <w:szCs w:val="16"/>
          <w:color w:val="auto"/>
        </w:rPr>
      </w:pPr>
      <w:r>
        <w:rPr>
          <w:rFonts w:ascii="Arial" w:cs="Arial" w:eastAsia="Arial" w:hAnsi="Arial"/>
          <w:sz w:val="16"/>
          <w:szCs w:val="16"/>
          <w:color w:val="auto"/>
        </w:rPr>
        <w:t>any payment of principal, interest, fees or other amounts received by the Administrative Agent for the account of such Defaulting Lender (whether voluntary or mandatory, at maturity, pursuant to Section 2.18(b) or otherwise) or received by the Administrative Agent from a Defaulting Lender pursuant to Section 9.08 shall be applied at such time or times as may be determined by the Administrative Agent as follows: first, to the payment of any amounts owing by such Defaulting Lender to the Administrative Agent hereunder; second, to the payment on a pro rata basis of any amounts owing by such Defaulting Lender to any Issuing Bank or Swingline Lender hereunder; third, to cash collateralize the LC Exposure with respect to such Defaulting Lender in accordance with this Section; fourth, as the Borrower Representative may request (so long as no Default or Event of Default exists), to the funding of any Loan in respect of which such Defaulting Lender has failed to fund its portion thereof as required by this Agreement, as determined by the Administrative Agent; fifth, if so determined by the Administrative Agent and the Borrower Representative, to be held in a deposit account and released pro rata in order to (x) satisfy such Defaulting Lender’s potential future funding obligations with respect to Loans under this Agreement and (y) cash collateralize future LC Exposure with respect to such Defaulting Lender with respect to future Letters of Credit issued under this Agreement, in accordance with this Section; sixth, to the payment of any amounts owing to the Lenders, the Issuing Banks or Swingline Lender as a result of any judgment of a court of competent jurisdiction obtained by any Lender, the Issuing Banks or Swingline Lender against such Defaulting Lender as a result of such Defaulting Lender’s breach of its obligations under this Agreement or under any other Loan Document; seventh, so long as no Default or Event of Default exists, to the payment of any amounts owing to the Borrowers as a result of any judgment of a court of competent jurisdiction obtained by any Borrower against such Defaulting Lender as a result of such Defaulting Lender’s breach of its obligations under this Agreement or under any other Loan Document; and eighth, to such Defaulting Lender or as otherwise directed by a court of competent jurisdiction; provided that if (x) such payment is a payment of the principal amount of any Loans or LC Disbursements in respect of which such Defaulting Lender has not fully funded its appropriate share, and (y) such Loans were made or the related Letters of Credit were issued at a time when the conditions set forth in Section 4.02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the Borrowers’ obligations corresponding to such Defaulting Lender’s LC Exposure and Swingline Loans are held by the Lenders pro rata in accordance with the Revolving Commitments without giving effect to clause (d) below. Any payments, prepayments or other amounts paid or payable to a Defaulting Lender that are applied (or held) to pay amounts owed by a Defaulting Lender or to post cash collateral pursuant to this Section shall be deemed paid to and redirected by such Defaulting Lender, and each Lender irrevocably consents hereto;</w:t>
      </w:r>
    </w:p>
    <w:p>
      <w:pPr>
        <w:spacing w:after="0" w:line="174" w:lineRule="exact"/>
        <w:rPr>
          <w:rFonts w:ascii="Arial" w:cs="Arial" w:eastAsia="Arial" w:hAnsi="Arial"/>
          <w:sz w:val="16"/>
          <w:szCs w:val="16"/>
          <w:color w:val="auto"/>
        </w:rPr>
      </w:pPr>
    </w:p>
    <w:p>
      <w:pPr>
        <w:jc w:val="both"/>
        <w:ind w:left="-20" w:firstLine="1304"/>
        <w:spacing w:after="0" w:line="255" w:lineRule="auto"/>
        <w:tabs>
          <w:tab w:leader="none" w:pos="2344"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Defaulting Lender shall not have the right to vote on any issue on which voting is required (other than to the extent expressly provided in Section 9.02(b)) and the Revolving Commitment and Revolving Exposure of such Defaulting Lender shall not be included in determining whether the Required Lenders have taken or may take any action hereunder (including any consent to any amendment, waiver or other modification pursuant to Section 9.02) or under any other Loan Document; provided, that, except as otherwise provided in Section 9.02, this clause (c) shall not apply to the vote of a Defaulting Lender in the case of an amendment, waiver or other modification requiring the consent of such Lender or each Lender directly affected thereby;</w:t>
      </w:r>
    </w:p>
    <w:p>
      <w:pPr>
        <w:spacing w:after="0" w:line="192" w:lineRule="exact"/>
        <w:rPr>
          <w:rFonts w:ascii="Arial" w:cs="Arial" w:eastAsia="Arial" w:hAnsi="Arial"/>
          <w:sz w:val="18"/>
          <w:szCs w:val="18"/>
          <w:color w:val="auto"/>
        </w:rPr>
      </w:pPr>
    </w:p>
    <w:p>
      <w:pPr>
        <w:ind w:left="2220" w:hanging="936"/>
        <w:spacing w:after="0"/>
        <w:tabs>
          <w:tab w:leader="none" w:pos="2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any Swingline Exposure or LC Exposure exists at the time such Lender becomes a Defaulting Lender then:</w:t>
      </w:r>
    </w:p>
    <w:p>
      <w:pPr>
        <w:spacing w:after="0" w:line="225" w:lineRule="exact"/>
        <w:rPr>
          <w:rFonts w:ascii="Arial" w:cs="Arial" w:eastAsia="Arial" w:hAnsi="Arial"/>
          <w:sz w:val="18"/>
          <w:szCs w:val="18"/>
          <w:color w:val="auto"/>
        </w:rPr>
      </w:pPr>
    </w:p>
    <w:p>
      <w:pPr>
        <w:jc w:val="both"/>
        <w:ind w:left="640" w:firstLine="1292"/>
        <w:spacing w:after="0" w:line="286" w:lineRule="auto"/>
        <w:tabs>
          <w:tab w:leader="none" w:pos="2951" w:val="left"/>
        </w:tabs>
        <w:numPr>
          <w:ilvl w:val="1"/>
          <w:numId w:val="95"/>
        </w:numPr>
        <w:rPr>
          <w:rFonts w:ascii="Arial" w:cs="Arial" w:eastAsia="Arial" w:hAnsi="Arial"/>
          <w:sz w:val="17"/>
          <w:szCs w:val="17"/>
          <w:color w:val="auto"/>
        </w:rPr>
      </w:pPr>
      <w:r>
        <w:rPr>
          <w:rFonts w:ascii="Arial" w:cs="Arial" w:eastAsia="Arial" w:hAnsi="Arial"/>
          <w:sz w:val="17"/>
          <w:szCs w:val="17"/>
          <w:color w:val="auto"/>
        </w:rPr>
        <w:t>all or any part of the Swingline Exposure and LC Exposure of such Defaulting Lender shall be reallocated among the non-Defaulting Lenders in accordance with their respective Applicable Percentages but only to the extent that such reallocation does not, as to any non-Defaulting Lender, cause such non-Defaulting Lender’s Revolving Exposure to exceed its Revolving Commitment;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08" w:name="page109"/>
    <w:bookmarkEnd w:id="108"/>
    <w:p>
      <w:pPr>
        <w:jc w:val="both"/>
        <w:ind w:left="660" w:firstLine="1292"/>
        <w:spacing w:after="0" w:line="257" w:lineRule="auto"/>
        <w:tabs>
          <w:tab w:leader="none" w:pos="2877"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Borrowers shall within one (1) Business Day following notice by the Administrative Agent (x) first, prepay such Swingline Exposure and (y) second, cash collateralize, for the benefit of the Issuing Bank, the Borrowers’ obligations corresponding to such Defaulting Lender’s LC Exposure (after giving effect to any partial reallocation pursuant to clause (i) above) in accordance with the procedures set forth in Section 2.06(j) for so long as such LC Exposure is outstanding;</w:t>
      </w:r>
    </w:p>
    <w:p>
      <w:pPr>
        <w:spacing w:after="0" w:line="187" w:lineRule="exact"/>
        <w:rPr>
          <w:rFonts w:ascii="Arial" w:cs="Arial" w:eastAsia="Arial" w:hAnsi="Arial"/>
          <w:sz w:val="18"/>
          <w:szCs w:val="18"/>
          <w:color w:val="auto"/>
        </w:rPr>
      </w:pPr>
    </w:p>
    <w:p>
      <w:pPr>
        <w:jc w:val="both"/>
        <w:ind w:left="660" w:firstLine="1292"/>
        <w:spacing w:after="0" w:line="263" w:lineRule="auto"/>
        <w:tabs>
          <w:tab w:leader="none" w:pos="30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Borrowers cash collateralize any portion of such Defaulting Lender’s LC Exposure pursuant to clause (ii) above, the Borrowers shall not be required to pay any fees to such Defaulting Lender pursuant to Section 2.12(b) with respect to such Defaulting Lender’s LC Exposure during the period such Defaulting Lender’s LC Exposure is cash collateralized;</w:t>
      </w:r>
    </w:p>
    <w:p>
      <w:pPr>
        <w:spacing w:after="0" w:line="183" w:lineRule="exact"/>
        <w:rPr>
          <w:rFonts w:ascii="Arial" w:cs="Arial" w:eastAsia="Arial" w:hAnsi="Arial"/>
          <w:sz w:val="18"/>
          <w:szCs w:val="18"/>
          <w:color w:val="auto"/>
        </w:rPr>
      </w:pPr>
    </w:p>
    <w:p>
      <w:pPr>
        <w:jc w:val="both"/>
        <w:ind w:left="660" w:right="20" w:firstLine="1292"/>
        <w:spacing w:after="0" w:line="263" w:lineRule="auto"/>
        <w:tabs>
          <w:tab w:leader="none" w:pos="2913"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the LC Exposure of the non-Defaulting Lenders is reallocated pursuant to clause (i) above, then the fees payable to the Lenders pursuant to Sections 2.12(a) and 2.12(b) shall be adjusted in accordance with such non-Defaulting Lenders’ Applicable Percentages; and</w:t>
      </w:r>
    </w:p>
    <w:p>
      <w:pPr>
        <w:spacing w:after="0" w:line="183" w:lineRule="exact"/>
        <w:rPr>
          <w:rFonts w:ascii="Arial" w:cs="Arial" w:eastAsia="Arial" w:hAnsi="Arial"/>
          <w:sz w:val="18"/>
          <w:szCs w:val="18"/>
          <w:color w:val="auto"/>
        </w:rPr>
      </w:pPr>
    </w:p>
    <w:p>
      <w:pPr>
        <w:jc w:val="both"/>
        <w:ind w:left="660" w:firstLine="1292"/>
        <w:spacing w:after="0" w:line="259" w:lineRule="auto"/>
        <w:tabs>
          <w:tab w:leader="none" w:pos="2885" w:val="left"/>
        </w:tabs>
        <w:numPr>
          <w:ilvl w:val="1"/>
          <w:numId w:val="96"/>
        </w:numPr>
        <w:rPr>
          <w:rFonts w:ascii="Arial" w:cs="Arial" w:eastAsia="Arial" w:hAnsi="Arial"/>
          <w:sz w:val="18"/>
          <w:szCs w:val="18"/>
          <w:color w:val="auto"/>
        </w:rPr>
      </w:pPr>
      <w:r>
        <w:rPr>
          <w:rFonts w:ascii="Arial" w:cs="Arial" w:eastAsia="Arial" w:hAnsi="Arial"/>
          <w:sz w:val="18"/>
          <w:szCs w:val="18"/>
          <w:color w:val="auto"/>
        </w:rPr>
        <w:t>if all or any portion of such Defaulting Lender’s LC Exposure is neither reallocated nor cash collateralized pursuant to clause (i) or (ii) above, then, without prejudice to any rights or remedies of the Issuing Bank or any other Lender hereunder, all letter of credit fees payable under Section 2.12(b) with respect to such Defaulting Lender’s LC Exposure shall be payable to the Issuing Bank until and to the extent that such LC Exposure is reallocated and/or cash collateralized; and</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404" w:val="left"/>
        </w:tabs>
        <w:numPr>
          <w:ilvl w:val="0"/>
          <w:numId w:val="97"/>
        </w:numPr>
        <w:rPr>
          <w:rFonts w:ascii="Arial" w:cs="Arial" w:eastAsia="Arial" w:hAnsi="Arial"/>
          <w:sz w:val="18"/>
          <w:szCs w:val="18"/>
          <w:color w:val="auto"/>
        </w:rPr>
      </w:pPr>
      <w:r>
        <w:rPr>
          <w:rFonts w:ascii="Arial" w:cs="Arial" w:eastAsia="Arial" w:hAnsi="Arial"/>
          <w:sz w:val="18"/>
          <w:szCs w:val="18"/>
          <w:color w:val="auto"/>
        </w:rPr>
        <w:t>so long as such Lender is a Defaulting Lender, the Issuing Bank shall not be required to issue, amend, renew, extend or increase any Letter of Credit, unless it is satisfied that such Defaulting Lender’s then outstanding LC Exposure will be 100% covered by the Revolving Commitments of the non-Defaulting Lenders and/or cash collateral will be provided by the Borrowers in accordance with Section 2.20(d), and LC Exposure related to any newly issued or increased Letter of Credit shall be allocated among non-Defaulting Lenders in a manner consistent with Section 2.20(d)(i) (and such Defaulting Lender shall not participate therein).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(i) a Bankruptcy Event or a Bail-In Action with respect to a Lender Parent shall occur following the date hereof and for so long as such event shall continue or (ii) the Issuing Bank has a good faith belief that any Lender has defaulted in fulfilling its obligations under one or more other agreements in which such Lender commits to extend credit, the Issuing Bank shall not be required to issue, amend or increase any Letter of Credit, unless the Issuing Bank shall have entered into arrangements with the Borrowers or such Lender, satisfactory to the Issuing Bank to defease any risk to it in respect of such Lender hereunder.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that each of the Administrative Agent, the Borrowers, the Swingline Lender and the Issuing Bank agrees that a Defaulting Lender has adequately remedied all matters that caused such Lender to be a Defaulting Lender, then the Swingline Exposure and LC Exposure of the Lenders shall be readjusted to reflect the inclusion of such Lender’s Revolving Commitment and on the date of such readjustment such Lender shall purchase at par such of the Loans of the other Lenders (other than Swingline Loans) as the Administrative Agent shall determine may be necessary in order for such Lender to hold such Loans in accordance with its Applicable Percentage.</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09" w:name="page110"/>
    <w:bookmarkEnd w:id="109"/>
    <w:p>
      <w:pPr>
        <w:jc w:val="both"/>
        <w:ind w:firstLine="648"/>
        <w:spacing w:after="0" w:line="290"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Returned Payments</w:t>
      </w:r>
      <w:r>
        <w:rPr>
          <w:rFonts w:ascii="Arial" w:cs="Arial" w:eastAsia="Arial" w:hAnsi="Arial"/>
          <w:sz w:val="16"/>
          <w:szCs w:val="16"/>
          <w:color w:val="auto"/>
        </w:rPr>
        <w:t>. If after receipt of any payment which is applied to the payment of all or any part of the Obligations (including a payment effected through exercise of a right of setoff), the Administrative Agent or any Lender is for any reason compelled to surrender such payment or proceeds to any Person because such payment or application of proceeds is invalidated, declared fraudulent, set aside, determined to be void or voidable as a preference, impermissible setoff, or a diversion of trust funds, or for any other reason (including pursuant to any settlement entered into by the Administrative Agent or such Lender in its discretion), then the Obligations or part thereof intended to be satisfied shall be revived and continued and this Agreement shall continue in full force as if such payment or proceeds had not been received by the Administrative Agent or such Lender. The provisions of this Section 2.21 shall be and remain effective notwithstanding any contrary action which may have been taken by the Administrative Agent or any Lender in reliance upon such payment or application of proceeds. The provisions of this Section 2.21 shall survive the termination of this Agreement.</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2.22. </w:t>
      </w:r>
      <w:r>
        <w:rPr>
          <w:rFonts w:ascii="Arial" w:cs="Arial" w:eastAsia="Arial" w:hAnsi="Arial"/>
          <w:sz w:val="17"/>
          <w:szCs w:val="17"/>
          <w:u w:val="single" w:color="auto"/>
          <w:color w:val="auto"/>
        </w:rPr>
        <w:t>Banking Services and Swap Agreements</w:t>
      </w:r>
      <w:r>
        <w:rPr>
          <w:rFonts w:ascii="Arial" w:cs="Arial" w:eastAsia="Arial" w:hAnsi="Arial"/>
          <w:sz w:val="17"/>
          <w:szCs w:val="17"/>
          <w:color w:val="auto"/>
        </w:rPr>
        <w:t>. Each Lender or Affiliate thereof providing Banking Services (excluding Lease Financing) for, or having Swap Agreements with, any Loan Party or any Subsidiary or Affiliate of a Loan Party shall deliver to the Administrative Agent, promptly after entering into such Banking Services or Swap Agreements, written notice setting forth the aggregate amount of all Banking Services Obligations and Swap Agreement Obligations of such Loan Party or Subsidiary or Affiliate thereof to such Lender or Affiliate (whether matured or unmatured, absolute or contingent). In addition, each such Lender or Affiliate thereof shall deliver to the Administrative Agent, from time to time after a significant change therein or upon a request therefor, a summary of the amounts due or to become due in respect of such Banking Services Obligations and Swap Agreement Obligations. The most recent information provided to the Administrative Agent shall be used in determining the amounts to be applied in respect of such Banking Services Obligations and/or Swap Agreement Obligations pursuant to Section 2.18(b) and which tier of the waterfall, contained in Section 2.18(b), such Banking Services Obligations and/or Swap Agreement Obligations will be placed. For the avoidance of doubt, so long as JPMCB or its Affiliate is the Administrative Agent, neither JPMCB nor any of its Affiliates providing Banking Services for, or having Swap Agreements with, any Loan Party or any Subsidiary or Affiliate of a Loan Party shall be required to provide any notice described in this Section 2.22 in respect of such Banking Services or Swap Agreements.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Loan Party represents and warrants to the Lenders that: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Loan Party and each Subsidiary is duly organized or formed, validly existing and in good standing under the laws of the jurisdiction of its organization, has all requisite power and authority to carry on its business as now conducted and, except where the failure to do so, individually or in the aggregate, would not reasonably be expected to result in a Material Adverse Effect, is qualified to do business, and is in good standing, in every jurisdiction where such qualification is required.</w:t>
      </w:r>
    </w:p>
    <w:p>
      <w:pPr>
        <w:spacing w:after="0" w:line="18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3.02.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Transactions are within each Loan Party’s corporate or other organizational powers and have been duly authorized by all necessary corporate or other organizational actions and, if required, actions by equity holders. Each Loan Document to which each Loan Party is a party has been duly executed and delivered by such Loan Party and constitutes a legal, valid and binding obligation of such Loan Party,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0" w:name="page111"/>
    <w:bookmarkEnd w:id="110"/>
    <w:p>
      <w:pPr>
        <w:jc w:val="both"/>
        <w:ind w:firstLine="648"/>
        <w:spacing w:after="0" w:line="28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except for (i) such as have been obtained or made and are in full force and effect, (ii) filings necessary to perfect Liens created pursuant to the Loan Documents, (iii) filings as may be required under the Securities Exchange Act of 1934, as amended, and applicable stock exchange rules in connection therewith, or (iv) such actions, consents and approvals the failure of which to be obtained or made would not, individually or in the aggregate, reasonably be expected to have a Material Adverse Effect; (b) will not violate any charter, articles of association or certificate of organization or formation, bylaws, operating agreements, constitution or other organizational or governing documents of any Loan Party or any Subsidiary, (c) will not violate any Requirement of Law applicable to any Loan Party or any Subsidiary except any such violation which, individually or in the aggregate, could not reasonably be expected to result in a Material Adverse Effect, (d) will not violate or result in a default under any indenture, agreement or other instrument binding upon any Loan Party or any Subsidiary or the assets of any Loan Party or any Subsidiary, or give rise to a right thereunder to require any payment to be made by any Loan Party or any Subsidiary, and (d) will not result in the creation or imposition of, or the requirement to create, any Lien on any asset of any Loan Party or any Subsidiary, except Liens created pursuant to the Loan Documents.</w:t>
      </w:r>
    </w:p>
    <w:p>
      <w:pPr>
        <w:spacing w:after="0" w:line="17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 (a) The Company has heretofore furnished to the Lenders its consolidated balance sheet and statements of income, stockholders equity and cash flows (i) as of and for the fiscal year ended December 31, 2020, reported on by UHY LLP, independent public accountants, and (ii) as of and for the fiscal month and the portion of the fiscal year ended August 31, 2021, certified by its Financial Officer. Such financial statements present fairly, in all material respects, the financial position and results of operations and cash flows of the Company and its consolidated Subsidiaries as of such dates and for such periods in accordance with GAAP, subject to normal year end audit adjustments (all of which, when taken as a whole, would not be materially adverse) and the absence of footnotes in the case of the statements referred to in clause (ii) above.</w:t>
      </w:r>
    </w:p>
    <w:p>
      <w:pPr>
        <w:spacing w:after="0" w:line="195" w:lineRule="exact"/>
        <w:rPr>
          <w:sz w:val="20"/>
          <w:szCs w:val="20"/>
          <w:color w:val="auto"/>
        </w:rPr>
      </w:pPr>
    </w:p>
    <w:p>
      <w:pPr>
        <w:ind w:left="2440" w:hanging="1136"/>
        <w:spacing w:after="0"/>
        <w:tabs>
          <w:tab w:leader="none" w:pos="24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event, change or condition has occurred that has had, or would reasonably be expected to have, a Material Adverse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 since December 31, 2020.</w:t>
      </w:r>
    </w:p>
    <w:p>
      <w:pPr>
        <w:spacing w:after="0" w:line="21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u w:val="single" w:color="auto"/>
          <w:color w:val="auto"/>
        </w:rPr>
        <w:t>Properties</w:t>
      </w:r>
      <w:r>
        <w:rPr>
          <w:rFonts w:ascii="Arial" w:cs="Arial" w:eastAsia="Arial" w:hAnsi="Arial"/>
          <w:sz w:val="16"/>
          <w:szCs w:val="16"/>
          <w:color w:val="auto"/>
        </w:rPr>
        <w:t>. (a) As of the date of this Agreement, Schedule 3.05 sets forth the address of each parcel of real property that is owned or leased by any Loan Party. Each of such leases and subleases is valid and enforceable in accordance with its terms and is in full force and effect, and no default by any party to any such lease or sublease exists. Each of the Loan Parties and each of its Subsidiaries has good and indefeasible title to, or valid leasehold interests in, all of its real and personal property, free of all Liens other than those permitted by Section 6.02, in each case, except where the failure to have such title, interest, or right would not reasonably be expected to have, individually or in the aggregate, a Material Adverse Effect.</w:t>
      </w:r>
    </w:p>
    <w:p>
      <w:pPr>
        <w:spacing w:after="0" w:line="161" w:lineRule="exact"/>
        <w:rPr>
          <w:sz w:val="20"/>
          <w:szCs w:val="20"/>
          <w:color w:val="auto"/>
        </w:rPr>
      </w:pPr>
    </w:p>
    <w:p>
      <w:pPr>
        <w:jc w:val="both"/>
        <w:ind w:firstLine="1304"/>
        <w:spacing w:after="0" w:line="273" w:lineRule="auto"/>
        <w:tabs>
          <w:tab w:leader="none" w:pos="2306" w:val="left"/>
        </w:tabs>
        <w:numPr>
          <w:ilvl w:val="0"/>
          <w:numId w:val="99"/>
        </w:numPr>
        <w:rPr>
          <w:rFonts w:ascii="Arial" w:cs="Arial" w:eastAsia="Arial" w:hAnsi="Arial"/>
          <w:sz w:val="17"/>
          <w:szCs w:val="17"/>
          <w:color w:val="auto"/>
        </w:rPr>
      </w:pPr>
      <w:r>
        <w:rPr>
          <w:rFonts w:ascii="Arial" w:cs="Arial" w:eastAsia="Arial" w:hAnsi="Arial"/>
          <w:sz w:val="17"/>
          <w:szCs w:val="17"/>
          <w:color w:val="auto"/>
        </w:rPr>
        <w:t>Each Loan Party and each Subsidiary owns, or is licensed to use, all trademarks, tradenames, copyrights, patents and other intellectual property necessary to its business as currently conducted, a correct and complete list of which (other than license agreements for commercially available off the shelf software that is generally available to the public which have been licensed to any Borrower pursuant to end user licenses), as of the date of this Agreement, is set forth on Schedule 3.05, and to the knowledge of the Company as of the date of this Agreement, is set forth on Schedule 3.05, and the use thereof by each Loan Party and each Subsidiary does not infringe in any material respect upon the rights of any other Person, and each Loan Party’s and each Subsidiary’s rights thereto are not subject to any licensing agreement or similar arrangement.</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or proceedings by or before any arbitrator or Governmental Authority pending against or, to the knowledge of any Loan Party, threatened against or affecting any Loan Party or any Subsidiary (i) as to which there is a reasonable possibility of an adverse determination and that, if adversely determined, would reasonably be expected, individually or in the aggregate, to result in a Material Adverse Effect (other than the Disclosed Matters) or (ii) that involve any Loan Document or the Transactions.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1" w:name="page112"/>
    <w:bookmarkEnd w:id="111"/>
    <w:p>
      <w:pPr>
        <w:jc w:val="both"/>
        <w:ind w:firstLine="1304"/>
        <w:spacing w:after="0" w:line="273" w:lineRule="auto"/>
        <w:tabs>
          <w:tab w:leader="none" w:pos="2333"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Except for the Disclosed Matters (i) no Loan Party or any Subsidiary has received notice of any claim with respect to any Environmental Liability or knows of any basis for any Environmental Liability and (ii) except with respect to any other matters that, individually or in the aggregate, would not reasonably be expected to result in a Material Adverse Effect, no Loan Party or any Subsidiary (A) has failed to comply with any Environmental Law or to obtain, maintain or comply with any permit, license or other approval required under any Environmental Law, (B) has become subject to any Environmental Liability, (C) has received notice of any claim with respect to any Environmental Liability or (D) knows or reasonably should have known after diligent inquiry of any basis for any Environmental Liability.</w:t>
      </w:r>
    </w:p>
    <w:p>
      <w:pPr>
        <w:spacing w:after="0" w:line="177" w:lineRule="exact"/>
        <w:rPr>
          <w:rFonts w:ascii="Arial" w:cs="Arial" w:eastAsia="Arial" w:hAnsi="Arial"/>
          <w:sz w:val="17"/>
          <w:szCs w:val="17"/>
          <w:color w:val="auto"/>
        </w:rPr>
      </w:pPr>
    </w:p>
    <w:p>
      <w:pPr>
        <w:ind w:right="20" w:firstLine="1304"/>
        <w:spacing w:after="0" w:line="277" w:lineRule="auto"/>
        <w:tabs>
          <w:tab w:leader="none" w:pos="226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Since the date of this Agreement, there has been no change in the status of the Disclosed Matters that, individually or in the aggregate, has resulted in, or materially increased the likelihood of, a Material Adverse Effect.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 No Default</w:t>
      </w:r>
      <w:r>
        <w:rPr>
          <w:rFonts w:ascii="Arial" w:cs="Arial" w:eastAsia="Arial" w:hAnsi="Arial"/>
          <w:sz w:val="18"/>
          <w:szCs w:val="18"/>
          <w:color w:val="auto"/>
        </w:rPr>
        <w:t>. Except where the failure to do so, individually or in the aggregate, could not reasonably be expected to result in a Material Adverse Effect, each Loan Party and each Subsidiary is in compliance with (a) all Requirement of Law applicable to it or its property and (b) all indentures, agreements and other instruments binding upon it or its property. No Default has occurred and is continuing.</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 Loan Party or any Subsidiary is an “investment company” as defined in, or subject to regulation under, the Investment Company Act of 1940.</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Loan Party and each Subsidiary has timely filed or caused to be filed all Tax returns and reports required to have been filed and has paid or caused to be paid all Taxes required to have been paid by it, except Taxes that are being contested in good faith by appropriate proceedings and for which such Loan Party or such Subsidiary, as applicable, has set aside on its books adequate reserves. To the knowledge of such Loan Party, no tax liens have been filed and to the knowledge of such Loan Party no claims are being asserted with respect to any such taxes.</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3.10. </w:t>
      </w:r>
      <w:r>
        <w:rPr>
          <w:rFonts w:ascii="Arial" w:cs="Arial" w:eastAsia="Arial" w:hAnsi="Arial"/>
          <w:sz w:val="17"/>
          <w:szCs w:val="17"/>
          <w:u w:val="single" w:color="auto"/>
          <w:color w:val="auto"/>
        </w:rPr>
        <w:t>ERISA</w:t>
      </w:r>
      <w:r>
        <w:rPr>
          <w:rFonts w:ascii="Arial" w:cs="Arial" w:eastAsia="Arial" w:hAnsi="Arial"/>
          <w:sz w:val="17"/>
          <w:szCs w:val="17"/>
          <w:color w:val="auto"/>
        </w:rPr>
        <w:t>. No ERISA Event has occurred or is reasonably expected to occur that, when taken together with all other such ERISA Events for which liability is reasonably expected to occur, would reasonably be expected to result in a Material Adverse Effect. The present value of all accumulated benefit obligations under each Plan (based on the assumptions used for purposes of Statement of Financial Accounting Standards No. 87) did not, as of the date of the most recent financial statements reflecting such amounts, exceed the fair market value of the assets of such Plan, and the present value of all accumulated benefit obligations of all underfunded Plans (based on the assumptions used for purposes of Statement of Financial Accounting Standards No. 87 or subsequent recodification thereof, as applicable) did not, as of the date of the most recent financial statements reflecting such amounts, exceed the fair market value of the assets of all such underfunded Plans.</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3.11. </w:t>
      </w:r>
      <w:r>
        <w:rPr>
          <w:rFonts w:ascii="Arial" w:cs="Arial" w:eastAsia="Arial" w:hAnsi="Arial"/>
          <w:sz w:val="16"/>
          <w:szCs w:val="16"/>
          <w:u w:val="single" w:color="auto"/>
          <w:color w:val="auto"/>
        </w:rPr>
        <w:t>Disclosure</w:t>
      </w:r>
      <w:r>
        <w:rPr>
          <w:rFonts w:ascii="Arial" w:cs="Arial" w:eastAsia="Arial" w:hAnsi="Arial"/>
          <w:sz w:val="16"/>
          <w:szCs w:val="16"/>
          <w:color w:val="auto"/>
        </w:rPr>
        <w:t>. (a) The Loan Parties have disclosed to the Lenders all agreements, instruments and corporate or other restrictions to which any Loan Party or any Subsidiary is subject, and all other matters known to it, that, individually or in the aggregate, would reasonably be expected to result in a Material Adverse Effect. None of the reports, financial statements, certificates or other information furnished by or on behalf of any Loan Party or any Subsidiary to the Administrative Agent or any Lender in connection with the negotiation of this Agreement or any other Loan Document (as modified or supplemented by other information so furnished) contains any material misstatement of fact or omits to state any material fact necessary to make the statements therein, in the light of the circumstances under which they were made, not misleading; provided that, with respect to projected financial information, the Loan Parties represent only that such information was prepared in good faith based upon assumptions believed to be reasonable at the time delivered and, if such projected financial information was delivered prior to the Effective Date, as of the Effective Date.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2" w:name="page113"/>
    <w:bookmarkEnd w:id="112"/>
    <w:p>
      <w:pPr>
        <w:ind w:firstLine="1304"/>
        <w:spacing w:after="0" w:line="308" w:lineRule="auto"/>
        <w:tabs>
          <w:tab w:leader="none" w:pos="242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As of the Effective Date, to the best knowledge of any Borrower, the information included in the Beneficial Ownership Certification provided on or prior to the Effective Date to any Lender in connection with this Agreement is true and correct in all respects.</w:t>
      </w:r>
    </w:p>
    <w:p>
      <w:pPr>
        <w:spacing w:after="0" w:line="146"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Material Agreements</w:t>
      </w:r>
      <w:r>
        <w:rPr>
          <w:rFonts w:ascii="Arial" w:cs="Arial" w:eastAsia="Arial" w:hAnsi="Arial"/>
          <w:sz w:val="18"/>
          <w:szCs w:val="18"/>
          <w:color w:val="auto"/>
        </w:rPr>
        <w:t>. All material agreements and contracts to which any Loan Party or any Subsidiary is a party or is bound as of the date of this Agreement are listed on Schedule 3.12. No Loan Party or any Subsidiary is in default past any applicable grace or cure period, if any, in the performance, observance or fulfillment of any of the obligations, covenants or conditions contained in (a) any material agreement to which it is a party or (b) any agreement or instrument evidencing or governing Indebtedness.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Solvency</w:t>
      </w:r>
      <w:r>
        <w:rPr>
          <w:rFonts w:ascii="Arial" w:cs="Arial" w:eastAsia="Arial" w:hAnsi="Arial"/>
          <w:sz w:val="18"/>
          <w:szCs w:val="18"/>
          <w:color w:val="auto"/>
        </w:rPr>
        <w:t>. (a) Immediately after the consummation of the Transactions to occur on the Effective Date, (i) the fair value of the assets of each Loan Party, at a fair valuation, will exceed its debts and liabilities, subordinated, contingent or otherwise; (ii) the present fair saleable value of the property of each Loan Party will be greater than the amount that will be required to pay the probable liability of its debts and other liabilities, subordinated, contingent or otherwise, as such debts and other liabilities become absolute and matured; (iii) each Loan Party will be able to pay its debts and liabilities, subordinated, contingent or otherwise, as such debts and liabilities become absolute and matured; and (iv) no Loan Party will have unreasonably small capital with which to conduct the business in which it is engaged as such business is now conducted and is proposed to be conducted after the Effective Date.</w:t>
      </w:r>
    </w:p>
    <w:p>
      <w:pPr>
        <w:spacing w:after="0" w:line="195" w:lineRule="exact"/>
        <w:rPr>
          <w:sz w:val="20"/>
          <w:szCs w:val="20"/>
          <w:color w:val="auto"/>
        </w:rPr>
      </w:pPr>
    </w:p>
    <w:p>
      <w:pPr>
        <w:jc w:val="both"/>
        <w:ind w:firstLine="1304"/>
        <w:spacing w:after="0" w:line="286" w:lineRule="auto"/>
        <w:tabs>
          <w:tab w:leader="none" w:pos="2266"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No Loan Party intends to, nor will permit any Subsidiary to, and no Loan Party believes that it or any Subsidiary will, incur debts beyond its ability to pay such debts as they mature, taking into account the timing of and amounts of cash to be received by it or any such Subsidiary and the timing of the amounts of cash to be payable on or in respect of its Indebtedness or the Indebtedness of any such Subsidiary.</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Insurance</w:t>
      </w:r>
      <w:r>
        <w:rPr>
          <w:rFonts w:ascii="Arial" w:cs="Arial" w:eastAsia="Arial" w:hAnsi="Arial"/>
          <w:sz w:val="17"/>
          <w:szCs w:val="17"/>
          <w:color w:val="auto"/>
        </w:rPr>
        <w:t>. Schedule 3.14 sets forth a description of all insurance maintained by or on behalf of the Loan Parties and their Subsidiaries as of the Effective Date. As of the Effective Date, except where the failure to do so, individually or in the aggregate, would not reasonably be expected to result in a Material Adverse Effect, all premiums in respect of such insurance have been paid. Each Loan Party maintains, and has caused each Subsidiary to maintain, with financially sound and reputable insurance companies (or is self-insured), insurance on all their real and personal property in such amounts, subject to such deductibles and self-insurance retentions and covering such properties and risks as are adequate and customarily maintained by companies engaged in the same or similar businesses operating in the same or similar locations.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Capitalization and Subsidiaries</w:t>
      </w:r>
      <w:r>
        <w:rPr>
          <w:rFonts w:ascii="Arial" w:cs="Arial" w:eastAsia="Arial" w:hAnsi="Arial"/>
          <w:sz w:val="17"/>
          <w:szCs w:val="17"/>
          <w:color w:val="auto"/>
        </w:rPr>
        <w:t>. Schedule 3.15 sets forth (a) a correct and complete list of the name and relationship to the Company of each and all of the Company’s Subsidiaries, (b) a true and complete listing of each class of each Loan Party’s authorized Equity Interests, all of which issued Equity Interests are validly issued, outstanding, fully paid and non-assessable, and owned beneficially and of record by the Persons identified on Schedule 3.15, and (c) the type of entity of the Company and each of its Subsidiaries. All of the issued and outstanding Equity Interests owned by any Loan Party have been (to the extent such concepts are relevant with respect to such ownership interests) duly authorized and issued and are fully paid and non-assessable. There are no outstanding commitments or other obligations of any Loan Party to issue, and no options, warrants or other rights of any Person to acquire, any shares of any class of capital stock or other equity interests of any Loan Party.</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3" w:name="page114"/>
    <w:bookmarkEnd w:id="113"/>
    <w:p>
      <w:pPr>
        <w:jc w:val="both"/>
        <w:ind w:firstLine="648"/>
        <w:spacing w:after="0" w:line="254" w:lineRule="auto"/>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Security Interest in Collateral</w:t>
      </w:r>
      <w:r>
        <w:rPr>
          <w:rFonts w:ascii="Arial" w:cs="Arial" w:eastAsia="Arial" w:hAnsi="Arial"/>
          <w:sz w:val="18"/>
          <w:szCs w:val="18"/>
          <w:color w:val="auto"/>
        </w:rPr>
        <w:t>. The provisions of this Agreement and the other Loan Documents create legal and valid Liens on all of the Collateral in favor of the Administrative Agent, for the benefit of the Secured Parties, and such Liens when duly perfected will constitute perfected and continuing Liens on the Collateral, securing the Secured Obligations, enforceable against the applicable Loan Party and all third parties, and having priority over all other Liens on the Collateral except in the case of (a) Permitted Encumbrances, to the extent any such Permitted Encumbrances would have priority over the Liens in favor of the Administrative Agent pursuant to any applicable law or agreement permitted hereunder, and (b) Liens perfected only by possession (including possession of any certificate of title), to the extent the Administrative Agent has not obtained or does not maintain possession of such Collateral.</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Employment Matters</w:t>
      </w:r>
      <w:r>
        <w:rPr>
          <w:rFonts w:ascii="Arial" w:cs="Arial" w:eastAsia="Arial" w:hAnsi="Arial"/>
          <w:sz w:val="18"/>
          <w:szCs w:val="18"/>
          <w:color w:val="auto"/>
        </w:rPr>
        <w:t>. As of the Effective Date, there are no strikes, lockouts or slowdowns against any Loan Party or any Subsidiary pending or, to the knowledge of any Loan Party, threatened. The hours worked by and payments made to employees of the Loan Parties and their Subsidiaries have not been in violation of the Fair Labor Standards Act or any other applicable Federal, state, local or foreign law dealing with such matters. All payments due from any Loan Party or any Subsidiary, or for which any claim may be made against any Loan Party or any Subsidiary, on account of wages and employee health and welfare insurance and other benefits, have been paid or accrued as a liability on the books of such Loan Party or such Subsidiary.</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Margin Regulations</w:t>
      </w:r>
      <w:r>
        <w:rPr>
          <w:rFonts w:ascii="Arial" w:cs="Arial" w:eastAsia="Arial" w:hAnsi="Arial"/>
          <w:sz w:val="18"/>
          <w:szCs w:val="18"/>
          <w:color w:val="auto"/>
        </w:rPr>
        <w:t>. No Loan Party is engaged and will not engage, principally or as one of its important activities, in the business of purchasing or carrying Margin Stock, or extending credit for the purpose of purchasing or carrying Margin Stock, and no part of the proceeds of any Borrowing or Letter of Credit hereunder will be used to buy or carry any Margin Stock. Following the application of the proceeds of each Borrowing or drawing under each Letter of Credit, not more than 25% of the value of the assets (either of any Loan Party only or of the Loan Parties and their Subsidiaries on a consolidated basis) will be Margin Stock.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3.19. </w:t>
      </w:r>
      <w:r>
        <w:rPr>
          <w:rFonts w:ascii="Arial" w:cs="Arial" w:eastAsia="Arial" w:hAnsi="Arial"/>
          <w:sz w:val="18"/>
          <w:szCs w:val="18"/>
          <w:u w:val="single" w:color="auto"/>
          <w:color w:val="auto"/>
        </w:rPr>
        <w:t>Use of Proceeds</w:t>
      </w:r>
      <w:r>
        <w:rPr>
          <w:rFonts w:ascii="Arial" w:cs="Arial" w:eastAsia="Arial" w:hAnsi="Arial"/>
          <w:sz w:val="18"/>
          <w:szCs w:val="18"/>
          <w:color w:val="auto"/>
        </w:rPr>
        <w:t>. The proceeds of the Loans and the Letters of Credit have been used and will be used, whether directly or indirectly as set forth in Section 5.08.</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3.20. </w:t>
      </w:r>
      <w:r>
        <w:rPr>
          <w:rFonts w:ascii="Arial" w:cs="Arial" w:eastAsia="Arial" w:hAnsi="Arial"/>
          <w:sz w:val="18"/>
          <w:szCs w:val="18"/>
          <w:u w:val="single" w:color="auto"/>
          <w:color w:val="auto"/>
        </w:rPr>
        <w:t>No Burdensome Restrictions</w:t>
      </w:r>
      <w:r>
        <w:rPr>
          <w:rFonts w:ascii="Arial" w:cs="Arial" w:eastAsia="Arial" w:hAnsi="Arial"/>
          <w:sz w:val="18"/>
          <w:szCs w:val="18"/>
          <w:color w:val="auto"/>
        </w:rPr>
        <w:t>. No Loan Party is subject to any Burdensome Restrictions except Burdensome Restrictions permitted under Section 6.10.</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3.21. </w:t>
      </w:r>
      <w:r>
        <w:rPr>
          <w:rFonts w:ascii="Arial" w:cs="Arial" w:eastAsia="Arial" w:hAnsi="Arial"/>
          <w:sz w:val="17"/>
          <w:szCs w:val="17"/>
          <w:u w:val="single" w:color="auto"/>
          <w:color w:val="auto"/>
        </w:rPr>
        <w:t>Anti-Corruption Laws and Sanctions</w:t>
      </w:r>
      <w:r>
        <w:rPr>
          <w:rFonts w:ascii="Arial" w:cs="Arial" w:eastAsia="Arial" w:hAnsi="Arial"/>
          <w:sz w:val="17"/>
          <w:szCs w:val="17"/>
          <w:color w:val="auto"/>
        </w:rPr>
        <w:t>. Each Loan Party has implemented and maintains in effect policies and procedures designed to ensure compliance by such Loan Party, its Subsidiaries and their respective directors, officers, employees and agents with Anti-Corruption Laws and applicable Sanctions, and such Loan Party, its Subsidiaries and their respective officers and directors and, to the knowledge of such Loan Party, its employees and agents, are in compliance with Anti-Corruption Laws and applicable Sanctions in all material respects. None of (a) any Loan Party, any Subsidiary or any of their respective directors, officers or employees, or (b) to the knowledge of any such Loan Party or Subsidiary, any agent of such Loan Party or any Subsidiary that will act in any capacity in connection with or benefit from the credit facility established hereby, is a Sanctioned Person. No Borrowing or Letter of Credit, use of proceeds, Transaction or other transaction contemplated by this Agreement or the other Loan Documents will violate Anti-Corruption Laws or applicable Sanctions.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4" w:name="page115"/>
    <w:bookmarkEnd w:id="114"/>
    <w:p>
      <w:pPr>
        <w:jc w:val="both"/>
        <w:ind w:firstLine="648"/>
        <w:spacing w:after="0" w:line="254"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set forth on Schedule 3.22, as of the date of this Agreement, there are no existing or proposed agreements, arrangements, understandings or transactions between any Loan Party and any of the officers, members, managers, directors, stockholders, parents, holders of other Equity Interests, employees or Affiliates (other than Subsidiaries) of any Loan Party or any members of their respective immediate families, and none of the foregoing Persons are directly or indirectly indebted to or have any direct or indirect ownership, partnership, or voting interest in any Affiliate of any Loan Party or any Person with which any Loan Party has a business relationship or which competes with any Loan Party (except that any such Persons may own Equity Interests in (but not exceeding 2.0% of the outstanding Equity Interests of) any publicly traded company that may compete with a Loan Party).</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3.23. </w:t>
      </w:r>
      <w:r>
        <w:rPr>
          <w:rFonts w:ascii="Arial" w:cs="Arial" w:eastAsia="Arial" w:hAnsi="Arial"/>
          <w:sz w:val="18"/>
          <w:szCs w:val="18"/>
          <w:u w:val="single" w:color="auto"/>
          <w:color w:val="auto"/>
        </w:rPr>
        <w:t>Common Enterprise</w:t>
      </w:r>
      <w:r>
        <w:rPr>
          <w:rFonts w:ascii="Arial" w:cs="Arial" w:eastAsia="Arial" w:hAnsi="Arial"/>
          <w:sz w:val="18"/>
          <w:szCs w:val="18"/>
          <w:color w:val="auto"/>
        </w:rPr>
        <w:t>. The successful operation and condition of each of the Loan Parties is dependent on the continued successful performance of the functions of the group of the Loan Parties as a whole and the successful operation of each of the Loan Parties is dependent on the successful performance and operation of each other Loan Party. Each Loan Party expects to derive benefit (and its board of directors or other governing body has determined that it may reasonably be expected to derive benefit), directly and indirectly, from (a) successful operations of each of the other Loan Parties and (b) the credit extended by the Lenders to the Borrowers hereunder, both in their separate capacities and as members of the group of companies. Each Loan Party has determined that execution, delivery, and performance of this Agreement and any other Loan Documents to be executed by such Loan Party is within its purpose, in furtherance of its direct and/or indirect business interests, will be of direct and/or indirect benefit to such Loan Party, and is in its best interest.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3.24.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No Loan Party is an Affected Financial Institution.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3.25. </w:t>
      </w:r>
      <w:r>
        <w:rPr>
          <w:rFonts w:ascii="Arial" w:cs="Arial" w:eastAsia="Arial" w:hAnsi="Arial"/>
          <w:sz w:val="18"/>
          <w:szCs w:val="18"/>
          <w:u w:val="single" w:color="auto"/>
          <w:color w:val="auto"/>
        </w:rPr>
        <w:t>Plan Assets; Prohibited Transactions</w:t>
      </w:r>
      <w:r>
        <w:rPr>
          <w:rFonts w:ascii="Arial" w:cs="Arial" w:eastAsia="Arial" w:hAnsi="Arial"/>
          <w:sz w:val="18"/>
          <w:szCs w:val="18"/>
          <w:color w:val="auto"/>
        </w:rPr>
        <w:t>. No Loan Party 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under Section 406 of ERISA or Section 4975 of the Code.</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u w:val="single" w:color="auto"/>
          <w:color w:val="auto"/>
        </w:rPr>
        <w:t>CONDITIONS</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The obligations of the Lenders to make Loans and of the Issuing Bank to issue Letters of Credit hereunder shall not become effective until the date on which each of the following conditions is satisfied (or waived in accordance with Section 9.02):</w:t>
      </w:r>
    </w:p>
    <w:p>
      <w:pPr>
        <w:spacing w:after="0" w:line="146" w:lineRule="exact"/>
        <w:rPr>
          <w:sz w:val="20"/>
          <w:szCs w:val="20"/>
          <w:color w:val="auto"/>
        </w:rPr>
      </w:pPr>
    </w:p>
    <w:p>
      <w:pPr>
        <w:jc w:val="both"/>
        <w:ind w:firstLine="1304"/>
        <w:spacing w:after="0" w:line="289" w:lineRule="auto"/>
        <w:tabs>
          <w:tab w:leader="none" w:pos="2296"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Credit Agreement and Other Loan Documents</w:t>
      </w:r>
      <w:r>
        <w:rPr>
          <w:rFonts w:ascii="Arial" w:cs="Arial" w:eastAsia="Arial" w:hAnsi="Arial"/>
          <w:sz w:val="16"/>
          <w:szCs w:val="16"/>
          <w:color w:val="auto"/>
        </w:rPr>
        <w:t>. The Administrative Agent (or its counsel) shall have received (i) from each party hereto a counterpart of this Agreement signed on behalf of such party (which, subject to Section 9.06(b), may include any Electronic Signatures transmitted by facsimile, emailed pdf. or any other electronic means that reproduces an image of an actual executed signature page), (ii) either (A) a counterpart of each other Loan Document signed on behalf of each party thereto or (B) written evidence satisfactory to the Administrative Agent (which may include facsimile or other electronic transmission of a signed signature page thereof) that each such party has signed a counterpart of such Loan Document and (iii) such other certificates, documents, instruments and agreements as the Administrative Agent shall reasonably request in connection with the transactions contemplated by this Agreement and the other Loan Documents, including any promissory notes requested by a Lender pursuant to Section 2.10 payable to the order of each such requesting Lender and a written opinion of the Loan Parties’ counsel, addressed to the Administrative Agent, the Issuing Bank and the Lenders and the other Secured Parties in form and substance satisfactory to the Administrative Agent and its counsel.</w:t>
      </w:r>
    </w:p>
    <w:p>
      <w:pPr>
        <w:spacing w:after="0" w:line="166" w:lineRule="exact"/>
        <w:rPr>
          <w:rFonts w:ascii="Arial" w:cs="Arial" w:eastAsia="Arial" w:hAnsi="Arial"/>
          <w:sz w:val="16"/>
          <w:szCs w:val="16"/>
          <w:color w:val="auto"/>
        </w:rPr>
      </w:pPr>
    </w:p>
    <w:p>
      <w:pPr>
        <w:jc w:val="both"/>
        <w:ind w:firstLine="1304"/>
        <w:spacing w:after="0" w:line="254" w:lineRule="auto"/>
        <w:tabs>
          <w:tab w:leader="none" w:pos="2252"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Projections</w:t>
      </w:r>
      <w:r>
        <w:rPr>
          <w:rFonts w:ascii="Arial" w:cs="Arial" w:eastAsia="Arial" w:hAnsi="Arial"/>
          <w:sz w:val="18"/>
          <w:szCs w:val="18"/>
          <w:color w:val="auto"/>
        </w:rPr>
        <w:t>. The Lenders shall have received (i) unaudited consolidated financial statements of the Company and its Subsidiaries for the 2019 and 2020 fiscal years prepared by its independent certified public accountant, (ii) unaudited interim consolidated financial statements of the Company and its Subsidiaries for each fiscal month ended after the date of the latest applicable financial statements delivered pursuant to clause (i) of this paragraph as to which such financial statements are available, and such financial statements shall not, in the reasonable judgment of the Administrative Agent, reflect any material adverse change in the consolidated financial condition of the Company and its Subsidiaries, as reflected in the audited, consolidated financial statements described in clause (i) of this paragraph and (iii) satisfactory projections through December 31, 2022.</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5" w:name="page116"/>
    <w:bookmarkEnd w:id="115"/>
    <w:p>
      <w:pPr>
        <w:jc w:val="both"/>
        <w:ind w:left="-20" w:firstLine="1304"/>
        <w:spacing w:after="0" w:line="270" w:lineRule="auto"/>
        <w:tabs>
          <w:tab w:leader="none" w:pos="2195"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Closing Certificates; Certified Certificate of Incorporation; Good Standing Certificates</w:t>
      </w:r>
      <w:r>
        <w:rPr>
          <w:rFonts w:ascii="Arial" w:cs="Arial" w:eastAsia="Arial" w:hAnsi="Arial"/>
          <w:sz w:val="17"/>
          <w:szCs w:val="17"/>
          <w:color w:val="auto"/>
        </w:rPr>
        <w:t>. The Administrative Agent shall have received (i) a certificate of each Loan Party, dated the Effective Date and executed by its Secretary or Assistant Secretary, which shall (A) certify the resolutions of its Board of Directors, members or other body authorizing the execution, delivery and performance of the Loan Documents to which it is a party, (B) identify by name and title and bear the signatures of the officers of such Loan Party authorized to sign the Loan Documents to which it is a party and, in the case of each Borrower, its Financial Officers, and (C) contain appropriate attachments, including the certificate or articles of incorporation or organization of each Loan Party certified by the relevant authority of the jurisdiction of organization of such Loan Party and a true and correct copy of its bylaws or operating, management or partnership agreement, or other organizational or governing documents, and (ii) a good standing certificate for each Loan Party from its jurisdiction of organization or the substantive equivalent available in the jurisdiction of organization for each Loan Party from the appropriate governmental officer in such jurisdiction.</w:t>
      </w:r>
    </w:p>
    <w:p>
      <w:pPr>
        <w:spacing w:after="0" w:line="180" w:lineRule="exact"/>
        <w:rPr>
          <w:rFonts w:ascii="Arial" w:cs="Arial" w:eastAsia="Arial" w:hAnsi="Arial"/>
          <w:sz w:val="17"/>
          <w:szCs w:val="17"/>
          <w:color w:val="auto"/>
        </w:rPr>
      </w:pPr>
    </w:p>
    <w:p>
      <w:pPr>
        <w:jc w:val="both"/>
        <w:ind w:left="-20" w:firstLine="1304"/>
        <w:spacing w:after="0" w:line="259" w:lineRule="auto"/>
        <w:tabs>
          <w:tab w:leader="none" w:pos="2367"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 Default Certificate</w:t>
      </w:r>
      <w:r>
        <w:rPr>
          <w:rFonts w:ascii="Arial" w:cs="Arial" w:eastAsia="Arial" w:hAnsi="Arial"/>
          <w:sz w:val="18"/>
          <w:szCs w:val="18"/>
          <w:color w:val="auto"/>
        </w:rPr>
        <w:t>. The Administrative Agent shall have received a certificate, signed by a Financial Officer of each Borrower and each other Loan Party, dated as of the Effective Date (i) stating that no Default has occurred and is continuing, (ii) stating that the representations and warranties contained in the Loan Documents are true and correct as of such date, and (iii) certifying as to any other factual matters as may be reasonably requested by the Administrative Agent.</w:t>
      </w:r>
    </w:p>
    <w:p>
      <w:pPr>
        <w:spacing w:after="0" w:line="186" w:lineRule="exact"/>
        <w:rPr>
          <w:rFonts w:ascii="Arial" w:cs="Arial" w:eastAsia="Arial" w:hAnsi="Arial"/>
          <w:sz w:val="18"/>
          <w:szCs w:val="18"/>
          <w:color w:val="auto"/>
        </w:rPr>
      </w:pPr>
    </w:p>
    <w:p>
      <w:pPr>
        <w:jc w:val="both"/>
        <w:ind w:left="-20" w:firstLine="1304"/>
        <w:spacing w:after="0" w:line="259" w:lineRule="auto"/>
        <w:tabs>
          <w:tab w:leader="none" w:pos="2249"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The Lenders and the Administrative Agent shall have received all fees required to be paid, and all expenses for which invoices have been presented (including the reasonable fees and expenses of legal counsel), on or before the Effective Date. All such amounts will be paid with proceeds of Loans made on the Effective Date and will be reflected in the funding instructions given by the Borrower Representative to the Administrative Agent on or before the Effective Date.</w:t>
      </w:r>
    </w:p>
    <w:p>
      <w:pPr>
        <w:spacing w:after="0" w:line="186" w:lineRule="exact"/>
        <w:rPr>
          <w:rFonts w:ascii="Arial" w:cs="Arial" w:eastAsia="Arial" w:hAnsi="Arial"/>
          <w:sz w:val="18"/>
          <w:szCs w:val="18"/>
          <w:color w:val="auto"/>
        </w:rPr>
      </w:pPr>
    </w:p>
    <w:p>
      <w:pPr>
        <w:jc w:val="both"/>
        <w:ind w:left="-20" w:firstLine="1304"/>
        <w:spacing w:after="0" w:line="259" w:lineRule="auto"/>
        <w:tabs>
          <w:tab w:leader="none" w:pos="2342"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Lien Searches</w:t>
      </w:r>
      <w:r>
        <w:rPr>
          <w:rFonts w:ascii="Arial" w:cs="Arial" w:eastAsia="Arial" w:hAnsi="Arial"/>
          <w:sz w:val="18"/>
          <w:szCs w:val="18"/>
          <w:color w:val="auto"/>
        </w:rPr>
        <w:t>. The Administrative Agent shall have received the results of a recent lien search in each jurisdiction where the Loan Parties are organized and where the assets of the Loan Parties are located, and such search shall reveal no Liens on any of the assets of the Loan Parties except for Liens permitted by Section 6.02 or discharged on or prior to the Effective Date pursuant to a pay-off letter or other documentation satisfactory to the Administrative Agent.</w:t>
      </w:r>
    </w:p>
    <w:p>
      <w:pPr>
        <w:spacing w:after="0" w:line="186" w:lineRule="exact"/>
        <w:rPr>
          <w:rFonts w:ascii="Arial" w:cs="Arial" w:eastAsia="Arial" w:hAnsi="Arial"/>
          <w:sz w:val="18"/>
          <w:szCs w:val="18"/>
          <w:color w:val="auto"/>
        </w:rPr>
      </w:pPr>
    </w:p>
    <w:p>
      <w:pPr>
        <w:jc w:val="both"/>
        <w:ind w:left="-20" w:firstLine="1304"/>
        <w:spacing w:after="0" w:line="259" w:lineRule="auto"/>
        <w:tabs>
          <w:tab w:leader="none" w:pos="2273"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Pay-Off Letter</w:t>
      </w:r>
      <w:r>
        <w:rPr>
          <w:rFonts w:ascii="Arial" w:cs="Arial" w:eastAsia="Arial" w:hAnsi="Arial"/>
          <w:sz w:val="18"/>
          <w:szCs w:val="18"/>
          <w:color w:val="auto"/>
        </w:rPr>
        <w:t>. The Administrative Agent shall have received satisfactory pay-off letters for all existing Indebtedness to be repaid from the proceeds of the initial Borrowing, confirming that all Liens upon any of the property of the Loan Parties constituting Collateral will be terminated concurrently with such payment and all letters of credit issued or guaranteed as part of such Indebtedness shall have been cash collateralized or supported by a Letter of Credit.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16" w:name="page117"/>
    <w:bookmarkEnd w:id="116"/>
    <w:p>
      <w:pPr>
        <w:jc w:val="both"/>
        <w:ind w:firstLine="1304"/>
        <w:spacing w:after="0" w:line="263" w:lineRule="auto"/>
        <w:tabs>
          <w:tab w:leader="none" w:pos="2279"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Funding Account</w:t>
      </w:r>
      <w:r>
        <w:rPr>
          <w:rFonts w:ascii="Arial" w:cs="Arial" w:eastAsia="Arial" w:hAnsi="Arial"/>
          <w:sz w:val="18"/>
          <w:szCs w:val="18"/>
          <w:color w:val="auto"/>
        </w:rPr>
        <w:t>. The Administrative Agent shall have received a notice setting forth the deposit account of the Borrowers (the “</w:t>
      </w:r>
      <w:r>
        <w:rPr>
          <w:rFonts w:ascii="Arial" w:cs="Arial" w:eastAsia="Arial" w:hAnsi="Arial"/>
          <w:sz w:val="18"/>
          <w:szCs w:val="18"/>
          <w:u w:val="single" w:color="auto"/>
          <w:color w:val="auto"/>
        </w:rPr>
        <w:t>Funding Account</w:t>
      </w:r>
      <w:r>
        <w:rPr>
          <w:rFonts w:ascii="Arial" w:cs="Arial" w:eastAsia="Arial" w:hAnsi="Arial"/>
          <w:sz w:val="18"/>
          <w:szCs w:val="18"/>
          <w:color w:val="auto"/>
        </w:rPr>
        <w:t>”) to which the Administrative Agent is authorized by the Borrowers to transfer the proceeds of any Borrowings requested or authorized pursuant to this Agreement.</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35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Customer List</w:t>
      </w:r>
      <w:r>
        <w:rPr>
          <w:rFonts w:ascii="Arial" w:cs="Arial" w:eastAsia="Arial" w:hAnsi="Arial"/>
          <w:sz w:val="18"/>
          <w:szCs w:val="18"/>
          <w:color w:val="auto"/>
        </w:rPr>
        <w:t>. The Administrative Agent shall have received a true and complete customer list for each Borrower and its Subsidiaries, which list shall state the customer’s name, mailing address and phone number and shall be certified as true and correct by a Financial Officer of the Borrower Representative.</w:t>
      </w:r>
    </w:p>
    <w:p>
      <w:pPr>
        <w:spacing w:after="0" w:line="183" w:lineRule="exact"/>
        <w:rPr>
          <w:rFonts w:ascii="Arial" w:cs="Arial" w:eastAsia="Arial" w:hAnsi="Arial"/>
          <w:sz w:val="18"/>
          <w:szCs w:val="18"/>
          <w:color w:val="auto"/>
        </w:rPr>
      </w:pPr>
    </w:p>
    <w:p>
      <w:pPr>
        <w:ind w:firstLine="1304"/>
        <w:spacing w:after="0" w:line="277" w:lineRule="auto"/>
        <w:tabs>
          <w:tab w:leader="none" w:pos="2257"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Collateral Access Agreements</w:t>
      </w:r>
      <w:r>
        <w:rPr>
          <w:rFonts w:ascii="Arial" w:cs="Arial" w:eastAsia="Arial" w:hAnsi="Arial"/>
          <w:sz w:val="18"/>
          <w:szCs w:val="18"/>
          <w:color w:val="auto"/>
        </w:rPr>
        <w:t>. The Administrative Agent shall have received each Collateral Access Agreement required to be provided pursuant to Section 4.13 of the Security Agreement.</w:t>
      </w:r>
    </w:p>
    <w:p>
      <w:pPr>
        <w:spacing w:after="0" w:line="170" w:lineRule="exact"/>
        <w:rPr>
          <w:rFonts w:ascii="Arial" w:cs="Arial" w:eastAsia="Arial" w:hAnsi="Arial"/>
          <w:sz w:val="18"/>
          <w:szCs w:val="18"/>
          <w:color w:val="auto"/>
        </w:rPr>
      </w:pPr>
    </w:p>
    <w:p>
      <w:pPr>
        <w:ind w:left="2480" w:hanging="1176"/>
        <w:spacing w:after="0"/>
        <w:tabs>
          <w:tab w:leader="none" w:pos="2480" w:val="left"/>
        </w:tabs>
        <w:numPr>
          <w:ilvl w:val="0"/>
          <w:numId w:val="105"/>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The Administrative Agent shall have received a solvency certificate signed by a Financial Officer dated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Effective Date.</w:t>
      </w:r>
    </w:p>
    <w:p>
      <w:pPr>
        <w:spacing w:after="0" w:line="210" w:lineRule="exact"/>
        <w:rPr>
          <w:rFonts w:ascii="Arial" w:cs="Arial" w:eastAsia="Arial" w:hAnsi="Arial"/>
          <w:sz w:val="17"/>
          <w:szCs w:val="17"/>
          <w:color w:val="auto"/>
        </w:rPr>
      </w:pPr>
    </w:p>
    <w:p>
      <w:pPr>
        <w:ind w:firstLine="1304"/>
        <w:spacing w:after="0" w:line="277" w:lineRule="auto"/>
        <w:tabs>
          <w:tab w:leader="none" w:pos="235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The Administrative Agent shall have received a Borrowing Base Certificate which calculates the Borrowing Base as of a period requested by the Administrative Agent.</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28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Closing Availability</w:t>
      </w:r>
      <w:r>
        <w:rPr>
          <w:rFonts w:ascii="Arial" w:cs="Arial" w:eastAsia="Arial" w:hAnsi="Arial"/>
          <w:sz w:val="18"/>
          <w:szCs w:val="18"/>
          <w:color w:val="auto"/>
        </w:rPr>
        <w:t>. After giving effect to all Borrowings to be made on the Effective Date, the issuance of any Letters of Credit on the Effective Date and the payment of all fees and expenses due hereunder, and with all of the Loan Parties’ indebtedness, liabilities, and obligations current, the Availability shall not be less than $5,000,000.</w:t>
      </w:r>
    </w:p>
    <w:p>
      <w:pPr>
        <w:spacing w:after="0" w:line="183" w:lineRule="exact"/>
        <w:rPr>
          <w:rFonts w:ascii="Arial" w:cs="Arial" w:eastAsia="Arial" w:hAnsi="Arial"/>
          <w:sz w:val="18"/>
          <w:szCs w:val="18"/>
          <w:color w:val="auto"/>
        </w:rPr>
      </w:pPr>
    </w:p>
    <w:p>
      <w:pPr>
        <w:jc w:val="both"/>
        <w:ind w:firstLine="1304"/>
        <w:spacing w:after="0" w:line="263" w:lineRule="auto"/>
        <w:tabs>
          <w:tab w:leader="none" w:pos="2266"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Approvals</w:t>
      </w:r>
      <w:r>
        <w:rPr>
          <w:rFonts w:ascii="Arial" w:cs="Arial" w:eastAsia="Arial" w:hAnsi="Arial"/>
          <w:sz w:val="18"/>
          <w:szCs w:val="18"/>
          <w:color w:val="auto"/>
        </w:rPr>
        <w:t>. All governmental and third party approvals necessary in connection with the financing contemplated hereby and the continuing operations of the Company and its Subsidiaries (including shareholder approvals, if any) shall have been obtained on terms satisfactory to Administrative Agent and shall be in full force and effect.</w:t>
      </w:r>
    </w:p>
    <w:p>
      <w:pPr>
        <w:spacing w:after="0" w:line="183" w:lineRule="exact"/>
        <w:rPr>
          <w:rFonts w:ascii="Arial" w:cs="Arial" w:eastAsia="Arial" w:hAnsi="Arial"/>
          <w:sz w:val="18"/>
          <w:szCs w:val="18"/>
          <w:color w:val="auto"/>
        </w:rPr>
      </w:pPr>
    </w:p>
    <w:p>
      <w:pPr>
        <w:jc w:val="both"/>
        <w:ind w:firstLine="1304"/>
        <w:spacing w:after="0" w:line="301" w:lineRule="auto"/>
        <w:tabs>
          <w:tab w:leader="none" w:pos="2374"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Pledged Equity Interests; Stock Powers; Pledged Notes</w:t>
      </w:r>
      <w:r>
        <w:rPr>
          <w:rFonts w:ascii="Arial" w:cs="Arial" w:eastAsia="Arial" w:hAnsi="Arial"/>
          <w:sz w:val="16"/>
          <w:szCs w:val="16"/>
          <w:color w:val="auto"/>
        </w:rPr>
        <w:t>. The Administrative Agent shall have received (i) the certificates representing the Equity Interests pledged pursuant to the Security Agreement, together with an undated stock power for each such certificate executed in blank by a duly authorized officer of the pledgor thereof and (ii) each promissory note (if any) pledged to the Administrative Agent pursuant to the Security Agreement endorsed (without recourse) in blank (or accompanied by an executed transfer form in blank) by the pledgor thereof.</w:t>
      </w:r>
    </w:p>
    <w:p>
      <w:pPr>
        <w:spacing w:after="0" w:line="157" w:lineRule="exact"/>
        <w:rPr>
          <w:rFonts w:ascii="Arial" w:cs="Arial" w:eastAsia="Arial" w:hAnsi="Arial"/>
          <w:sz w:val="16"/>
          <w:szCs w:val="16"/>
          <w:color w:val="auto"/>
        </w:rPr>
      </w:pPr>
    </w:p>
    <w:p>
      <w:pPr>
        <w:jc w:val="both"/>
        <w:ind w:firstLine="1304"/>
        <w:spacing w:after="0" w:line="257" w:lineRule="auto"/>
        <w:tabs>
          <w:tab w:leader="none" w:pos="2482"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Filings, Registrations and Recordings</w:t>
      </w:r>
      <w:r>
        <w:rPr>
          <w:rFonts w:ascii="Arial" w:cs="Arial" w:eastAsia="Arial" w:hAnsi="Arial"/>
          <w:sz w:val="18"/>
          <w:szCs w:val="18"/>
          <w:color w:val="auto"/>
        </w:rPr>
        <w:t>. Each document (including any Uniform Commercial Code financing statement) required by the Collateral Documents or under law or reasonably requested by the Administrative Agent to be filed, registered or recorded in order to create in favor of the Administrative Agent, for the benefit of itself, the Lenders and the other Secured Parties, a perfected Lien on the Collateral described therein, prior and superior in right to any other Person (other than with respect to Liens expressly permitted by Section 6.02), shall be in proper form for filing, registration or recordation.</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293"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Regulatory Matters</w:t>
      </w:r>
      <w:r>
        <w:rPr>
          <w:rFonts w:ascii="Arial" w:cs="Arial" w:eastAsia="Arial" w:hAnsi="Arial"/>
          <w:sz w:val="18"/>
          <w:szCs w:val="18"/>
          <w:color w:val="auto"/>
        </w:rPr>
        <w:t>. All legal (including tax implications) and regulatory matters shall be satisfactory to the Administrative Agent and Lenders, including but not limited to compliance with all applicable requirements of Regulations U, T and X of the Board of Governors of the Federal Reserve System.</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7" w:name="page118"/>
    <w:bookmarkEnd w:id="117"/>
    <w:p>
      <w:pPr>
        <w:jc w:val="both"/>
        <w:ind w:firstLine="1304"/>
        <w:spacing w:after="0" w:line="263" w:lineRule="auto"/>
        <w:tabs>
          <w:tab w:leader="none" w:pos="245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Administrative Agent shall have received evidence of insurance coverage in form, scope, and substance reasonably satisfactory to the Administrative Agent and otherwise in compliance with the terms of Section 5.10 hereof and Section 4.12 of the Security Agreement.</w:t>
      </w:r>
    </w:p>
    <w:p>
      <w:pPr>
        <w:spacing w:after="0" w:line="183" w:lineRule="exact"/>
        <w:rPr>
          <w:rFonts w:ascii="Arial" w:cs="Arial" w:eastAsia="Arial" w:hAnsi="Arial"/>
          <w:sz w:val="18"/>
          <w:szCs w:val="18"/>
          <w:color w:val="auto"/>
        </w:rPr>
      </w:pPr>
    </w:p>
    <w:p>
      <w:pPr>
        <w:ind w:firstLine="1304"/>
        <w:spacing w:after="0" w:line="308" w:lineRule="auto"/>
        <w:tabs>
          <w:tab w:leader="none" w:pos="2331"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Letter of Credit Application</w:t>
      </w:r>
      <w:r>
        <w:rPr>
          <w:rFonts w:ascii="Arial" w:cs="Arial" w:eastAsia="Arial" w:hAnsi="Arial"/>
          <w:sz w:val="17"/>
          <w:szCs w:val="17"/>
          <w:color w:val="auto"/>
        </w:rPr>
        <w:t>. If a Letter of Credit is requested to be issued on the Effective Date, the Administrative Agent shall have received a properly completed letter of credit application (whether standalone or pursuant to a master agreement, as applicable).</w:t>
      </w:r>
    </w:p>
    <w:p>
      <w:pPr>
        <w:spacing w:after="0" w:line="146" w:lineRule="exact"/>
        <w:rPr>
          <w:rFonts w:ascii="Arial" w:cs="Arial" w:eastAsia="Arial" w:hAnsi="Arial"/>
          <w:sz w:val="17"/>
          <w:szCs w:val="17"/>
          <w:color w:val="auto"/>
        </w:rPr>
      </w:pPr>
    </w:p>
    <w:p>
      <w:pPr>
        <w:ind w:firstLine="1304"/>
        <w:spacing w:after="0" w:line="277" w:lineRule="auto"/>
        <w:tabs>
          <w:tab w:leader="none" w:pos="2271"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Administrative Agent shall have received a properly completed and signed IRS Form W-8 or W-9, as applicable, for each Loan Party.</w:t>
      </w:r>
    </w:p>
    <w:p>
      <w:pPr>
        <w:spacing w:after="0" w:line="170" w:lineRule="exact"/>
        <w:rPr>
          <w:rFonts w:ascii="Arial" w:cs="Arial" w:eastAsia="Arial" w:hAnsi="Arial"/>
          <w:sz w:val="18"/>
          <w:szCs w:val="18"/>
          <w:color w:val="auto"/>
        </w:rPr>
      </w:pPr>
    </w:p>
    <w:p>
      <w:pPr>
        <w:ind w:firstLine="1304"/>
        <w:spacing w:after="0" w:line="308" w:lineRule="auto"/>
        <w:tabs>
          <w:tab w:leader="none" w:pos="2387"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Corporate Structure</w:t>
      </w:r>
      <w:r>
        <w:rPr>
          <w:rFonts w:ascii="Arial" w:cs="Arial" w:eastAsia="Arial" w:hAnsi="Arial"/>
          <w:sz w:val="17"/>
          <w:szCs w:val="17"/>
          <w:color w:val="auto"/>
        </w:rPr>
        <w:t>. The corporate structure, capital structure and other material debt instruments, material accounts and governing documents of the Loan Parties and their Affiliates shall be acceptable to the Administrative Agent in its Permitted Discretion.</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229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Field Examination</w:t>
      </w:r>
      <w:r>
        <w:rPr>
          <w:rFonts w:ascii="Arial" w:cs="Arial" w:eastAsia="Arial" w:hAnsi="Arial"/>
          <w:sz w:val="18"/>
          <w:szCs w:val="18"/>
          <w:color w:val="auto"/>
        </w:rPr>
        <w:t>. The Administrative Agent or its designee shall have conducted a field examination of the Loan Parties’ Accounts, Inventory and related working capital matters and of the Borrowers’ related data processing and other systems, the results of which shall be satisfactory to the Administrative Agent in its Permitted Discretion.</w:t>
      </w:r>
    </w:p>
    <w:p>
      <w:pPr>
        <w:spacing w:after="0" w:line="183" w:lineRule="exact"/>
        <w:rPr>
          <w:rFonts w:ascii="Arial" w:cs="Arial" w:eastAsia="Arial" w:hAnsi="Arial"/>
          <w:sz w:val="18"/>
          <w:szCs w:val="18"/>
          <w:color w:val="auto"/>
        </w:rPr>
      </w:pPr>
    </w:p>
    <w:p>
      <w:pPr>
        <w:ind w:firstLine="1304"/>
        <w:spacing w:after="0" w:line="277" w:lineRule="auto"/>
        <w:tabs>
          <w:tab w:leader="none" w:pos="2283"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Legal Due Diligence</w:t>
      </w:r>
      <w:r>
        <w:rPr>
          <w:rFonts w:ascii="Arial" w:cs="Arial" w:eastAsia="Arial" w:hAnsi="Arial"/>
          <w:sz w:val="18"/>
          <w:szCs w:val="18"/>
          <w:color w:val="auto"/>
        </w:rPr>
        <w:t>. The Administrative Agent and its counsel shall have completed all legal due diligence, the results of which shall be satisfactory to Administrative Agent in its Permitted Discretion.</w:t>
      </w:r>
    </w:p>
    <w:p>
      <w:pPr>
        <w:spacing w:after="0" w:line="170" w:lineRule="exact"/>
        <w:rPr>
          <w:rFonts w:ascii="Arial" w:cs="Arial" w:eastAsia="Arial" w:hAnsi="Arial"/>
          <w:sz w:val="18"/>
          <w:szCs w:val="18"/>
          <w:color w:val="auto"/>
        </w:rPr>
      </w:pPr>
    </w:p>
    <w:p>
      <w:pPr>
        <w:ind w:firstLine="1304"/>
        <w:spacing w:after="0" w:line="277" w:lineRule="auto"/>
        <w:tabs>
          <w:tab w:leader="none" w:pos="2306"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Appraisal</w:t>
      </w:r>
      <w:r>
        <w:rPr>
          <w:rFonts w:ascii="Arial" w:cs="Arial" w:eastAsia="Arial" w:hAnsi="Arial"/>
          <w:sz w:val="18"/>
          <w:szCs w:val="18"/>
          <w:color w:val="auto"/>
        </w:rPr>
        <w:t>. The Administrative Agent shall have received an appraisal of the Borrowers’ Inventory from a firm satisfactory to the Administrative Agent, which appraisal shall be satisfactory to the Administrative Agent in its Permitted Discretion.</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304"/>
        <w:spacing w:after="0" w:line="291" w:lineRule="auto"/>
        <w:tabs>
          <w:tab w:leader="none" w:pos="2256"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USA PATRIOT Act, Etc</w:t>
      </w:r>
      <w:r>
        <w:rPr>
          <w:rFonts w:ascii="Arial" w:cs="Arial" w:eastAsia="Arial" w:hAnsi="Arial"/>
          <w:sz w:val="16"/>
          <w:szCs w:val="16"/>
          <w:color w:val="auto"/>
        </w:rPr>
        <w:t>. (i) The Administrative Agent shall have received, at least five (5) days prior to the Effective Date, all documentation and other information regarding the Borrowers requested in connection with applicable “</w:t>
      </w:r>
      <w:r>
        <w:rPr>
          <w:rFonts w:ascii="Arial" w:cs="Arial" w:eastAsia="Arial" w:hAnsi="Arial"/>
          <w:sz w:val="16"/>
          <w:szCs w:val="16"/>
          <w:u w:val="single" w:color="auto"/>
          <w:color w:val="auto"/>
        </w:rPr>
        <w:t>know your customer</w:t>
      </w:r>
      <w:r>
        <w:rPr>
          <w:rFonts w:ascii="Arial" w:cs="Arial" w:eastAsia="Arial" w:hAnsi="Arial"/>
          <w:sz w:val="16"/>
          <w:szCs w:val="16"/>
          <w:color w:val="auto"/>
        </w:rPr>
        <w:t>” and anti-money laundering rules and regulations, including the USA PATRIOT Act, to the extent requested in writing of the Borrowers at least ten (10) days prior to the Effective Date, and (ii) to the extent any Borrower qualifies as a “</w:t>
      </w:r>
      <w:r>
        <w:rPr>
          <w:rFonts w:ascii="Arial" w:cs="Arial" w:eastAsia="Arial" w:hAnsi="Arial"/>
          <w:sz w:val="16"/>
          <w:szCs w:val="16"/>
          <w:u w:val="single" w:color="auto"/>
          <w:color w:val="auto"/>
        </w:rPr>
        <w:t>legal entity customer</w:t>
      </w:r>
      <w:r>
        <w:rPr>
          <w:rFonts w:ascii="Arial" w:cs="Arial" w:eastAsia="Arial" w:hAnsi="Arial"/>
          <w:sz w:val="16"/>
          <w:szCs w:val="16"/>
          <w:color w:val="auto"/>
        </w:rPr>
        <w:t>” under the Beneficial Ownership Regulation, at least five (5) days prior to the Effective Date, any Lender that has requested, in a written notice to the Borrowers at least ten (10) days prior to the Effective Date, a Beneficial Ownership Certification in relation to each Borrower shall have received such Beneficial Ownership Certification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execution and delivery by such Lender of its signature page to this Agreement, the condition set forth in this clause (ii) shall be deemed to be satisfied).</w:t>
      </w:r>
    </w:p>
    <w:p>
      <w:pPr>
        <w:spacing w:after="0" w:line="166" w:lineRule="exact"/>
        <w:rPr>
          <w:sz w:val="20"/>
          <w:szCs w:val="20"/>
          <w:color w:val="auto"/>
        </w:rPr>
      </w:pPr>
    </w:p>
    <w:p>
      <w:pPr>
        <w:ind w:right="20" w:firstLine="1304"/>
        <w:spacing w:after="0" w:line="277" w:lineRule="auto"/>
        <w:tabs>
          <w:tab w:leader="none" w:pos="2336"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Administrative Agent shall have received such other documents as the Administrative Agent, the Issuing Bank, any Lender or their respective counsel may have reasonably requested.</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Administrative Agent shall notify the Borrowers, the Lenders and the Issuing Bank of the Effective Date, and such notice shall be conclusive and binding.</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the Issuing Bank to issue, amend or extend any Letter of Credit, is subject to the satisfaction of the following conditions: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8" w:name="page119"/>
    <w:bookmarkEnd w:id="118"/>
    <w:p>
      <w:pPr>
        <w:jc w:val="both"/>
        <w:ind w:firstLine="1304"/>
        <w:spacing w:after="0" w:line="257" w:lineRule="auto"/>
        <w:tabs>
          <w:tab w:leader="none" w:pos="244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representations and warranties of the Loan Parties set forth in the Loan Documents shall be true and correct in all material respects with the same effect as though made on and as of the date of such Borrowing or the date of issuance, amendment or extension of such Letter of Credit, as applicable (it being understood and agreed that any representation or warranty which by its terms is made as of a specified date shall be required to be true and correct in all material respects only as of such specified date, and that any representation or warranty which is subject to any materiality qualifier shall be required to be true and correct in all respects).</w:t>
      </w:r>
    </w:p>
    <w:p>
      <w:pPr>
        <w:spacing w:after="0" w:line="187" w:lineRule="exact"/>
        <w:rPr>
          <w:rFonts w:ascii="Arial" w:cs="Arial" w:eastAsia="Arial" w:hAnsi="Arial"/>
          <w:sz w:val="18"/>
          <w:szCs w:val="18"/>
          <w:color w:val="auto"/>
        </w:rPr>
      </w:pPr>
    </w:p>
    <w:p>
      <w:pPr>
        <w:ind w:firstLine="1304"/>
        <w:spacing w:after="0" w:line="342" w:lineRule="auto"/>
        <w:tabs>
          <w:tab w:leader="none" w:pos="222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At the time of and immediately after giving effect to such Borrowing or the issuance, amendment or extension of such Letter of Credit, as applicable, (i) no Default or Event of Default shall have occurred and be continuing and (ii) no Protective Advance shall be outstanding.</w:t>
      </w:r>
    </w:p>
    <w:p>
      <w:pPr>
        <w:spacing w:after="0" w:line="123" w:lineRule="exact"/>
        <w:rPr>
          <w:rFonts w:ascii="Arial" w:cs="Arial" w:eastAsia="Arial" w:hAnsi="Arial"/>
          <w:sz w:val="16"/>
          <w:szCs w:val="16"/>
          <w:color w:val="auto"/>
        </w:rPr>
      </w:pPr>
    </w:p>
    <w:p>
      <w:pPr>
        <w:ind w:left="2280" w:hanging="976"/>
        <w:spacing w:after="0"/>
        <w:tabs>
          <w:tab w:leader="none" w:pos="22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After giving effect to any Borrowing or the issuance, amendment or extension of any Letter of Credit, Availability shall not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less than zero.</w:t>
      </w:r>
    </w:p>
    <w:p>
      <w:pPr>
        <w:spacing w:after="0" w:line="210" w:lineRule="exact"/>
        <w:rPr>
          <w:rFonts w:ascii="Arial" w:cs="Arial" w:eastAsia="Arial" w:hAnsi="Arial"/>
          <w:sz w:val="16"/>
          <w:szCs w:val="16"/>
          <w:color w:val="auto"/>
        </w:rPr>
      </w:pPr>
    </w:p>
    <w:p>
      <w:pPr>
        <w:ind w:left="2400" w:hanging="1096"/>
        <w:spacing w:after="0"/>
        <w:tabs>
          <w:tab w:leader="none" w:pos="24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No event shall have occurred and no condition shall exist which has or could be reasonably expected to have a Material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Borrowing and each issuance, amendment or extension of a Letter of Credit shall be deemed to constitute a representation and warranty by the Borrowers on the date thereof as to the matters specified in paragraphs (a), (b), (c) and (d) of this Section.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failure to satisfy the conditions precedent set forth in paragraphs (a) or (b) of this Section, unless otherwise directed by the Required Lenders, the Administrative Agent may, but shall have no obligation to, continue to make Loans and an Issuing Bank may, but shall have no obligation to, issue, amend or extend, or cause to be issued, amended or extended, any Letter of Credit for the ratable account and risk of Lenders from time to time if the Administrative Agent believes that making such Loans or issuing, amending or extending, or causing the issuance, amendment or extension of, any such Letter of Credit is in the best interests of the Lenders.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Financial Statements; Borrowing Base and Other Information</w:t>
      </w:r>
      <w:r>
        <w:rPr>
          <w:rFonts w:ascii="Arial" w:cs="Arial" w:eastAsia="Arial" w:hAnsi="Arial"/>
          <w:sz w:val="16"/>
          <w:szCs w:val="16"/>
          <w:color w:val="auto"/>
        </w:rPr>
        <w:t>. The Borrowers will furnish to the Administrative Agent and each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jc w:val="both"/>
        <w:ind w:firstLine="1304"/>
        <w:spacing w:after="0" w:line="293" w:lineRule="auto"/>
        <w:tabs>
          <w:tab w:leader="none" w:pos="239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within one hundred twenty (120) days after the end of each fiscal year of the Company, its audited consolidated balance sheet and related statements of operations, stockholders’ equity and cash flows as of the end of and for such year, setting forth in each case in comparative form the figures for the previous fiscal year, all reported on by independent public accountants acceptable to the Required Lenders (without a “</w:t>
      </w:r>
      <w:r>
        <w:rPr>
          <w:rFonts w:ascii="Arial" w:cs="Arial" w:eastAsia="Arial" w:hAnsi="Arial"/>
          <w:sz w:val="16"/>
          <w:szCs w:val="16"/>
          <w:u w:val="single" w:color="auto"/>
          <w:color w:val="auto"/>
        </w:rPr>
        <w:t>going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concern</w:t>
      </w:r>
      <w:r>
        <w:rPr>
          <w:rFonts w:ascii="Arial" w:cs="Arial" w:eastAsia="Arial" w:hAnsi="Arial"/>
          <w:sz w:val="16"/>
          <w:szCs w:val="16"/>
          <w:color w:val="auto"/>
        </w:rPr>
        <w:t>” or like qualification, commentary or exception and without any qualification or exception as to the scope of such audit) to the effect that such consolidated financial statements present fairly in all material respects the financial condition and results of operations of the Company and its consolidated Subsidiaries on a consolidated basis in accordance with GAAP consistently applied, accompanied by any management letter prepared by said accountants;</w:t>
      </w:r>
    </w:p>
    <w:p>
      <w:pPr>
        <w:spacing w:after="0" w:line="164" w:lineRule="exact"/>
        <w:rPr>
          <w:rFonts w:ascii="Arial" w:cs="Arial" w:eastAsia="Arial" w:hAnsi="Arial"/>
          <w:sz w:val="16"/>
          <w:szCs w:val="16"/>
          <w:color w:val="auto"/>
        </w:rPr>
      </w:pPr>
    </w:p>
    <w:p>
      <w:pPr>
        <w:ind w:left="2240" w:hanging="936"/>
        <w:spacing w:after="0"/>
        <w:tabs>
          <w:tab w:leader="none" w:pos="22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[reserved];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19" w:name="page120"/>
    <w:bookmarkEnd w:id="119"/>
    <w:p>
      <w:pPr>
        <w:jc w:val="both"/>
        <w:ind w:left="-20" w:firstLine="1304"/>
        <w:spacing w:after="0" w:line="273" w:lineRule="auto"/>
        <w:tabs>
          <w:tab w:leader="none" w:pos="2587" w:val="left"/>
        </w:tabs>
        <w:numPr>
          <w:ilvl w:val="0"/>
          <w:numId w:val="110"/>
        </w:numPr>
        <w:rPr>
          <w:rFonts w:ascii="Arial" w:cs="Arial" w:eastAsia="Arial" w:hAnsi="Arial"/>
          <w:sz w:val="17"/>
          <w:szCs w:val="17"/>
          <w:color w:val="auto"/>
        </w:rPr>
      </w:pPr>
      <w:r>
        <w:rPr>
          <w:rFonts w:ascii="Arial" w:cs="Arial" w:eastAsia="Arial" w:hAnsi="Arial"/>
          <w:sz w:val="17"/>
          <w:szCs w:val="17"/>
          <w:color w:val="auto"/>
        </w:rPr>
        <w:t>within thirty (30) days after the end of each fiscal month of the Company, its internally-prepared consolidated and consolidating balance sheet and related statements of operations, stockholders’ equity and cash flows as of the end of and for such fiscal month and the then elapsed portion of the fiscal year, setting forth in each case in comparative form the figures for the corresponding period or periods of (or, in the case of the balance sheet, as of the end of) the previous fiscal year, all certified by a Financial Officer of the Borrower Representative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w:t>
      </w:r>
    </w:p>
    <w:p>
      <w:pPr>
        <w:spacing w:after="0" w:line="177" w:lineRule="exact"/>
        <w:rPr>
          <w:rFonts w:ascii="Arial" w:cs="Arial" w:eastAsia="Arial" w:hAnsi="Arial"/>
          <w:sz w:val="17"/>
          <w:szCs w:val="17"/>
          <w:color w:val="auto"/>
        </w:rPr>
      </w:pPr>
    </w:p>
    <w:p>
      <w:pPr>
        <w:jc w:val="both"/>
        <w:ind w:left="-20" w:firstLine="1304"/>
        <w:spacing w:after="0" w:line="270" w:lineRule="auto"/>
        <w:tabs>
          <w:tab w:leader="none" w:pos="248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concurrently with any delivery of financial statements under clause (a), (b) or (c) above, a Compliance Certificate (i) certifying, in the case of the financial statements delivered under clause (b) or (c), as presenting fairly in all material respects the financial condition and results of operations of the Company and its consolidated Subsidiaries on a consolidated basis in accordance with GAAP consistently applied, subject to normal year-end audit adjustments and the absence of footnotes, (ii) certifying as to whether a Default has occurred and, if a Default has occurred, specifying the details thereof and any action taken or proposed to be taken with respect thereto, (iii) setting forth reasonably detailed calculations of the Fixed Charge Coverage Ratio (and each component thereof) (whether or not a Covenant Testing Trigger Period is in effect), and demonstrating compliance with Section 6.12 if a Covenant Testing Trigger Period is in effect, and (iv) stating whether any change in GAAP or in the application thereof has occurred since the date of the audited financial statements referred to in Section 3.04 and, if any such change has occurred, specifying the effect of such change on the financial statements accompanying such certificate;</w:t>
      </w:r>
    </w:p>
    <w:p>
      <w:pPr>
        <w:spacing w:after="0" w:line="180" w:lineRule="exact"/>
        <w:rPr>
          <w:rFonts w:ascii="Arial" w:cs="Arial" w:eastAsia="Arial" w:hAnsi="Arial"/>
          <w:sz w:val="17"/>
          <w:szCs w:val="17"/>
          <w:color w:val="auto"/>
        </w:rPr>
      </w:pPr>
    </w:p>
    <w:p>
      <w:pPr>
        <w:jc w:val="both"/>
        <w:ind w:left="-20" w:firstLine="1304"/>
        <w:spacing w:after="0" w:line="263" w:lineRule="auto"/>
        <w:tabs>
          <w:tab w:leader="none" w:pos="246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concurrently with any delivery of financial statements under clause (a) above, a certificate of the accounting firm that reported on such financial statements stating whether they obtained knowledge during the course of their examination of such financial statements of any Default (which certificate may be limited to the extent required by accounting rules or guidelines);</w:t>
      </w:r>
    </w:p>
    <w:p>
      <w:pPr>
        <w:spacing w:after="0" w:line="183" w:lineRule="exact"/>
        <w:rPr>
          <w:rFonts w:ascii="Arial" w:cs="Arial" w:eastAsia="Arial" w:hAnsi="Arial"/>
          <w:sz w:val="18"/>
          <w:szCs w:val="18"/>
          <w:color w:val="auto"/>
        </w:rPr>
      </w:pPr>
    </w:p>
    <w:p>
      <w:pPr>
        <w:jc w:val="both"/>
        <w:ind w:left="-20" w:firstLine="1304"/>
        <w:spacing w:after="0" w:line="259" w:lineRule="auto"/>
        <w:tabs>
          <w:tab w:leader="none" w:pos="22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soon as available but in any event no later than the end of, and no earlier than forty-five (45) days prior to the end of, each fiscal year of the Company, a copy of the plan and forecast (including a projected consolidated and consolidating balance sheet, income statement and cash flow statement) of the Company for each month of the upcoming fiscal year (the “</w:t>
      </w:r>
      <w:r>
        <w:rPr>
          <w:rFonts w:ascii="Arial" w:cs="Arial" w:eastAsia="Arial" w:hAnsi="Arial"/>
          <w:sz w:val="18"/>
          <w:szCs w:val="18"/>
          <w:u w:val="single" w:color="auto"/>
          <w:color w:val="auto"/>
        </w:rPr>
        <w:t>Projections</w:t>
      </w:r>
      <w:r>
        <w:rPr>
          <w:rFonts w:ascii="Arial" w:cs="Arial" w:eastAsia="Arial" w:hAnsi="Arial"/>
          <w:sz w:val="18"/>
          <w:szCs w:val="18"/>
          <w:color w:val="auto"/>
        </w:rPr>
        <w:t>”) in form reasonably satisfactory to the Administrative Agent;</w:t>
      </w:r>
    </w:p>
    <w:p>
      <w:pPr>
        <w:spacing w:after="0" w:line="186" w:lineRule="exact"/>
        <w:rPr>
          <w:rFonts w:ascii="Arial" w:cs="Arial" w:eastAsia="Arial" w:hAnsi="Arial"/>
          <w:sz w:val="18"/>
          <w:szCs w:val="18"/>
          <w:color w:val="auto"/>
        </w:rPr>
      </w:pPr>
    </w:p>
    <w:p>
      <w:pPr>
        <w:jc w:val="both"/>
        <w:ind w:left="-20" w:firstLine="1304"/>
        <w:spacing w:after="0" w:line="257" w:lineRule="auto"/>
        <w:tabs>
          <w:tab w:leader="none" w:pos="22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soon as available but in any event within twenty (20) days (or 25 days with respect to the first three such months after the Effective Date) of the end of each calendar month (and within three (3) Business Days of the end of each calendar week which ends during a Reporting Trigger Period), and at such other times as may be requested by the Administrative Agent, as of the period then ended, a Borrowing Base Certificate, and supporting information in connection therewith, together with any additional reports with respect to the Borrowing Base as the Administrative Agent may reasonably request;</w:t>
      </w:r>
    </w:p>
    <w:p>
      <w:pPr>
        <w:spacing w:after="0" w:line="187" w:lineRule="exact"/>
        <w:rPr>
          <w:rFonts w:ascii="Arial" w:cs="Arial" w:eastAsia="Arial" w:hAnsi="Arial"/>
          <w:sz w:val="18"/>
          <w:szCs w:val="18"/>
          <w:color w:val="auto"/>
        </w:rPr>
      </w:pPr>
    </w:p>
    <w:p>
      <w:pPr>
        <w:jc w:val="both"/>
        <w:ind w:left="-20" w:firstLine="1304"/>
        <w:spacing w:after="0" w:line="263" w:lineRule="auto"/>
        <w:tabs>
          <w:tab w:leader="none" w:pos="223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as soon as available but in any event within twenty (20) days (or 25 days with respect to the first three such months after the Effective Date) of the end of each calendar month, and at such other times as may be requested by the Administrative Agent, as of the period then ended, all delivered electronically in a text formatted file acceptable to the Administrative Agent;</w:t>
      </w:r>
    </w:p>
    <w:p>
      <w:pPr>
        <w:spacing w:after="0" w:line="183" w:lineRule="exact"/>
        <w:rPr>
          <w:rFonts w:ascii="Arial" w:cs="Arial" w:eastAsia="Arial" w:hAnsi="Arial"/>
          <w:sz w:val="18"/>
          <w:szCs w:val="18"/>
          <w:color w:val="auto"/>
        </w:rPr>
      </w:pPr>
    </w:p>
    <w:p>
      <w:pPr>
        <w:jc w:val="both"/>
        <w:ind w:left="640" w:firstLine="1292"/>
        <w:spacing w:after="0" w:line="263" w:lineRule="auto"/>
        <w:tabs>
          <w:tab w:leader="none" w:pos="3127"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detailed aging of the Borrowers’ Accounts, including all invoices aged by invoice date and due date (with an explanation of the terms offered), prepared in a manner reasonably acceptable to the Administrative Agent, together with a summary specifying the name, address, and balance due for each Account Debtor;</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0" w:name="page121"/>
    <w:bookmarkEnd w:id="120"/>
    <w:p>
      <w:pPr>
        <w:jc w:val="both"/>
        <w:ind w:left="640" w:firstLine="1292"/>
        <w:spacing w:after="0" w:line="291" w:lineRule="auto"/>
        <w:tabs>
          <w:tab w:leader="none" w:pos="2925"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 schedule detailing the Borrowers’ Inventory, in form reasonably satisfactory to the Administrative Agent, (1) by location (showing Inventory in transit and any Inventory located with a third party under any consignment, bailee arrangement, or warehouse agreement), by class (raw material, work-in-process and finished goods), by product type, and by volume on hand, which Inventory shall be valued at the lower of cost (determined on a first-in, first-out basis) or market and adjusted for Reserves as the Administrative Agent has previously indicated to the Borrower Representative are deemed by the Administrative Agent to be appropriate, and (2) including a report of any variances or other results of Inventory counts performed by the Borrowers since the last Inventory schedule (including information regarding sales or other reductions, additions, returns, credits issued by Borrowers and complaints and claims made against the Borrowers);</w:t>
      </w:r>
    </w:p>
    <w:p>
      <w:pPr>
        <w:spacing w:after="0" w:line="166" w:lineRule="exact"/>
        <w:rPr>
          <w:rFonts w:ascii="Arial" w:cs="Arial" w:eastAsia="Arial" w:hAnsi="Arial"/>
          <w:sz w:val="16"/>
          <w:szCs w:val="16"/>
          <w:color w:val="auto"/>
        </w:rPr>
      </w:pPr>
    </w:p>
    <w:p>
      <w:pPr>
        <w:jc w:val="both"/>
        <w:ind w:left="640" w:firstLine="1292"/>
        <w:spacing w:after="0" w:line="263" w:lineRule="auto"/>
        <w:tabs>
          <w:tab w:leader="none" w:pos="3101"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worksheet of calculations prepared by the Borrowers to determine Eligible Accounts, Eligible Credit Card Receivables and Eligible Inventory, such worksheets detailing the Accounts and Inventory excluded from Eligible Accounts, Eligible Receivables and Eligible Inventory and the reason for such exclusion;</w:t>
      </w:r>
    </w:p>
    <w:p>
      <w:pPr>
        <w:spacing w:after="0" w:line="183" w:lineRule="exact"/>
        <w:rPr>
          <w:rFonts w:ascii="Arial" w:cs="Arial" w:eastAsia="Arial" w:hAnsi="Arial"/>
          <w:sz w:val="18"/>
          <w:szCs w:val="18"/>
          <w:color w:val="auto"/>
        </w:rPr>
      </w:pPr>
    </w:p>
    <w:p>
      <w:pPr>
        <w:jc w:val="both"/>
        <w:ind w:left="640" w:firstLine="1292"/>
        <w:spacing w:after="0" w:line="259" w:lineRule="auto"/>
        <w:tabs>
          <w:tab w:leader="none" w:pos="3055"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reconciliation of the Borrowers’ Accounts and Inventory between (A) the amounts shown in the Borrowers’ general ledger and financial statements and the reports delivered pursuant to clauses (i) and (ii) above and (B) the amounts and dates shown in the reports delivered pursuant to clauses (i) and (ii) above and the Borrowing Base Certificate delivered pursuant to clause (g) above as of such date; and</w:t>
      </w:r>
    </w:p>
    <w:p>
      <w:pPr>
        <w:spacing w:after="0" w:line="186" w:lineRule="exact"/>
        <w:rPr>
          <w:rFonts w:ascii="Arial" w:cs="Arial" w:eastAsia="Arial" w:hAnsi="Arial"/>
          <w:sz w:val="18"/>
          <w:szCs w:val="18"/>
          <w:color w:val="auto"/>
        </w:rPr>
      </w:pPr>
    </w:p>
    <w:p>
      <w:pPr>
        <w:ind w:left="2860" w:hanging="928"/>
        <w:spacing w:after="0"/>
        <w:tabs>
          <w:tab w:leader="none" w:pos="286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a reconciliation of the loan balance per the Borrowers’ general ledger to the loan balance under this Agreement;</w:t>
      </w:r>
    </w:p>
    <w:p>
      <w:pPr>
        <w:spacing w:after="0" w:line="248" w:lineRule="exact"/>
        <w:rPr>
          <w:rFonts w:ascii="Arial" w:cs="Arial" w:eastAsia="Arial" w:hAnsi="Arial"/>
          <w:sz w:val="16"/>
          <w:szCs w:val="16"/>
          <w:color w:val="auto"/>
        </w:rPr>
      </w:pPr>
    </w:p>
    <w:p>
      <w:pPr>
        <w:jc w:val="both"/>
        <w:ind w:left="-20" w:firstLine="1304"/>
        <w:spacing w:after="0" w:line="263" w:lineRule="auto"/>
        <w:tabs>
          <w:tab w:leader="none" w:pos="22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as soon as available but in any event within twenty (20) days of the end of each calendar month, and at such other times as may be requested by the Administrative Agent, as of the month then ended, a schedule and aging of the Borrowers’ accounts payable, delivered electronically in a text formatted file acceptable to the Administrative Agent;</w:t>
      </w:r>
    </w:p>
    <w:p>
      <w:pPr>
        <w:spacing w:after="0" w:line="183" w:lineRule="exact"/>
        <w:rPr>
          <w:rFonts w:ascii="Arial" w:cs="Arial" w:eastAsia="Arial" w:hAnsi="Arial"/>
          <w:sz w:val="18"/>
          <w:szCs w:val="18"/>
          <w:color w:val="auto"/>
        </w:rPr>
      </w:pPr>
    </w:p>
    <w:p>
      <w:pPr>
        <w:jc w:val="both"/>
        <w:ind w:left="-20" w:firstLine="1304"/>
        <w:spacing w:after="0" w:line="279" w:lineRule="auto"/>
        <w:tabs>
          <w:tab w:leader="none" w:pos="239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as soon as available but in any event within twenty (20) days of the end of each calendar quarter, as of the quarter then ended, and at such other times as may be reasonably requested by the Administrative Agent, an updated customer list for each Borrower and its Subsidiaries, which list shall state the customer’s name, mailing address and phone number, delivered electronically in a text formatted file acceptable to the Administrative Agent and certified as true and correct by a Financial Officer of the Borrower Representative;</w:t>
      </w:r>
    </w:p>
    <w:p>
      <w:pPr>
        <w:spacing w:after="0" w:line="171" w:lineRule="exact"/>
        <w:rPr>
          <w:rFonts w:ascii="Arial" w:cs="Arial" w:eastAsia="Arial" w:hAnsi="Arial"/>
          <w:sz w:val="17"/>
          <w:szCs w:val="17"/>
          <w:color w:val="auto"/>
        </w:rPr>
      </w:pPr>
    </w:p>
    <w:p>
      <w:pPr>
        <w:ind w:left="2220" w:hanging="936"/>
        <w:spacing w:after="0"/>
        <w:tabs>
          <w:tab w:leader="none" w:pos="2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promptly upon the Administrative Agent’s request:</w:t>
      </w:r>
    </w:p>
    <w:p>
      <w:pPr>
        <w:spacing w:after="0" w:line="225" w:lineRule="exact"/>
        <w:rPr>
          <w:rFonts w:ascii="Arial" w:cs="Arial" w:eastAsia="Arial" w:hAnsi="Arial"/>
          <w:sz w:val="18"/>
          <w:szCs w:val="18"/>
          <w:color w:val="auto"/>
        </w:rPr>
      </w:pPr>
    </w:p>
    <w:p>
      <w:pPr>
        <w:ind w:left="640" w:firstLine="1292"/>
        <w:spacing w:after="0" w:line="277" w:lineRule="auto"/>
        <w:tabs>
          <w:tab w:leader="none" w:pos="293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copies of invoices issued by the Borrowers in connection with any Accounts, credit memos, shipping and delivery documents, and other information related thereto;</w:t>
      </w:r>
    </w:p>
    <w:p>
      <w:pPr>
        <w:spacing w:after="0" w:line="170" w:lineRule="exact"/>
        <w:rPr>
          <w:rFonts w:ascii="Arial" w:cs="Arial" w:eastAsia="Arial" w:hAnsi="Arial"/>
          <w:sz w:val="18"/>
          <w:szCs w:val="18"/>
          <w:color w:val="auto"/>
        </w:rPr>
      </w:pPr>
    </w:p>
    <w:p>
      <w:pPr>
        <w:ind w:left="640" w:firstLine="1292"/>
        <w:spacing w:after="0" w:line="277" w:lineRule="auto"/>
        <w:tabs>
          <w:tab w:leader="none" w:pos="306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copies of purchase orders, invoices, and shipping and delivery documents in connection with any Inventory or Equipment purchased by any Loan Party; and</w:t>
      </w:r>
    </w:p>
    <w:p>
      <w:pPr>
        <w:spacing w:after="0" w:line="170" w:lineRule="exact"/>
        <w:rPr>
          <w:rFonts w:ascii="Arial" w:cs="Arial" w:eastAsia="Arial" w:hAnsi="Arial"/>
          <w:sz w:val="18"/>
          <w:szCs w:val="18"/>
          <w:color w:val="auto"/>
        </w:rPr>
      </w:pPr>
    </w:p>
    <w:p>
      <w:pPr>
        <w:ind w:left="2780" w:hanging="848"/>
        <w:spacing w:after="0"/>
        <w:tabs>
          <w:tab w:leader="none" w:pos="27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 schedule detailing the balance of all intercompany accounts of the Loan Parties;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21" w:name="page122"/>
    <w:bookmarkEnd w:id="121"/>
    <w:p>
      <w:pPr>
        <w:ind w:firstLine="1304"/>
        <w:spacing w:after="0" w:line="277" w:lineRule="auto"/>
        <w:tabs>
          <w:tab w:leader="none" w:pos="223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at such other times as may be reasonably requested by the Administrative Agent, as of the period then ended, the Borrowers’ sales journal, cash receipts journal (identifying trade and non-trade cash receipts) and debit memo/credit memo journal;</w:t>
      </w:r>
    </w:p>
    <w:p>
      <w:pPr>
        <w:spacing w:after="0" w:line="170" w:lineRule="exact"/>
        <w:rPr>
          <w:rFonts w:ascii="Arial" w:cs="Arial" w:eastAsia="Arial" w:hAnsi="Arial"/>
          <w:sz w:val="18"/>
          <w:szCs w:val="18"/>
          <w:color w:val="auto"/>
        </w:rPr>
      </w:pPr>
    </w:p>
    <w:p>
      <w:pPr>
        <w:ind w:left="2320" w:hanging="1016"/>
        <w:spacing w:after="0"/>
        <w:tabs>
          <w:tab w:leader="none" w:pos="23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promptly upon the Administrative Agent’s request, copies of all tax returns filed by any Loan Party with the U.S. Internal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Revenue Service;</w:t>
      </w:r>
    </w:p>
    <w:p>
      <w:pPr>
        <w:spacing w:after="0" w:line="210" w:lineRule="exact"/>
        <w:rPr>
          <w:rFonts w:ascii="Arial" w:cs="Arial" w:eastAsia="Arial" w:hAnsi="Arial"/>
          <w:sz w:val="16"/>
          <w:szCs w:val="16"/>
          <w:color w:val="auto"/>
        </w:rPr>
      </w:pPr>
    </w:p>
    <w:p>
      <w:pPr>
        <w:ind w:left="2240" w:hanging="936"/>
        <w:spacing w:after="0"/>
        <w:tabs>
          <w:tab w:leader="none" w:pos="2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0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upon the Administrative Agent’s request, a detailed listing of all advances of proceeds of Loans requested by the Borrower Representative for each Borrower during the immediately preceding calendar month and a detailed listing of all intercompany loans made by the Borrowers during such calendar month;</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44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promptly after the same become publicly available, copies of all periodic and other reports, proxy statements and other materials filed by any Loan Party or any Subsidiary with the SEC, or any Governmental Authority succeeding to any or all of the functions of the SEC, or with any national securities exchange, or distributed by any Borrower to its shareholders generally, as the case may be;</w:t>
      </w:r>
    </w:p>
    <w:p>
      <w:pPr>
        <w:spacing w:after="0" w:line="165" w:lineRule="exact"/>
        <w:rPr>
          <w:rFonts w:ascii="Arial" w:cs="Arial" w:eastAsia="Arial" w:hAnsi="Arial"/>
          <w:sz w:val="17"/>
          <w:szCs w:val="17"/>
          <w:color w:val="auto"/>
        </w:rPr>
      </w:pPr>
    </w:p>
    <w:p>
      <w:pPr>
        <w:jc w:val="both"/>
        <w:ind w:firstLine="1304"/>
        <w:spacing w:after="0" w:line="273" w:lineRule="auto"/>
        <w:tabs>
          <w:tab w:leader="none" w:pos="237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promptly after any request therefor by the Administrative Agent or any Lender, copies of (i) any documents described in Section 101(k)(1) of ERISA that any Loan Party or any ERISA Affiliate may request with respect to any Multiemployer Plan and (ii) any notices described in Section 101(l)(1) of ERISA that any Loan Party or any ERISA Affiliate may request with respect to any Multiemployer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Loan Party or any ERISA Affiliate has not requested such documents or notices from the administrator or sponsor of the applicable Multiemployer Plan, the applicable Loan Party or the applicable ERISA Affiliate shall promptly make a request for such documents and notices from such administrator or sponsor and shall provide copies of such documents and notices promptly after receipt thereof;</w:t>
      </w:r>
    </w:p>
    <w:p>
      <w:pPr>
        <w:spacing w:after="0" w:line="177" w:lineRule="exact"/>
        <w:rPr>
          <w:rFonts w:ascii="Arial" w:cs="Arial" w:eastAsia="Arial" w:hAnsi="Arial"/>
          <w:sz w:val="17"/>
          <w:szCs w:val="17"/>
          <w:color w:val="auto"/>
        </w:rPr>
      </w:pPr>
    </w:p>
    <w:p>
      <w:pPr>
        <w:jc w:val="both"/>
        <w:ind w:firstLine="1304"/>
        <w:spacing w:after="0" w:line="257" w:lineRule="auto"/>
        <w:tabs>
          <w:tab w:leader="none" w:pos="22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following any request therefor, (i) such other information regarding the operations, changes in ownership of Equity Interests, business affairs and financial condition of any Loan Party or any Subsidiary, or compliance with the terms of this Agreement, as the Administrative Agent or any Lender may reasonably request, and (ii) information and documentation reasonably requested by the Administrative Agent or any Lender for purposes of compliance with applicable “</w:t>
      </w:r>
      <w:r>
        <w:rPr>
          <w:rFonts w:ascii="Arial" w:cs="Arial" w:eastAsia="Arial" w:hAnsi="Arial"/>
          <w:sz w:val="18"/>
          <w:szCs w:val="18"/>
          <w:u w:val="single" w:color="auto"/>
          <w:color w:val="auto"/>
        </w:rPr>
        <w:t>know your customer</w:t>
      </w:r>
      <w:r>
        <w:rPr>
          <w:rFonts w:ascii="Arial" w:cs="Arial" w:eastAsia="Arial" w:hAnsi="Arial"/>
          <w:sz w:val="18"/>
          <w:szCs w:val="18"/>
          <w:color w:val="auto"/>
        </w:rPr>
        <w:t>” and anti-money laundering rules and regulations, including the USA PATRIOT Act and the Beneficial Ownership Regulation;</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2372"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promptly after receipt thereof by any Borrower or any Subsidiary, copies of each notice or other correspondence received from the SEC (or comparable agency in any applicable non-U.S. jurisdiction) concerning any investigation or possible investigation or other inquiry by the SEC or such other agency regarding financial or other operational results of any Borrower or any Subsidiary thereof</w:t>
      </w:r>
    </w:p>
    <w:p>
      <w:pPr>
        <w:spacing w:after="0" w:line="165" w:lineRule="exact"/>
        <w:rPr>
          <w:rFonts w:ascii="Arial" w:cs="Arial" w:eastAsia="Arial" w:hAnsi="Arial"/>
          <w:sz w:val="17"/>
          <w:szCs w:val="17"/>
          <w:color w:val="auto"/>
        </w:rPr>
      </w:pPr>
    </w:p>
    <w:p>
      <w:pPr>
        <w:jc w:val="both"/>
        <w:ind w:firstLine="1304"/>
        <w:spacing w:after="0" w:line="259" w:lineRule="auto"/>
        <w:tabs>
          <w:tab w:leader="none" w:pos="25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promptly following any request therefor, copies of any detailed audit reports, management letters or recommendations submitted to the board of directors (or the audit committee of the board of directors) of any Borrower by independent accountants in connection with the accounts or books of such Borrower or any Subsidiary, or any audit of any of them as the Administrative Agent or any Lender (through the Administrative Agent) may reasonably request; and</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3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Loan Parties acknowledge that the Administrative Agent may order, at the Borrowers’ expense, periodic certificates of good standing or the substantive equivalent available in the jurisdiction of incorporation, formation or organization for each Loan Party from the appropriate governmental officer in such jurisdiction.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2" w:name="page123"/>
    <w:bookmarkEnd w:id="122"/>
    <w:p>
      <w:pPr>
        <w:jc w:val="both"/>
        <w:ind w:firstLine="648"/>
        <w:spacing w:after="0" w:line="268" w:lineRule="auto"/>
        <w:rPr>
          <w:sz w:val="20"/>
          <w:szCs w:val="20"/>
          <w:color w:val="auto"/>
        </w:rPr>
      </w:pPr>
      <w:r>
        <w:rPr>
          <w:rFonts w:ascii="Arial" w:cs="Arial" w:eastAsia="Arial" w:hAnsi="Arial"/>
          <w:sz w:val="17"/>
          <w:szCs w:val="17"/>
          <w:color w:val="auto"/>
        </w:rPr>
        <w:t xml:space="preserve">Documents required to be delivered pursuant to Section 5.01(a), (b) or (p) (to the extent any such documents are included in materials otherwise filed with the SEC) may be delivered electronically and, if so delivered, shall be deemed to have been delivered on the date (i) on which such materials are publicly available as posted on the Electronic Data Gathering, Analysis and Retrieval system (EDGAR); or (ii) on which such documents are posted on a Borrower’s behalf on an Internet or intranet website, if any, to which each Lender and the Administrative Agent have access (whether a commercial, third-party website or whether made available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upon written request by the Administrative Agent (or any Lender through the Administrative Agent) to the Borrower Representative, the Borrower Representative shall deliver paper copies of such documents to the Administrative Agent or such Lender until a written request to cease delivering paper copies is given by the Administrative Agent or such Lender and (B) the Borrower Representative shall notify the Administrative Agent and each Lender (by fax or through Electronic Systems) of the posting of any such documents and provide to the Administrative Agent through Electronic Systems electronic versions (i.e., soft copies) of such documents. The Administrative Agent shall have no obligation to request the delivery of or to maintain paper copies of the documents referred to above, and in any event shall have no responsibility to monitor compliance by any Borrower with any such request by a Lender for delivery, and each Lender shall be solely responsible for timely accessing posted documents or requesting delivery of paper copies of such documents to it and maintaining its copies of such documents.</w:t>
      </w:r>
    </w:p>
    <w:p>
      <w:pPr>
        <w:spacing w:after="0" w:line="18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The Borrowers will furnish to the Administrative Agent and each Lender prompt (but in any event within any time period that may be specified below) written notice of the following:</w:t>
      </w:r>
    </w:p>
    <w:p>
      <w:pPr>
        <w:spacing w:after="0" w:line="170" w:lineRule="exact"/>
        <w:rPr>
          <w:sz w:val="20"/>
          <w:szCs w:val="20"/>
          <w:color w:val="auto"/>
        </w:rPr>
      </w:pPr>
    </w:p>
    <w:p>
      <w:pPr>
        <w:ind w:left="2220" w:hanging="916"/>
        <w:spacing w:after="0"/>
        <w:tabs>
          <w:tab w:leader="none" w:pos="2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225" w:lineRule="exact"/>
        <w:rPr>
          <w:rFonts w:ascii="Arial" w:cs="Arial" w:eastAsia="Arial" w:hAnsi="Arial"/>
          <w:sz w:val="18"/>
          <w:szCs w:val="18"/>
          <w:color w:val="auto"/>
        </w:rPr>
      </w:pPr>
    </w:p>
    <w:p>
      <w:pPr>
        <w:jc w:val="both"/>
        <w:ind w:firstLine="1304"/>
        <w:spacing w:after="0" w:line="255" w:lineRule="auto"/>
        <w:tabs>
          <w:tab w:leader="none" w:pos="2482"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receipt of any notice of any investigation by a Governmental Authority or any litigation or Proceeding commenced or threatened against any Loan Party or any Subsidiary that (i) seeks damages in excess of $500,000, (ii) seeks injunctive relief, (iii) is asserted or instituted against any Plan, its fiduciaries or its assets, (iv) alleges criminal misconduct by any Loan Party or any Subsidiary, (v) alleges the violation of, or seeks to impose remedies under, any Environmental Law or related Requirement of Law, or seeks to impose Environmental Liability, (vi) asserts liability on the part of any Loan Party or any Subsidiary in excess of $500,000 in respect of any tax, fee, assessment, or other governmental charge, or (vii) involves any product recall;</w:t>
      </w:r>
    </w:p>
    <w:p>
      <w:pPr>
        <w:spacing w:after="0" w:line="192" w:lineRule="exact"/>
        <w:rPr>
          <w:rFonts w:ascii="Arial" w:cs="Arial" w:eastAsia="Arial" w:hAnsi="Arial"/>
          <w:sz w:val="18"/>
          <w:szCs w:val="18"/>
          <w:color w:val="auto"/>
        </w:rPr>
      </w:pPr>
    </w:p>
    <w:p>
      <w:pPr>
        <w:ind w:left="2220" w:hanging="916"/>
        <w:spacing w:after="0"/>
        <w:tabs>
          <w:tab w:leader="none" w:pos="22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any Lien (other than Permitted Encumbrances) or claim made or asserted against any of the Collateral;</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any loss, damage, or destruction to the Collateral in the amount of $500,000 or more, whether or not covered by insurance;</w:t>
      </w:r>
    </w:p>
    <w:p>
      <w:pPr>
        <w:spacing w:after="0" w:line="248" w:lineRule="exact"/>
        <w:rPr>
          <w:rFonts w:ascii="Arial" w:cs="Arial" w:eastAsia="Arial" w:hAnsi="Arial"/>
          <w:sz w:val="16"/>
          <w:szCs w:val="16"/>
          <w:color w:val="auto"/>
        </w:rPr>
      </w:pPr>
    </w:p>
    <w:p>
      <w:pPr>
        <w:ind w:right="20" w:firstLine="1304"/>
        <w:spacing w:after="0" w:line="277" w:lineRule="auto"/>
        <w:tabs>
          <w:tab w:leader="none" w:pos="2391"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within two (2) Business Days of receipt thereof, any and all default notices received under or with respect to any leased location or public warehouse where Collateral is located;</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1304"/>
        <w:spacing w:after="0" w:line="277" w:lineRule="auto"/>
        <w:tabs>
          <w:tab w:leader="none" w:pos="263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within two (2) Business Days after the occurrence thereof, any Loan Party entering into a Swap Agreement or an amendment thereto, together with copies of all agreements evidencing such Swap Agreement or amendment;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3" w:name="page124"/>
    <w:bookmarkEnd w:id="123"/>
    <w:p>
      <w:pPr>
        <w:ind w:left="2240" w:hanging="936"/>
        <w:spacing w:after="0"/>
        <w:tabs>
          <w:tab w:leader="none" w:pos="2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material change in accounting or financial reporting practices by any Borrower or any Subsidiary;</w:t>
      </w:r>
    </w:p>
    <w:p>
      <w:pPr>
        <w:spacing w:after="0" w:line="225" w:lineRule="exact"/>
        <w:rPr>
          <w:rFonts w:ascii="Arial" w:cs="Arial" w:eastAsia="Arial" w:hAnsi="Arial"/>
          <w:sz w:val="18"/>
          <w:szCs w:val="18"/>
          <w:color w:val="auto"/>
        </w:rPr>
      </w:pPr>
    </w:p>
    <w:p>
      <w:pPr>
        <w:ind w:firstLine="1304"/>
        <w:spacing w:after="0" w:line="277" w:lineRule="auto"/>
        <w:tabs>
          <w:tab w:leader="none" w:pos="256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occurrence of any ERISA Event that, alone or together with any other ERISA Events that have occurred, would reasonably be expected to result in liability of the Loan Parties and their Subsidiaries in an aggregate amount exceeding $500,000;</w:t>
      </w:r>
    </w:p>
    <w:p>
      <w:pPr>
        <w:spacing w:after="0" w:line="170" w:lineRule="exact"/>
        <w:rPr>
          <w:rFonts w:ascii="Arial" w:cs="Arial" w:eastAsia="Arial" w:hAnsi="Arial"/>
          <w:sz w:val="18"/>
          <w:szCs w:val="18"/>
          <w:color w:val="auto"/>
        </w:rPr>
      </w:pPr>
    </w:p>
    <w:p>
      <w:pPr>
        <w:jc w:val="both"/>
        <w:ind w:firstLine="1304"/>
        <w:spacing w:after="0" w:line="263" w:lineRule="auto"/>
        <w:tabs>
          <w:tab w:leader="none" w:pos="225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change in the credit ratings from a credit rating agency, or the placement by a credit rating agency of any Loan Party on a “</w:t>
      </w:r>
      <w:r>
        <w:rPr>
          <w:rFonts w:ascii="Arial" w:cs="Arial" w:eastAsia="Arial" w:hAnsi="Arial"/>
          <w:sz w:val="18"/>
          <w:szCs w:val="18"/>
          <w:u w:val="single" w:color="auto"/>
          <w:color w:val="auto"/>
        </w:rPr>
        <w:t>Credit Watch</w:t>
      </w:r>
      <w:r>
        <w:rPr>
          <w:rFonts w:ascii="Arial" w:cs="Arial" w:eastAsia="Arial" w:hAnsi="Arial"/>
          <w:sz w:val="18"/>
          <w:szCs w:val="18"/>
          <w:color w:val="auto"/>
        </w:rPr>
        <w:t>” or “</w:t>
      </w:r>
      <w:r>
        <w:rPr>
          <w:rFonts w:ascii="Arial" w:cs="Arial" w:eastAsia="Arial" w:hAnsi="Arial"/>
          <w:sz w:val="18"/>
          <w:szCs w:val="18"/>
          <w:u w:val="single" w:color="auto"/>
          <w:color w:val="auto"/>
        </w:rPr>
        <w:t>WatchList</w:t>
      </w:r>
      <w:r>
        <w:rPr>
          <w:rFonts w:ascii="Arial" w:cs="Arial" w:eastAsia="Arial" w:hAnsi="Arial"/>
          <w:sz w:val="18"/>
          <w:szCs w:val="18"/>
          <w:color w:val="auto"/>
        </w:rPr>
        <w:t>” or any similar list, in each case with negative implications, or the cessation by a credit rating agency of, or its intent to cease, rating such Loan Party’s debt;</w:t>
      </w:r>
    </w:p>
    <w:p>
      <w:pPr>
        <w:spacing w:after="0" w:line="183" w:lineRule="exact"/>
        <w:rPr>
          <w:rFonts w:ascii="Arial" w:cs="Arial" w:eastAsia="Arial" w:hAnsi="Arial"/>
          <w:sz w:val="18"/>
          <w:szCs w:val="18"/>
          <w:color w:val="auto"/>
        </w:rPr>
      </w:pPr>
    </w:p>
    <w:p>
      <w:pPr>
        <w:ind w:left="2240" w:hanging="936"/>
        <w:spacing w:after="0"/>
        <w:tabs>
          <w:tab w:leader="none" w:pos="22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other development that results, or would reasonably be expected to result, in a Material Adverse Effect; and</w:t>
      </w:r>
    </w:p>
    <w:p>
      <w:pPr>
        <w:spacing w:after="0" w:line="225" w:lineRule="exact"/>
        <w:rPr>
          <w:rFonts w:ascii="Arial" w:cs="Arial" w:eastAsia="Arial" w:hAnsi="Arial"/>
          <w:sz w:val="18"/>
          <w:szCs w:val="18"/>
          <w:color w:val="auto"/>
        </w:rPr>
      </w:pPr>
    </w:p>
    <w:p>
      <w:pPr>
        <w:ind w:right="20" w:firstLine="1304"/>
        <w:spacing w:after="0" w:line="277" w:lineRule="auto"/>
        <w:tabs>
          <w:tab w:leader="none" w:pos="224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change in the information provided in the Beneficial Ownership Certification delivered to such Lender that would result in a change to the list of beneficial owners identified in such certification.</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Each notice delivered under this Section (i) shall be in writing, (ii) shall contain a heading or a reference line that reads “Notice” under Section 5.02 of Credit Agreement dated November 12, 2021 and (iii) shall be accompanied by a statement of a Financial Officer or other executive officer of the Borrower Representative setting forth the details of the event or development requiring such notice and any action taken or proposed to be taken with respect thereto.</w:t>
      </w:r>
    </w:p>
    <w:p>
      <w:pPr>
        <w:spacing w:after="0" w:line="14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Existence; Conduct of Business</w:t>
      </w:r>
      <w:r>
        <w:rPr>
          <w:rFonts w:ascii="Arial" w:cs="Arial" w:eastAsia="Arial" w:hAnsi="Arial"/>
          <w:sz w:val="17"/>
          <w:szCs w:val="17"/>
          <w:color w:val="auto"/>
        </w:rPr>
        <w:t xml:space="preserve">. Each Loan Party will, and will cause each Subsidiary to, (a) do or cause to be done all things necessary to preserve, renew and keep in full force and effect its legal existence and the rights, qualifications, licenses, permits, franchises, governmental authorizations, intellectual property rights, licenses and permits material to the conduct of its business, and maintain all requisite authority to conduct its business in each jurisdiction in which its business is conducted,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foregoing shall not prohibit any merger, consolidation, liquidation or dissolution permitted under Section 6.03, (b) carry on and conduct its business in substantially the same manner and in substantially the same fields of enterprise as it is presently conducted, and (c) comply with the terms and conditions of that certain Marijuana Cease and Desist letter, dated as on or about September 17, 2021, from Administrative Agent to the Company.</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Payment of Obligations</w:t>
      </w:r>
      <w:r>
        <w:rPr>
          <w:rFonts w:ascii="Arial" w:cs="Arial" w:eastAsia="Arial" w:hAnsi="Arial"/>
          <w:sz w:val="18"/>
          <w:szCs w:val="18"/>
          <w:color w:val="auto"/>
        </w:rPr>
        <w:t xml:space="preserve">. Each Loan Party will, and will cause each Subsidiary to, pay or discharge all Material Indebtedness and all other material liabilities and obligations, including Taxes, before the same shall become delinquent or in default, except where (a) the validity or amount thereof is being contested in good faith by appropriate proceedings, (b) such Loan Party or Subsidiary has set aside on its books adequate reserves with respect thereto in accordance with GAAP and (c) such liabilities would not result in aggregate liabilities in excess of $500,000 and none of the Collateral would become subject to forfeiture or loss as a result of the contest;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each Loan Party will, and will cause each Subsidiary to, remit withholding taxes and other payroll taxes to appropriate Governmental Authorities as and when claimed to be due, notwithstanding the foregoing exceptions.</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Each Loan Party will, and will cause each Subsidiary to, keep and maintain all property material to the conduct of its business in good working order and condition, ordinary wear and tear excepted.</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4" w:name="page125"/>
    <w:bookmarkEnd w:id="124"/>
    <w:p>
      <w:pPr>
        <w:jc w:val="both"/>
        <w:ind w:firstLine="648"/>
        <w:spacing w:after="0" w:line="286" w:lineRule="auto"/>
        <w:rPr>
          <w:sz w:val="20"/>
          <w:szCs w:val="20"/>
          <w:color w:val="auto"/>
        </w:rPr>
      </w:pPr>
      <w:r>
        <w:rPr>
          <w:rFonts w:ascii="Arial" w:cs="Arial" w:eastAsia="Arial" w:hAnsi="Arial"/>
          <w:sz w:val="16"/>
          <w:szCs w:val="16"/>
          <w:color w:val="auto"/>
        </w:rPr>
        <w:t xml:space="preserve">SECTION 5.06. </w:t>
      </w:r>
      <w:r>
        <w:rPr>
          <w:rFonts w:ascii="Arial" w:cs="Arial" w:eastAsia="Arial" w:hAnsi="Arial"/>
          <w:sz w:val="16"/>
          <w:szCs w:val="16"/>
          <w:u w:val="single" w:color="auto"/>
          <w:color w:val="auto"/>
        </w:rPr>
        <w:t>Books and Records; Inspection Rights</w:t>
      </w:r>
      <w:r>
        <w:rPr>
          <w:rFonts w:ascii="Arial" w:cs="Arial" w:eastAsia="Arial" w:hAnsi="Arial"/>
          <w:sz w:val="16"/>
          <w:szCs w:val="16"/>
          <w:color w:val="auto"/>
        </w:rPr>
        <w:t xml:space="preserve">. Each Loan Party will, and will cause each Subsidiary to, (a) keep proper books of record and account in which full, true and correct entries are made of all dealings and transactions in relation to its business and activities and (b) permit any representatives designated by the Administrative Agent or any Lender (including employees of the Administrative Agent, any Lender or any consultants, accountants, lawyers, agents and appraisers retained by the Administrative Agent), upon reasonable prior notice, to visit and inspect its properties, to conduct at such Loan Party’s premises field examinations of such Loan Party’s assets, liabilities, books and records, including examining and making extracts from its books and records, environmental assessment reports and Phase I or Phase II studies, and to discuss its affairs, finances and condition with its officers and independent accountants (and hereby authorizes the Administrative Agent and each Lender to contact its independent accountants directly) and to provide contact information for each bank where each Loan Party has a depository and/or securities account and each such Loan Party hereby authorizes the Administrative Agent and each Lender to contact the bank(s) in order to request bank statements and/or balances, all at such reasonable times and as often as reasonably requested. Each Loan Party acknowledges that the Administrative Agent, after exercising its rights of inspection, may prepare and distribute to the Lenders certain Reports pertaining to such Loan Party’s assets for internal use by the Administrative Agent and the Lenders. The Loan Parties shall be responsible for the costs of expenses of one (1) field examination during any 12-month period (or two (2) if Availability has been less than the greater of (x) $4,000,000 or (y) an amount equal to 15% of the Aggregate Revolving Commitment at any time in such 12 month period) (excluding any field examination conducted in connection with a Permitted Acquisition or any field examination conducted prior to the Effective Date); </w:t>
      </w:r>
      <w:r>
        <w:rPr>
          <w:rFonts w:ascii="Arial" w:cs="Arial" w:eastAsia="Arial" w:hAnsi="Arial"/>
          <w:sz w:val="16"/>
          <w:szCs w:val="16"/>
          <w:u w:val="single" w:color="auto"/>
          <w:color w:val="auto"/>
        </w:rPr>
        <w:t>provided</w:t>
      </w:r>
      <w:r>
        <w:rPr>
          <w:rFonts w:ascii="Arial" w:cs="Arial" w:eastAsia="Arial" w:hAnsi="Arial"/>
          <w:sz w:val="16"/>
          <w:szCs w:val="16"/>
          <w:color w:val="auto"/>
        </w:rPr>
        <w:t>, that the Loan Parties shall be responsible for the costs and expenses of all field examinations conducted while an Event of Default has occurred and is continuing.</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 and Material Contractual Obligations</w:t>
      </w:r>
      <w:r>
        <w:rPr>
          <w:rFonts w:ascii="Arial" w:cs="Arial" w:eastAsia="Arial" w:hAnsi="Arial"/>
          <w:sz w:val="18"/>
          <w:szCs w:val="18"/>
          <w:color w:val="auto"/>
        </w:rPr>
        <w:t>. Each Loan Party will, and will cause each Subsidiary to, (a) comply with each Requirement of Law applicable to it or its property (including without limitation Environmental Laws) and (b) perform in all material respects its obligations under material agreements to which it is a party, except, in each case, where the failure to do so, individually or in the aggregate, could not reasonably be expected to result in a Material Adverse Effect. Each Loan Party will maintain in effect and enforce policies and procedures designed to ensure compliance by such Loan Party, its Subsidiaries and their respective directors, officers, employees and agents with Anti-Corruption Laws and applicable Sanctions.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9" w:lineRule="auto"/>
        <w:tabs>
          <w:tab w:leader="none" w:pos="225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proceeds of the Loans and the Letters of Credit will be used only for working capital and general corporate purposes of the Borrowers in the ordinary course of business and to refinance certain existing Indebtedness. No part of the proceeds of any Loan and no Letter of Credit will be used, whether directly or indirectly, for any purpose that entails a violation of any of the regulations of the Federal Reserve Board, including Regulations T, U and X.</w:t>
      </w:r>
    </w:p>
    <w:p>
      <w:pPr>
        <w:spacing w:after="0" w:line="186" w:lineRule="exact"/>
        <w:rPr>
          <w:rFonts w:ascii="Arial" w:cs="Arial" w:eastAsia="Arial" w:hAnsi="Arial"/>
          <w:sz w:val="18"/>
          <w:szCs w:val="18"/>
          <w:color w:val="auto"/>
        </w:rPr>
      </w:pPr>
    </w:p>
    <w:p>
      <w:pPr>
        <w:jc w:val="both"/>
        <w:ind w:firstLine="1304"/>
        <w:spacing w:after="0" w:line="273" w:lineRule="auto"/>
        <w:tabs>
          <w:tab w:leader="none" w:pos="233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 Borrower will request any Borrowing or Letter of Credit, and no Borrower shall use, and each Borrower shall procure that its Subsidiaries and its and their respective directors, officers, employees and agents shall not use, the proceeds of any Borrowing or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17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Accuracy of Information</w:t>
      </w:r>
      <w:r>
        <w:rPr>
          <w:rFonts w:ascii="Arial" w:cs="Arial" w:eastAsia="Arial" w:hAnsi="Arial"/>
          <w:sz w:val="18"/>
          <w:szCs w:val="18"/>
          <w:color w:val="auto"/>
        </w:rPr>
        <w:t xml:space="preserve">. The Loan Parties will ensure that any information, including financial statements or other documents, furnished to the Administrative Agent or the Lenders in connection with this Agreement or any other Loan Document or any amendment or modification hereof or thereof or waiver hereunder or thereunder contains no material misstatement of fact or omits to state any material fact necessary to make the statements therein, in the light of the circumstances under which they were made, not misleading, and the furnishing of such information shall be deemed to be a representation and warranty by the Borrowers on the date thereof as to the matters specified in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projected financial information, the Loan Parties will only ensure that such information was prepared in good faith based upon assumptions believed to be reasonable at the time.</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5" w:name="page126"/>
    <w:bookmarkEnd w:id="125"/>
    <w:p>
      <w:pPr>
        <w:jc w:val="both"/>
        <w:ind w:firstLine="648"/>
        <w:spacing w:after="0" w:line="293"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Insurance</w:t>
      </w:r>
      <w:r>
        <w:rPr>
          <w:rFonts w:ascii="Arial" w:cs="Arial" w:eastAsia="Arial" w:hAnsi="Arial"/>
          <w:sz w:val="16"/>
          <w:szCs w:val="16"/>
          <w:color w:val="auto"/>
        </w:rPr>
        <w:t>. Each Loan Party will, and will cause each Subsidiary to, maintain with financially sound and reputable carriers having a financial strength rating of at least A- by A.M. Best Company (a) insurance in such amounts (with no greater risk retention) and against such risks (including, without limitation: loss or damage by fire and loss in transit; theft, burglary, pilferage, larceny, embezzlement, and other criminal activities; business interruption; and general liability) and such other hazards, as is customarily maintained by companies of established repute engaged in the same or similar businesses operating in the same or similar locations and (b) all insurance required pursuant to the Collateral Documents. The Borrowers will furnish to the Lenders, upon request of the Administrative Agent, information in reasonable detail as to the insurance so maintained.</w:t>
      </w:r>
    </w:p>
    <w:p>
      <w:pPr>
        <w:spacing w:after="0" w:line="16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Casualty and Condemnation</w:t>
      </w:r>
      <w:r>
        <w:rPr>
          <w:rFonts w:ascii="Arial" w:cs="Arial" w:eastAsia="Arial" w:hAnsi="Arial"/>
          <w:sz w:val="18"/>
          <w:szCs w:val="18"/>
          <w:color w:val="auto"/>
        </w:rPr>
        <w:t>. The Borrowers will (a) furnish to the Administrative Agent and the Lenders prompt written notice of any casualty or other insured damage to any material portion of the Collateral or the commencement of any action or proceeding for the taking of any material portion of the Collateral or interest therein under power of eminent domain or by condemnation or similar proceeding and (b) ensure that the Net Proceeds of any such event (whether in the form of insurance proceeds, condemnation awards or otherwise) are collected and applied in accordance with the applicable provisions of this Agreement and the Collateral Documents.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Appraisals</w:t>
      </w:r>
      <w:r>
        <w:rPr>
          <w:rFonts w:ascii="Arial" w:cs="Arial" w:eastAsia="Arial" w:hAnsi="Arial"/>
          <w:sz w:val="16"/>
          <w:szCs w:val="16"/>
          <w:color w:val="auto"/>
        </w:rPr>
        <w:t>. At any time that the Administrative Agent requests, each Loan Party will provide the Administrative Agent with appraisals or updates thereof of its Inventory from an appraiser selected and engaged by the Administrative Agent, and prepared on a basis reasonably satisfactory to the Administrative Agent, such appraisals and updates to include, without limitation, information required by any applicable Requirement of Law. The Loan Parties shall be responsible for the costs of expenses of one (1) Inventory appraisal during any 12-month period (excluding any Inventory appraisals conducted in connection with a Permitted Acquisition or any field examination conducted prior to the Effective Date). Additionally, Inventory appraisals may be conducted from time to time, but no less frequently than monthly if an Event of Default has occurred and is continuing, and the Loan Parties shall be responsible for the costs and expenses of any such appraisals conducted while an Event of Default has occurred and is continuing.</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u w:val="single" w:color="auto"/>
          <w:color w:val="auto"/>
        </w:rPr>
        <w:t>Depository Banks</w:t>
      </w:r>
      <w:r>
        <w:rPr>
          <w:rFonts w:ascii="Arial" w:cs="Arial" w:eastAsia="Arial" w:hAnsi="Arial"/>
          <w:sz w:val="18"/>
          <w:szCs w:val="18"/>
          <w:color w:val="auto"/>
        </w:rPr>
        <w:t>. Commencing sixty (60) days after the Effective Date (or such longer period as agreed to by the Administrative Agent in its sole discretion), each Borrower and each Subsidiary will maintain the Administrative Agent as its principal depository bank, including for the maintenance of operating, administrative, cash management, collection activity and other deposit accounts for the conduct of its business. Such accounts may not be used to receive or transact with any funds related to marijuana businesses. Additionally, the Administrative Agent shall be the principal provider of other Banking Services to the Borrowers and their Subsidiaries.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5.14. </w:t>
      </w:r>
      <w:r>
        <w:rPr>
          <w:rFonts w:ascii="Arial" w:cs="Arial" w:eastAsia="Arial" w:hAnsi="Arial"/>
          <w:sz w:val="17"/>
          <w:szCs w:val="17"/>
          <w:u w:val="single" w:color="auto"/>
          <w:color w:val="auto"/>
        </w:rPr>
        <w:t>Additional Collateral; Further Assurances</w:t>
      </w:r>
      <w:r>
        <w:rPr>
          <w:rFonts w:ascii="Arial" w:cs="Arial" w:eastAsia="Arial" w:hAnsi="Arial"/>
          <w:sz w:val="17"/>
          <w:szCs w:val="17"/>
          <w:color w:val="auto"/>
        </w:rPr>
        <w:t>. (a) Subject to applicable Requirement of Law, each Loan Party will cause each Domestic Subsidiary formed or acquired after the date of this Agreement to become a Loan Party by executing a Joinder Agreement. In connection therewith, the Administrative Agent shall have received all documentation and other information regarding such newly formed or acquired Subsidiaries as may be required to comply with the applicable “know your customer” rules and regulations, including the USA Patriot Act. Upon execution and delivery thereof, each such Person (i) shall automatically become a Loan Guarantor hereunder and thereupon shall have all of the rights, benefits, duties and obligations in such capacity under the Loan Documents and (ii) will grant Liens to the Administrative Agent, for the benefit of the Administrative Agent and the other Secured Parties, in any property of such Loan Party which constitutes Collateral.</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6" w:name="page127"/>
    <w:bookmarkEnd w:id="126"/>
    <w:p>
      <w:pPr>
        <w:ind w:left="2272" w:hanging="976"/>
        <w:spacing w:after="0"/>
        <w:tabs>
          <w:tab w:leader="none" w:pos="2272"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Each Loan Party will cause (i) 100% of the issued and outstanding Equity Interests of each of its Domestic Subsidiaries and</w:t>
      </w:r>
    </w:p>
    <w:p>
      <w:pPr>
        <w:spacing w:after="0" w:line="46" w:lineRule="exact"/>
        <w:rPr>
          <w:rFonts w:ascii="Arial" w:cs="Arial" w:eastAsia="Arial" w:hAnsi="Arial"/>
          <w:sz w:val="16"/>
          <w:szCs w:val="16"/>
          <w:color w:val="auto"/>
        </w:rPr>
      </w:pPr>
    </w:p>
    <w:p>
      <w:pPr>
        <w:jc w:val="both"/>
        <w:ind w:left="-8" w:firstLine="8"/>
        <w:spacing w:after="0" w:line="288" w:lineRule="auto"/>
        <w:tabs>
          <w:tab w:leader="none" w:pos="25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65% (or such greater percentage that, (1) could not reasonably be expected to cause the undistributed earnings of such Foreign Subsidiary as determined for U.S. federal income tax purposes to be treated as a deemed dividend to such Foreign Subsidiary’s U.S. parent and (2) could not reasonably be expected to cause any material adverse tax consequences) of the issued and outstanding Equity Interests of each of its Foreign Subsidiaries entitled to vote (within the meaning of Treas. Reg. Section 1.956-2(c)(2)) and 100% of the issued and outstanding Equity Interests not entitled to vote (within the meaning of Treas. Reg. Section 1.956-2(c)(2)) in each Foreign Subsidiary directly owned by such Borrower or any Domestic Subsidiary to be subject at all times to a first priority, perfected Lien in favor of the Administrative Agent, for the benefit of the Administrative Agent and the other Secured Parties, pursuant to the terms and conditions of the Loan Documents or other security documents as the Administrative Agent shall reasonably request.</w:t>
      </w:r>
    </w:p>
    <w:p>
      <w:pPr>
        <w:spacing w:after="0" w:line="168" w:lineRule="exact"/>
        <w:rPr>
          <w:rFonts w:ascii="Arial" w:cs="Arial" w:eastAsia="Arial" w:hAnsi="Arial"/>
          <w:sz w:val="16"/>
          <w:szCs w:val="16"/>
          <w:color w:val="auto"/>
        </w:rPr>
      </w:pPr>
    </w:p>
    <w:p>
      <w:pPr>
        <w:jc w:val="both"/>
        <w:ind w:left="-8" w:firstLine="1304"/>
        <w:spacing w:after="0" w:line="272" w:lineRule="auto"/>
        <w:tabs>
          <w:tab w:leader="none" w:pos="2275" w:val="left"/>
        </w:tabs>
        <w:numPr>
          <w:ilvl w:val="1"/>
          <w:numId w:val="118"/>
        </w:numPr>
        <w:rPr>
          <w:rFonts w:ascii="Arial" w:cs="Arial" w:eastAsia="Arial" w:hAnsi="Arial"/>
          <w:sz w:val="17"/>
          <w:szCs w:val="17"/>
          <w:color w:val="auto"/>
        </w:rPr>
      </w:pPr>
      <w:r>
        <w:rPr>
          <w:rFonts w:ascii="Arial" w:cs="Arial" w:eastAsia="Arial" w:hAnsi="Arial"/>
          <w:sz w:val="17"/>
          <w:szCs w:val="17"/>
          <w:color w:val="auto"/>
        </w:rPr>
        <w:t>Without limiting the foregoing, each Loan Party will, and will cause each Subsidiary to, execute and deliver, or cause to be executed and delivered, to the Administrative Agent such documents, agreements and instruments, and will take or cause to be taken such further actions (including the filing and recording of financing statements, fixture filings, mortgages, deeds of trust and other documents and such other actions or deliveries of the type required by Section 4.01, as applicable), which may be required by any Requirement of Law or which the Administrative Agent may, from time to time, reasonably request to carry out the terms and conditions of this Agreement and the other Loan Documents and to ensure perfection and priority of the Liens created or intended to be created by the Collateral Documents, all in form and substance reasonably satisfactory to the Administrative Agent and all at the expense of the Loan Parties.</w:t>
      </w:r>
    </w:p>
    <w:p>
      <w:pPr>
        <w:spacing w:after="0" w:line="177" w:lineRule="exact"/>
        <w:rPr>
          <w:rFonts w:ascii="Arial" w:cs="Arial" w:eastAsia="Arial" w:hAnsi="Arial"/>
          <w:sz w:val="17"/>
          <w:szCs w:val="17"/>
          <w:color w:val="auto"/>
        </w:rPr>
      </w:pPr>
    </w:p>
    <w:p>
      <w:pPr>
        <w:jc w:val="both"/>
        <w:ind w:left="-8" w:firstLine="1304"/>
        <w:spacing w:after="0" w:line="255" w:lineRule="auto"/>
        <w:tabs>
          <w:tab w:leader="none" w:pos="2244"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If any material assets are acquired by any Loan Party after the Effective Date (other than assets constituting Collateral under the Security Agreement that become subject to the Lien under the Security Agreement upon acquisition thereof and any Excluded Assets), the Borrower Representative will (i) notify the Administrative Agent and the Lenders thereof and, if requested by the Administrative Agent or the Required Lenders, cause such assets to be subjected to a Lien securing the Secured Obligations and (ii) take, and cause each applicable Loan Party to take, such actions as shall be necessary or reasonably requested by the Administrative Agent to grant and perfect such Liens, including actions described in paragraph (c) of this Section, all at the expense of the Loan Parties.</w:t>
      </w:r>
    </w:p>
    <w:p>
      <w:pPr>
        <w:spacing w:after="0" w:line="19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Post-Closing Covenants</w:t>
      </w:r>
      <w:r>
        <w:rPr>
          <w:rFonts w:ascii="Arial" w:cs="Arial" w:eastAsia="Arial" w:hAnsi="Arial"/>
          <w:sz w:val="18"/>
          <w:szCs w:val="18"/>
          <w:color w:val="auto"/>
        </w:rPr>
        <w:t>.</w:t>
      </w:r>
    </w:p>
    <w:p>
      <w:pPr>
        <w:spacing w:after="0" w:line="225" w:lineRule="exact"/>
        <w:rPr>
          <w:sz w:val="20"/>
          <w:szCs w:val="20"/>
          <w:color w:val="auto"/>
        </w:rPr>
      </w:pPr>
    </w:p>
    <w:p>
      <w:pPr>
        <w:jc w:val="both"/>
        <w:ind w:left="-8" w:firstLine="1304"/>
        <w:spacing w:after="0" w:line="257" w:lineRule="auto"/>
        <w:tabs>
          <w:tab w:leader="none" w:pos="2275"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Deposit Account Control Agreements</w:t>
      </w:r>
      <w:r>
        <w:rPr>
          <w:rFonts w:ascii="Arial" w:cs="Arial" w:eastAsia="Arial" w:hAnsi="Arial"/>
          <w:sz w:val="18"/>
          <w:szCs w:val="18"/>
          <w:color w:val="auto"/>
        </w:rPr>
        <w:t>. Within forty-five (45) days of the Effective Date (or such longer period as agreed to by the Administrative Agent in its sole discretion), Borrowers shall deliver to the Administrative Agent each Deposit Account Control Agreement (as defined in the Security Agreement) that is required to be provided pursuant to Sections 4.14 and 7.1 of the Security Agreement or close the applicable Deposit Account (as defined in the Security Agreement) and transfer all amounts on deposit therein to one or more Deposit Accounts (as defined in the Security Agreement) at JPMCB.</w:t>
      </w:r>
    </w:p>
    <w:p>
      <w:pPr>
        <w:spacing w:after="0" w:line="187" w:lineRule="exact"/>
        <w:rPr>
          <w:rFonts w:ascii="Arial" w:cs="Arial" w:eastAsia="Arial" w:hAnsi="Arial"/>
          <w:sz w:val="18"/>
          <w:szCs w:val="18"/>
          <w:color w:val="auto"/>
        </w:rPr>
      </w:pPr>
    </w:p>
    <w:p>
      <w:pPr>
        <w:jc w:val="both"/>
        <w:ind w:left="-8" w:firstLine="1304"/>
        <w:spacing w:after="0" w:line="259" w:lineRule="auto"/>
        <w:tabs>
          <w:tab w:leader="none" w:pos="2501"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Insurance Endorsements</w:t>
      </w:r>
      <w:r>
        <w:rPr>
          <w:rFonts w:ascii="Arial" w:cs="Arial" w:eastAsia="Arial" w:hAnsi="Arial"/>
          <w:sz w:val="18"/>
          <w:szCs w:val="18"/>
          <w:color w:val="auto"/>
        </w:rPr>
        <w:t>. Within forty-five (45) days of the Effective Date (or such longer period as agreed to by the Administrative Agent in its sole discretion), Borrowers shall deliver to the Administrative Agent insurance endorsements naming Administrative Agent as a lender’s loss payee and an additional insured, as applicable, under Borrowers’ insurance policies on behalf of the Lenders, as required by Administrative Agent.</w:t>
      </w:r>
    </w:p>
    <w:p>
      <w:pPr>
        <w:spacing w:after="0" w:line="29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27" w:name="page128"/>
    <w:bookmarkEnd w:id="127"/>
    <w:p>
      <w:pPr>
        <w:jc w:val="both"/>
        <w:ind w:firstLine="1304"/>
        <w:spacing w:after="0" w:line="255" w:lineRule="auto"/>
        <w:tabs>
          <w:tab w:leader="none" w:pos="2242" w:val="left"/>
        </w:tabs>
        <w:numPr>
          <w:ilvl w:val="0"/>
          <w:numId w:val="120"/>
        </w:numPr>
        <w:rPr>
          <w:rFonts w:ascii="Arial" w:cs="Arial" w:eastAsia="Arial" w:hAnsi="Arial"/>
          <w:sz w:val="18"/>
          <w:szCs w:val="18"/>
          <w:color w:val="auto"/>
        </w:rPr>
      </w:pPr>
      <w:r>
        <w:rPr>
          <w:rFonts w:ascii="Arial" w:cs="Arial" w:eastAsia="Arial" w:hAnsi="Arial"/>
          <w:sz w:val="18"/>
          <w:szCs w:val="18"/>
          <w:u w:val="single" w:color="auto"/>
          <w:color w:val="auto"/>
        </w:rPr>
        <w:t>SBA Payoff</w:t>
      </w:r>
      <w:r>
        <w:rPr>
          <w:rFonts w:ascii="Arial" w:cs="Arial" w:eastAsia="Arial" w:hAnsi="Arial"/>
          <w:sz w:val="18"/>
          <w:szCs w:val="18"/>
          <w:color w:val="auto"/>
        </w:rPr>
        <w:t>. Within sixty (60) days of the Effective Date (or such longer period as agreed to by the Administrative Agent in its sole discretion), Borrowers shall (i) provide evidence to Administrative Agent, in form and substance satisfactory to Administrative Agent, that (x) the obligations owed by the Company to the Small Business Administration (“SBA”) as set forth on Schedule 6.01 have been paid in full, and (y) the Liens and financing statements in favor of the SBA as set forth on Schedule 6.02 have been released and terminated, and (ii) deliver to Administrative Agent the original stock certificates for E Marketing Solution Inc. and Global Product Marketing Inc., together with undated, but signed stock powers, in form and substance satisfactory to Administrative Agent.</w:t>
      </w:r>
    </w:p>
    <w:p>
      <w:pPr>
        <w:spacing w:after="0" w:line="192" w:lineRule="exact"/>
        <w:rPr>
          <w:rFonts w:ascii="Arial" w:cs="Arial" w:eastAsia="Arial" w:hAnsi="Arial"/>
          <w:sz w:val="18"/>
          <w:szCs w:val="18"/>
          <w:color w:val="auto"/>
        </w:rPr>
      </w:pPr>
    </w:p>
    <w:p>
      <w:pPr>
        <w:jc w:val="both"/>
        <w:ind w:firstLine="1304"/>
        <w:spacing w:after="0" w:line="311" w:lineRule="auto"/>
        <w:tabs>
          <w:tab w:leader="none" w:pos="2293" w:val="left"/>
        </w:tabs>
        <w:numPr>
          <w:ilvl w:val="0"/>
          <w:numId w:val="120"/>
        </w:numPr>
        <w:rPr>
          <w:rFonts w:ascii="Arial" w:cs="Arial" w:eastAsia="Arial" w:hAnsi="Arial"/>
          <w:sz w:val="16"/>
          <w:szCs w:val="16"/>
          <w:color w:val="auto"/>
        </w:rPr>
      </w:pPr>
      <w:r>
        <w:rPr>
          <w:rFonts w:ascii="Arial" w:cs="Arial" w:eastAsia="Arial" w:hAnsi="Arial"/>
          <w:sz w:val="16"/>
          <w:szCs w:val="16"/>
          <w:u w:val="single" w:color="auto"/>
          <w:color w:val="auto"/>
        </w:rPr>
        <w:t>Insurance Certificates</w:t>
      </w:r>
      <w:r>
        <w:rPr>
          <w:rFonts w:ascii="Arial" w:cs="Arial" w:eastAsia="Arial" w:hAnsi="Arial"/>
          <w:sz w:val="16"/>
          <w:szCs w:val="16"/>
          <w:color w:val="auto"/>
        </w:rPr>
        <w:t>. Within ten (10) days of the Effective Date (or such longer period as agreed to by the Administrative Agent in its sole discretion), Borrowers shall deliver to the Administrative Agent certificates of insurance evidencing sufficient property, liability, stock and any other insurance coverage as may be required by Administrative Agent, in form and substance satisfactory to Administrative Agent.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Until all of the Secured Obligations have been Paid in Full, each Loan Party executing this Agreement covenants and agrees, jointly and severally with all of the other Loan Parties, with the Lenders that: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u w:val="single" w:color="auto"/>
          <w:color w:val="auto"/>
        </w:rPr>
        <w:t>Indebtedness</w:t>
      </w:r>
      <w:r>
        <w:rPr>
          <w:rFonts w:ascii="Arial" w:cs="Arial" w:eastAsia="Arial" w:hAnsi="Arial"/>
          <w:sz w:val="16"/>
          <w:szCs w:val="16"/>
          <w:color w:val="auto"/>
        </w:rPr>
        <w:t>. No Loan Party will, nor will it permit any Subsidiary to, create, incur, assume or suffer to exist any Indebtedness,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211" w:lineRule="exact"/>
        <w:rPr>
          <w:sz w:val="20"/>
          <w:szCs w:val="20"/>
          <w:color w:val="auto"/>
        </w:rPr>
      </w:pPr>
    </w:p>
    <w:p>
      <w:pPr>
        <w:ind w:left="2240" w:hanging="936"/>
        <w:spacing w:after="0"/>
        <w:tabs>
          <w:tab w:leader="none" w:pos="22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Secured Obligations (including Indebtedness created under an incremental revolving facility increase pursuant to Section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2.09);</w:t>
      </w:r>
    </w:p>
    <w:p>
      <w:pPr>
        <w:spacing w:after="0" w:line="211" w:lineRule="exact"/>
        <w:rPr>
          <w:sz w:val="20"/>
          <w:szCs w:val="20"/>
          <w:color w:val="auto"/>
        </w:rPr>
      </w:pPr>
    </w:p>
    <w:p>
      <w:pPr>
        <w:ind w:firstLine="1304"/>
        <w:spacing w:after="0" w:line="277" w:lineRule="auto"/>
        <w:tabs>
          <w:tab w:leader="none" w:pos="245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Indebtedness existing on the date hereof and set forth in Schedule 6.01 and any extensions, renewals, refinancings and replacements of any such Indebtedness in accordance with clause (f) hereof;</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28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Indebtedness of any Loan Party to any other Loan Party or any Subsidiary of a Loan Party and of any Subsidiary of a Loan Party to any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Indebtedness of any Subsidiary that is not a Loan Party to any Loan Party shall be subject to Section 6.04 and (ii) Indebtedness of any Loan Party to any Subsidiary that is not a Loan Party shall be subordinated to the Secured Obligations on terms reasonably satisfactory to the Administrative Agent;</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46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Guarantees by any Loan Party of Indebtedness of any other Loan Party or any Subsidiary of a Loan Party and by any Subsidiary of a Loan Party of Indebtedness of any Loan Party or any other Subsidiary of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Indebtedness so Guaranteed is permitted by this Section 6.01, (ii) Guarantees by any Loan Party of Indebtedness of any Subsidiary that is not a Loan Party shall be subject to Section 6.04 and (iii) Guarantees permitted under this clause (d) shall be subordinated to the Secured Obligations on the same terms as the Indebtedness so Guaranteed is subordinated to the Secured Obligations;</w:t>
      </w:r>
    </w:p>
    <w:p>
      <w:pPr>
        <w:spacing w:after="0" w:line="187" w:lineRule="exact"/>
        <w:rPr>
          <w:rFonts w:ascii="Arial" w:cs="Arial" w:eastAsia="Arial" w:hAnsi="Arial"/>
          <w:sz w:val="18"/>
          <w:szCs w:val="18"/>
          <w:color w:val="auto"/>
        </w:rPr>
      </w:pPr>
    </w:p>
    <w:p>
      <w:pPr>
        <w:jc w:val="both"/>
        <w:ind w:firstLine="1304"/>
        <w:spacing w:after="0" w:line="254" w:lineRule="auto"/>
        <w:tabs>
          <w:tab w:leader="none" w:pos="260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Indebtedness of any Borrower or any Subsidiary of a Borrower incurred to finance the acquisition, construction or improvement of any fixed or capital assets (whether or not constituting purchase money Indebtedness), including Capital Lease Obligations and any Indebtedness assumed in connection with the acquisition of any such assets or secured by a Lien on any such assets prior to the acquisition thereof, and extensions, renewals and replacements of any such Indebtedness in accordance with clause (f)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is incurred prior to or within 90 days after such acquisition or the completion of such construction or improvement and (ii) the aggregate principal amount of Indebtedness permitted by this clause (e) together with any Refinance Indebtedness in respect thereof permitted by clause (f) below, shall not exceed $1,000,000 at any time outstanding;</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8" w:name="page129"/>
    <w:bookmarkEnd w:id="128"/>
    <w:p>
      <w:pPr>
        <w:jc w:val="both"/>
        <w:ind w:firstLine="1304"/>
        <w:spacing w:after="0" w:line="288" w:lineRule="auto"/>
        <w:tabs>
          <w:tab w:leader="none" w:pos="244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Indebtedness which represents extensions, renewals, refinancing or replacements (such Indebtedness being so extended, renewed, refinanced or replaced being referred to herein as the “Refinance Indebtedness”) of any of the Indebtedness described in clauses (b), (e) and (i) hereof (such Indebtedness being referred to herein as the “Original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Refinance Indebtedness does not increase the principal amount or interest rate of the Original Indebtedness, (ii) any Liens securing such Refinance Indebtedness are not extended to any additional property of any Loan Party or any Subsidiary, (iii) no Loan Party or any Subsidiary that is not originally obligated with respect to repayment of such Original Indebtedness is required to become obligated with respect to such Refinance Indebtedness, (iv) such Refinance Indebtedness does not result in a shortening of the average weighted maturity of such Original Indebtedness, (v) the terms of such Refinance Indebtedness other than fees and interests are not less favorable to the obligor thereunder than the original terms of such Original Indebtedness and (vi) if such Original Indebtedness was subordinated in right of payment to the Secured Obligations, then the terms and conditions of such Refinance Indebtedness must include subordination terms and conditions that are at least as favorable to the Administrative Agent and the Lenders as those that were applicable to such Original Indebtedness;</w:t>
      </w:r>
    </w:p>
    <w:p>
      <w:pPr>
        <w:spacing w:after="0" w:line="168" w:lineRule="exact"/>
        <w:rPr>
          <w:rFonts w:ascii="Arial" w:cs="Arial" w:eastAsia="Arial" w:hAnsi="Arial"/>
          <w:sz w:val="16"/>
          <w:szCs w:val="16"/>
          <w:color w:val="auto"/>
        </w:rPr>
      </w:pPr>
    </w:p>
    <w:p>
      <w:pPr>
        <w:jc w:val="both"/>
        <w:ind w:firstLine="1304"/>
        <w:spacing w:after="0" w:line="263" w:lineRule="auto"/>
        <w:tabs>
          <w:tab w:leader="none" w:pos="257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w:t>
      </w:r>
    </w:p>
    <w:p>
      <w:pPr>
        <w:spacing w:after="0" w:line="183" w:lineRule="exact"/>
        <w:rPr>
          <w:rFonts w:ascii="Arial" w:cs="Arial" w:eastAsia="Arial" w:hAnsi="Arial"/>
          <w:sz w:val="18"/>
          <w:szCs w:val="18"/>
          <w:color w:val="auto"/>
        </w:rPr>
      </w:pPr>
    </w:p>
    <w:p>
      <w:pPr>
        <w:ind w:firstLine="1304"/>
        <w:spacing w:after="0" w:line="277" w:lineRule="auto"/>
        <w:tabs>
          <w:tab w:leader="none" w:pos="254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Indebtedness of any Loan Party in respect of performance bonds, bid bonds, appeal bonds, surety bonds and similar obligations, in each case provided in the ordinary course of business;</w:t>
      </w:r>
    </w:p>
    <w:p>
      <w:pPr>
        <w:spacing w:after="0" w:line="170" w:lineRule="exact"/>
        <w:rPr>
          <w:rFonts w:ascii="Arial" w:cs="Arial" w:eastAsia="Arial" w:hAnsi="Arial"/>
          <w:sz w:val="18"/>
          <w:szCs w:val="18"/>
          <w:color w:val="auto"/>
        </w:rPr>
      </w:pPr>
    </w:p>
    <w:p>
      <w:pPr>
        <w:ind w:firstLine="1304"/>
        <w:spacing w:after="0" w:line="277" w:lineRule="auto"/>
        <w:tabs>
          <w:tab w:leader="none" w:pos="2446"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Subordinated Indebtedness in an aggregate principal amount not exceeding $10,000,000 at any time outstanding, to the extent subject to a Subordination Agreement;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271"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Subsidiary after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Indebtedness exists at the time such Person becomes a Subsidiary and is not created in contemplation of or in connection with such Person becoming a Subsidiary and (ii) the aggregate principal amount of Indebtedness permitted by this clause (j), together with any Refinance Indebtedness in respect thereof permitted by clause (f) above, shall not exceed $1,000,000 at any time outstanding; and</w:t>
      </w:r>
    </w:p>
    <w:p>
      <w:pPr>
        <w:spacing w:after="0" w:line="186" w:lineRule="exact"/>
        <w:rPr>
          <w:rFonts w:ascii="Arial" w:cs="Arial" w:eastAsia="Arial" w:hAnsi="Arial"/>
          <w:sz w:val="18"/>
          <w:szCs w:val="18"/>
          <w:color w:val="auto"/>
        </w:rPr>
      </w:pPr>
    </w:p>
    <w:p>
      <w:pPr>
        <w:ind w:left="2240" w:hanging="936"/>
        <w:spacing w:after="0"/>
        <w:tabs>
          <w:tab w:leader="none" w:pos="22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other unsecured Indebtedness in an aggregate principal amount not exceeding $1,000,000 at any time outstanding.</w:t>
      </w:r>
    </w:p>
    <w:p>
      <w:pPr>
        <w:spacing w:after="0" w:line="23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u w:val="single" w:color="auto"/>
          <w:color w:val="auto"/>
        </w:rPr>
        <w:t>Liens</w:t>
      </w:r>
      <w:r>
        <w:rPr>
          <w:rFonts w:ascii="Arial" w:cs="Arial" w:eastAsia="Arial" w:hAnsi="Arial"/>
          <w:sz w:val="16"/>
          <w:szCs w:val="16"/>
          <w:color w:val="auto"/>
        </w:rPr>
        <w:t>. No Loan Party will, nor will it permit any Subsidiary to, create, incur, assume or permit to exist any Lien on any property or asset now owned or hereafter acquired by it, or assign or sell any income or revenues (including Accounts) or rights in respect of any thereof, except:</w:t>
      </w:r>
    </w:p>
    <w:p>
      <w:pPr>
        <w:spacing w:after="0" w:line="124" w:lineRule="exact"/>
        <w:rPr>
          <w:sz w:val="20"/>
          <w:szCs w:val="20"/>
          <w:color w:val="auto"/>
        </w:rPr>
      </w:pPr>
    </w:p>
    <w:p>
      <w:pPr>
        <w:ind w:left="2220" w:hanging="916"/>
        <w:spacing w:after="0"/>
        <w:tabs>
          <w:tab w:leader="none" w:pos="22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Liens created pursuant to any Loan Document;</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Permitted Encumbrances;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29" w:name="page130"/>
    <w:bookmarkEnd w:id="129"/>
    <w:p>
      <w:pPr>
        <w:jc w:val="both"/>
        <w:ind w:firstLine="1304"/>
        <w:spacing w:after="0" w:line="259" w:lineRule="auto"/>
        <w:tabs>
          <w:tab w:leader="none" w:pos="232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any Borrower or any Subsidiary existing on the date hereof and set forth in Schedule 6.02;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 shall not apply to any other property or asset of such Borrower or Subsidiary or any other Borrower or Subsidiary and (ii) such Lien shall secure only those obligations which it secures on the date hereof, and extensions, renewals and replacements thereof that do not increase the outstanding principal amount thereof;</w:t>
      </w:r>
    </w:p>
    <w:p>
      <w:pPr>
        <w:spacing w:after="0" w:line="186" w:lineRule="exact"/>
        <w:rPr>
          <w:rFonts w:ascii="Arial" w:cs="Arial" w:eastAsia="Arial" w:hAnsi="Arial"/>
          <w:sz w:val="18"/>
          <w:szCs w:val="18"/>
          <w:color w:val="auto"/>
        </w:rPr>
      </w:pPr>
    </w:p>
    <w:p>
      <w:pPr>
        <w:jc w:val="both"/>
        <w:ind w:firstLine="1304"/>
        <w:spacing w:after="0" w:line="257" w:lineRule="auto"/>
        <w:tabs>
          <w:tab w:leader="none" w:pos="223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 xml:space="preserve">Liens on fixed or capital assets acquired, constructed or improved by any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secure Indebtedness permitted by clause (e) of Section 6.01, (ii) such Liens and the Indebtedness secured thereby are incurred prior to or within 90 days after such acquisition or the completion of such construction or improvement, (iii) the Indebtedness secured thereby does not exceed 100% of the cost of acquiring, constructing or improving such fixed or capital assets and (iv) such Liens shall not apply to any other property or assets of such Borrower or Subsidiary or any other Borrower or Subsidiary;</w:t>
      </w:r>
    </w:p>
    <w:p>
      <w:pPr>
        <w:spacing w:after="0" w:line="187" w:lineRule="exact"/>
        <w:rPr>
          <w:rFonts w:ascii="Arial" w:cs="Arial" w:eastAsia="Arial" w:hAnsi="Arial"/>
          <w:sz w:val="18"/>
          <w:szCs w:val="18"/>
          <w:color w:val="auto"/>
        </w:rPr>
      </w:pPr>
    </w:p>
    <w:p>
      <w:pPr>
        <w:jc w:val="both"/>
        <w:ind w:firstLine="1304"/>
        <w:spacing w:after="0" w:line="286" w:lineRule="auto"/>
        <w:tabs>
          <w:tab w:leader="none" w:pos="247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(other than Accounts and Inventory) prior to the acquisition thereof by any Borrower or any Subsidiary or existing on any property or asset (other than Accounts and Inventory) of any Person that becomes a Loan Party after the date hereof prior to the time such Person becomes a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Lien is not created in contemplation of or in connection with such acquisition or such Person becoming a Loan Party, as the case may be, (ii) such Lien shall not apply to any other property or assets of the Loan Party and</w:t>
      </w:r>
    </w:p>
    <w:p>
      <w:pPr>
        <w:spacing w:after="0" w:line="1" w:lineRule="exact"/>
        <w:rPr>
          <w:rFonts w:ascii="Arial" w:cs="Arial" w:eastAsia="Arial" w:hAnsi="Arial"/>
          <w:sz w:val="16"/>
          <w:szCs w:val="16"/>
          <w:color w:val="auto"/>
        </w:rPr>
      </w:pPr>
    </w:p>
    <w:p>
      <w:pPr>
        <w:ind w:firstLine="8"/>
        <w:spacing w:after="0" w:line="290" w:lineRule="auto"/>
        <w:tabs>
          <w:tab w:leader="none" w:pos="31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such Lien shall secure only those obligations which it secures on the date of such acquisition or the date such Person becomes a Loan Party, as the case may be, and extensions, renewals and replacements thereof that do not increase the outstanding principal amount thereof;</w:t>
      </w:r>
    </w:p>
    <w:p>
      <w:pPr>
        <w:spacing w:after="0" w:line="161" w:lineRule="exact"/>
        <w:rPr>
          <w:rFonts w:ascii="Arial" w:cs="Arial" w:eastAsia="Arial" w:hAnsi="Arial"/>
          <w:sz w:val="17"/>
          <w:szCs w:val="17"/>
          <w:color w:val="auto"/>
        </w:rPr>
      </w:pPr>
    </w:p>
    <w:p>
      <w:pPr>
        <w:ind w:firstLine="1304"/>
        <w:spacing w:after="0" w:line="277" w:lineRule="auto"/>
        <w:tabs>
          <w:tab w:leader="none" w:pos="2254" w:val="left"/>
        </w:tabs>
        <w:numPr>
          <w:ilvl w:val="1"/>
          <w:numId w:val="126"/>
        </w:numPr>
        <w:rPr>
          <w:rFonts w:ascii="Arial" w:cs="Arial" w:eastAsia="Arial" w:hAnsi="Arial"/>
          <w:sz w:val="18"/>
          <w:szCs w:val="18"/>
          <w:color w:val="auto"/>
        </w:rPr>
      </w:pPr>
      <w:r>
        <w:rPr>
          <w:rFonts w:ascii="Arial" w:cs="Arial" w:eastAsia="Arial" w:hAnsi="Arial"/>
          <w:sz w:val="18"/>
          <w:szCs w:val="18"/>
          <w:color w:val="auto"/>
        </w:rPr>
        <w:t>Liens of a collecting bank arising in the ordinary course of business under Section 4 210 of the UCC in effect in the relevant jurisdiction covering only the items being collected upon;</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Liens arising out of Sale and Leaseback Transactions permitted by Section 6.06; and</w:t>
      </w:r>
    </w:p>
    <w:p>
      <w:pPr>
        <w:spacing w:after="0" w:line="225" w:lineRule="exact"/>
        <w:rPr>
          <w:rFonts w:ascii="Arial" w:cs="Arial" w:eastAsia="Arial" w:hAnsi="Arial"/>
          <w:sz w:val="18"/>
          <w:szCs w:val="18"/>
          <w:color w:val="auto"/>
        </w:rPr>
      </w:pPr>
    </w:p>
    <w:p>
      <w:pPr>
        <w:ind w:right="20" w:firstLine="1304"/>
        <w:spacing w:after="0" w:line="277" w:lineRule="auto"/>
        <w:tabs>
          <w:tab w:leader="none" w:pos="253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Liens granted by a Subsidiary that is not a Loan Party in favor of any Borrower or another Loan Party in respect of Indebtedness owed by such Subsidiary.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Notwithstanding the foregoing, none of the Liens permitted pursuant to this Section 6.02 may at any time attach to any Loan Party’s (1) Accounts, other than those permitted under clause (a) of the definition of Permitted Encumbrances and clause (a) above and (2) Inventory, other than those permitted under clauses (a) and (b) of the definition of Permitted Encumbrances and clause (a) above.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6.03. </w:t>
      </w:r>
      <w:r>
        <w:rPr>
          <w:rFonts w:ascii="Arial" w:cs="Arial" w:eastAsia="Arial" w:hAnsi="Arial"/>
          <w:sz w:val="17"/>
          <w:szCs w:val="17"/>
          <w:u w:val="single" w:color="auto"/>
          <w:color w:val="auto"/>
        </w:rPr>
        <w:t>Fundamental Changes</w:t>
      </w:r>
      <w:r>
        <w:rPr>
          <w:rFonts w:ascii="Arial" w:cs="Arial" w:eastAsia="Arial" w:hAnsi="Arial"/>
          <w:sz w:val="17"/>
          <w:szCs w:val="17"/>
          <w:color w:val="auto"/>
        </w:rPr>
        <w:t xml:space="preserve">. (a) No Loan Party will, nor will it permit any Subsidiary to, merge into or consolidate with any other Person, or permit any other Person to merge into or consolidate with it, or otherwise Dispose of all or any substantial part of its assets, or all or substantially all of the stock of any of its Subsidiaries (in each case, whether now owned or hereafter acquired), or liquidate or dissolve, except that, if at the time thereof and immediately after giving effect thereto no Event of Default shall have occurred and be continuing, (i) any Subsidiary of any Borrower may merge into a Borrower in a transaction in which such Borrower is the surviving entity, (ii) any Loan Party (other than a Borrower) may merge into any other Loan Party in a transaction in which the surviving entity is a Loan Party, and (iii) any Subsidiary that is not a Loan Party may liquidate or dissolve if the Loan Party which owns such Subsidiary determines in good faith that such liquidation or dissolution is in the best interests of such Loan Party and is not materially disadvantageous to the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merger involving a Person that is not a wholly owned Subsidiary immediately prior to such merger shall not be permitted unless also permitted by Section 6.04.</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0" w:name="page131"/>
    <w:bookmarkEnd w:id="130"/>
    <w:p>
      <w:pPr>
        <w:jc w:val="both"/>
        <w:ind w:firstLine="1304"/>
        <w:spacing w:after="0" w:line="257" w:lineRule="auto"/>
        <w:tabs>
          <w:tab w:leader="none" w:pos="23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consummate a Division as the Dividing Person, without the prior written consent of Administrative Agent. Without limiting the foregoing, if any Loan Party that is a limited liability company consummates a Division (with or without the prior consent of Administrative Agent as required above), each Division Successor shall be required to comply with the obligations set forth in Section 5.14 and the other further assurances obligations set forth in the Loan Documents and become a Loan Party under this Agreement and the other Loan Documents.</w:t>
      </w:r>
    </w:p>
    <w:p>
      <w:pPr>
        <w:spacing w:after="0" w:line="187" w:lineRule="exact"/>
        <w:rPr>
          <w:rFonts w:ascii="Arial" w:cs="Arial" w:eastAsia="Arial" w:hAnsi="Arial"/>
          <w:sz w:val="18"/>
          <w:szCs w:val="18"/>
          <w:color w:val="auto"/>
        </w:rPr>
      </w:pPr>
    </w:p>
    <w:p>
      <w:pPr>
        <w:ind w:firstLine="1304"/>
        <w:spacing w:after="0" w:line="277" w:lineRule="auto"/>
        <w:tabs>
          <w:tab w:leader="none" w:pos="224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engage to any material extent in any business other than businesses of the type conducted by the Borrowers and their Subsidiaries on the date hereof and businesses reasonably related thereto.</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No Loan Party will, nor will it permit any Subsidiary to, change its fiscal year from the basis in effect on the Effective Date.</w:t>
      </w:r>
    </w:p>
    <w:p>
      <w:pPr>
        <w:spacing w:after="0" w:line="248" w:lineRule="exact"/>
        <w:rPr>
          <w:rFonts w:ascii="Arial" w:cs="Arial" w:eastAsia="Arial" w:hAnsi="Arial"/>
          <w:sz w:val="16"/>
          <w:szCs w:val="16"/>
          <w:color w:val="auto"/>
        </w:rPr>
      </w:pPr>
    </w:p>
    <w:p>
      <w:pPr>
        <w:ind w:left="2220" w:hanging="916"/>
        <w:spacing w:after="0"/>
        <w:tabs>
          <w:tab w:leader="none" w:pos="22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Loan Party will change the accounting basis upon which its financial statements are prepared.</w:t>
      </w:r>
    </w:p>
    <w:p>
      <w:pPr>
        <w:spacing w:after="0" w:line="225" w:lineRule="exact"/>
        <w:rPr>
          <w:rFonts w:ascii="Arial" w:cs="Arial" w:eastAsia="Arial" w:hAnsi="Arial"/>
          <w:sz w:val="18"/>
          <w:szCs w:val="18"/>
          <w:color w:val="auto"/>
        </w:rPr>
      </w:pPr>
    </w:p>
    <w:p>
      <w:pPr>
        <w:ind w:left="2240" w:hanging="936"/>
        <w:spacing w:after="0"/>
        <w:tabs>
          <w:tab w:leader="none" w:pos="224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Loan Party will change the tax filing elections it has made under the Code.</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Investments, Loans, Advances, Guarantees and Acquisitions</w:t>
      </w:r>
      <w:r>
        <w:rPr>
          <w:rFonts w:ascii="Arial" w:cs="Arial" w:eastAsia="Arial" w:hAnsi="Arial"/>
          <w:sz w:val="17"/>
          <w:szCs w:val="17"/>
          <w:color w:val="auto"/>
        </w:rPr>
        <w:t>. No Loan Party will, nor will it permit any Subsidiary to, form any subsidiary after the Effective Date, or purchase, hold or acquire (including pursuant to any merger with any Person that was not a Loan Party and a wholly owned Subsidiary prior to such merger) any evidences of Indebtedness or Equity Interests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constituting a business unit (whether through purchase of assets, merger or otherwise), except:</w:t>
      </w:r>
    </w:p>
    <w:p>
      <w:pPr>
        <w:spacing w:after="0" w:line="178" w:lineRule="exact"/>
        <w:rPr>
          <w:sz w:val="20"/>
          <w:szCs w:val="20"/>
          <w:color w:val="auto"/>
        </w:rPr>
      </w:pPr>
    </w:p>
    <w:p>
      <w:pPr>
        <w:ind w:firstLine="1304"/>
        <w:spacing w:after="0" w:line="308" w:lineRule="auto"/>
        <w:tabs>
          <w:tab w:leader="none" w:pos="2391" w:val="left"/>
        </w:tabs>
        <w:numPr>
          <w:ilvl w:val="0"/>
          <w:numId w:val="128"/>
        </w:numPr>
        <w:rPr>
          <w:rFonts w:ascii="Arial" w:cs="Arial" w:eastAsia="Arial" w:hAnsi="Arial"/>
          <w:sz w:val="17"/>
          <w:szCs w:val="17"/>
          <w:color w:val="auto"/>
        </w:rPr>
      </w:pPr>
      <w:r>
        <w:rPr>
          <w:rFonts w:ascii="Arial" w:cs="Arial" w:eastAsia="Arial" w:hAnsi="Arial"/>
          <w:sz w:val="17"/>
          <w:szCs w:val="17"/>
          <w:color w:val="auto"/>
        </w:rPr>
        <w:t>Permitted Investments, subject to control agreements in favor of the Administrative Agent for the benefit of the Secured Parties or otherwise subject to a perfected security interest in favor of the Administrative Agent for the benefit of the Secured Parties;</w:t>
      </w:r>
    </w:p>
    <w:p>
      <w:pPr>
        <w:spacing w:after="0" w:line="146" w:lineRule="exact"/>
        <w:rPr>
          <w:rFonts w:ascii="Arial" w:cs="Arial" w:eastAsia="Arial" w:hAnsi="Arial"/>
          <w:sz w:val="17"/>
          <w:szCs w:val="17"/>
          <w:color w:val="auto"/>
        </w:rPr>
      </w:pPr>
    </w:p>
    <w:p>
      <w:pPr>
        <w:ind w:left="2240" w:hanging="936"/>
        <w:spacing w:after="0"/>
        <w:tabs>
          <w:tab w:leader="none" w:pos="22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investments in existence on the date hereof and described in Schedule 6.04;</w:t>
      </w:r>
    </w:p>
    <w:p>
      <w:pPr>
        <w:spacing w:after="0" w:line="225" w:lineRule="exact"/>
        <w:rPr>
          <w:rFonts w:ascii="Arial" w:cs="Arial" w:eastAsia="Arial" w:hAnsi="Arial"/>
          <w:sz w:val="18"/>
          <w:szCs w:val="18"/>
          <w:color w:val="auto"/>
        </w:rPr>
      </w:pPr>
    </w:p>
    <w:p>
      <w:pPr>
        <w:jc w:val="both"/>
        <w:ind w:firstLine="1304"/>
        <w:spacing w:after="0" w:line="273" w:lineRule="auto"/>
        <w:tabs>
          <w:tab w:leader="none" w:pos="229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investments by the Borrowers and the Subsidiaries in Equity Interests in their respective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any such Equity Interests held by a Loan Party shall be pledged pursuant to the Security Agreement (subject to the limitations applicable to Equity Interests of a Foreign Subsidiary referred to in Section 5.14), (ii) the aggregate amount of investments by Loan Parties in Subsidiaries that are not Loan Parties (together with outstanding intercompany loans permitted under clause (B) to the proviso to Section 6.04(d) and outstanding Guarantees permitted under the proviso to Section 6.04(e)) shall not exceed $100,000 at any time outstanding (in each case determined without regard to any write-downs or write-offs), and (iii) no such investments into a non-Loan Party may be made while a Default is continuing or would result therefrom;</w:t>
      </w:r>
    </w:p>
    <w:p>
      <w:pPr>
        <w:spacing w:after="0" w:line="177" w:lineRule="exact"/>
        <w:rPr>
          <w:rFonts w:ascii="Arial" w:cs="Arial" w:eastAsia="Arial" w:hAnsi="Arial"/>
          <w:sz w:val="17"/>
          <w:szCs w:val="17"/>
          <w:color w:val="auto"/>
        </w:rPr>
      </w:pPr>
    </w:p>
    <w:p>
      <w:pPr>
        <w:jc w:val="both"/>
        <w:ind w:firstLine="1304"/>
        <w:spacing w:after="0" w:line="273" w:lineRule="auto"/>
        <w:tabs>
          <w:tab w:leader="none" w:pos="234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 xml:space="preserve">loans or advances made by (i) any Loan Party or any Subsidiary of a Loan Party to (ii) any other Loan Party or any other Subsidiary of a Loan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such loans and advances made by a Loan Party shall be evidenced by a promissory note pledged pursuant to the Security Agreement, (B) the amount of such loans and advances made by Loan Parties to Subsidiaries that are not Loan Parties (together with outstanding investments permitted under clause (ii) to the proviso to Section 6.04(c) and outstanding Guarantees permitted under the proviso to Section 6.04(e)) shall not exceed $100,000 at any time outstanding (in each case determined without regard to any write-downs or write-offs), and (C) no such loans or advances may be made to a non-Loan Party while any Default is continuing or would result therefrom;</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1" w:name="page132"/>
    <w:bookmarkEnd w:id="131"/>
    <w:p>
      <w:pPr>
        <w:jc w:val="both"/>
        <w:ind w:firstLine="1304"/>
        <w:spacing w:after="0" w:line="257" w:lineRule="auto"/>
        <w:tabs>
          <w:tab w:leader="none" w:pos="225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 xml:space="preserve">Guarantees by a Loan Party or any of its Subsidiaries constituting Indebtedness permitted by Section 6.01,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principal amount of Indebtedness of Subsidiaries that are not Loan Parties that is Guaranteed by any Loan Party (together with outstanding investments permitted under clause (ii) to the proviso to Section 6.04(c) and clause (B) to the proviso to Section 6.04(c) and outstanding intercompany loans permitted under clause (ii) to the proviso to Section 6.04(d)) shall not exceed $100,000 at any time outstanding (in each case determined without regard to any write-downs or write-offs);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537"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loans or advances made by a Loan Party to its employees on an arms-length basis in the ordinary course of business consistent with past practices for travel and entertainment expenses, relocation costs and similar purposes up to a maximum of $100,000 in the aggregate at any one time outstanding;</w:t>
      </w:r>
    </w:p>
    <w:p>
      <w:pPr>
        <w:spacing w:after="0" w:line="183" w:lineRule="exact"/>
        <w:rPr>
          <w:rFonts w:ascii="Arial" w:cs="Arial" w:eastAsia="Arial" w:hAnsi="Arial"/>
          <w:sz w:val="18"/>
          <w:szCs w:val="18"/>
          <w:color w:val="auto"/>
        </w:rPr>
      </w:pPr>
    </w:p>
    <w:p>
      <w:pPr>
        <w:ind w:right="20" w:firstLine="1304"/>
        <w:spacing w:after="0" w:line="277" w:lineRule="auto"/>
        <w:tabs>
          <w:tab w:leader="none" w:pos="222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notes payable, or stock or other securities issued by Account Debtors to a Loan Party pursuant to negotiated agreements with respect to settlement of such Account Debtor’s Accounts in the ordinary course of business, consistent with past practices;</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investments in the form of Swap Agreements permitted by Section 6.07;</w:t>
      </w:r>
    </w:p>
    <w:p>
      <w:pPr>
        <w:spacing w:after="0" w:line="225" w:lineRule="exact"/>
        <w:rPr>
          <w:rFonts w:ascii="Arial" w:cs="Arial" w:eastAsia="Arial" w:hAnsi="Arial"/>
          <w:sz w:val="18"/>
          <w:szCs w:val="18"/>
          <w:color w:val="auto"/>
        </w:rPr>
      </w:pPr>
    </w:p>
    <w:p>
      <w:pPr>
        <w:jc w:val="both"/>
        <w:ind w:firstLine="1304"/>
        <w:spacing w:after="0" w:line="263" w:lineRule="auto"/>
        <w:tabs>
          <w:tab w:leader="none" w:pos="232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investments of any Person existing at the time such Person becomes a Subsidiary of a Borrower or consolidates or merges with a Borrower or any of the Subsidiaries (including in connection with a Permitted Acquisition) so long as such investments were not made in contemplation of such Person becoming a Subsidiary or of such merger;</w:t>
      </w:r>
    </w:p>
    <w:p>
      <w:pPr>
        <w:spacing w:after="0" w:line="183" w:lineRule="exact"/>
        <w:rPr>
          <w:rFonts w:ascii="Arial" w:cs="Arial" w:eastAsia="Arial" w:hAnsi="Arial"/>
          <w:sz w:val="18"/>
          <w:szCs w:val="18"/>
          <w:color w:val="auto"/>
        </w:rPr>
      </w:pPr>
    </w:p>
    <w:p>
      <w:pPr>
        <w:ind w:left="2240" w:hanging="936"/>
        <w:spacing w:after="0"/>
        <w:tabs>
          <w:tab w:leader="none" w:pos="2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investments received in connection with Dispositions permitted by Section 6.05;</w:t>
      </w:r>
    </w:p>
    <w:p>
      <w:pPr>
        <w:spacing w:after="0" w:line="225" w:lineRule="exact"/>
        <w:rPr>
          <w:rFonts w:ascii="Arial" w:cs="Arial" w:eastAsia="Arial" w:hAnsi="Arial"/>
          <w:sz w:val="18"/>
          <w:szCs w:val="18"/>
          <w:color w:val="auto"/>
        </w:rPr>
      </w:pPr>
    </w:p>
    <w:p>
      <w:pPr>
        <w:ind w:left="2340" w:hanging="1036"/>
        <w:spacing w:after="0"/>
        <w:tabs>
          <w:tab w:leader="none" w:pos="23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investments constituting deposits described in clauses (c) and (d) of the definition of the term “Permitted Encumbrances”;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2240" w:hanging="936"/>
        <w:spacing w:after="0"/>
        <w:tabs>
          <w:tab w:leader="none" w:pos="22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Asset Sales</w:t>
      </w:r>
      <w:r>
        <w:rPr>
          <w:rFonts w:ascii="Arial" w:cs="Arial" w:eastAsia="Arial" w:hAnsi="Arial"/>
          <w:sz w:val="18"/>
          <w:szCs w:val="18"/>
          <w:color w:val="auto"/>
        </w:rPr>
        <w:t>. No Loan Party will, nor will it permit any Subsidiary to, Dispose of any asset, including any Equity Interest owned by it, nor will any Borrower permit any Subsidiary to issue any additional Equity Interest in such Subsidiary (other than to another Borrower or another Subsidiary in compliance with Section 6.04), except:</w:t>
      </w:r>
    </w:p>
    <w:p>
      <w:pPr>
        <w:spacing w:after="0" w:line="184" w:lineRule="exact"/>
        <w:rPr>
          <w:sz w:val="20"/>
          <w:szCs w:val="20"/>
          <w:color w:val="auto"/>
        </w:rPr>
      </w:pPr>
    </w:p>
    <w:p>
      <w:pPr>
        <w:ind w:firstLine="1304"/>
        <w:spacing w:after="0" w:line="308" w:lineRule="auto"/>
        <w:tabs>
          <w:tab w:leader="none" w:pos="235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Dispositions of (i) Inventory or goods held for sale in the ordinary course of business and (ii) used, obsolete, worn out or surplus Equipment or property in the ordinary course of business which, individually or in the aggregate, do not exceed an amount of $500,000;</w:t>
      </w:r>
    </w:p>
    <w:p>
      <w:pPr>
        <w:spacing w:after="0" w:line="146" w:lineRule="exact"/>
        <w:rPr>
          <w:rFonts w:ascii="Arial" w:cs="Arial" w:eastAsia="Arial" w:hAnsi="Arial"/>
          <w:sz w:val="17"/>
          <w:szCs w:val="17"/>
          <w:color w:val="auto"/>
        </w:rPr>
      </w:pPr>
    </w:p>
    <w:p>
      <w:pPr>
        <w:jc w:val="both"/>
        <w:ind w:firstLine="1304"/>
        <w:spacing w:after="0" w:line="263" w:lineRule="auto"/>
        <w:tabs>
          <w:tab w:leader="none" w:pos="23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Dispositions of assets to any Loan Party or any Subsidiary of a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Dispositions which are not solely among: (i) Borrowers, (ii) Loan Parties (other than Borrowers), or (iii) Subsidiaries that are not Loan Parties, shall, in each case, be made in compliance with Section 6.09;</w:t>
      </w:r>
    </w:p>
    <w:p>
      <w:pPr>
        <w:spacing w:after="0" w:line="183" w:lineRule="exact"/>
        <w:rPr>
          <w:rFonts w:ascii="Arial" w:cs="Arial" w:eastAsia="Arial" w:hAnsi="Arial"/>
          <w:sz w:val="18"/>
          <w:szCs w:val="18"/>
          <w:color w:val="auto"/>
        </w:rPr>
      </w:pPr>
    </w:p>
    <w:p>
      <w:pPr>
        <w:jc w:val="both"/>
        <w:ind w:firstLine="1304"/>
        <w:spacing w:after="0" w:line="286" w:lineRule="auto"/>
        <w:tabs>
          <w:tab w:leader="none" w:pos="2553" w:val="left"/>
        </w:tabs>
        <w:numPr>
          <w:ilvl w:val="0"/>
          <w:numId w:val="130"/>
        </w:numPr>
        <w:rPr>
          <w:rFonts w:ascii="Arial" w:cs="Arial" w:eastAsia="Arial" w:hAnsi="Arial"/>
          <w:sz w:val="17"/>
          <w:szCs w:val="17"/>
          <w:color w:val="auto"/>
        </w:rPr>
      </w:pPr>
      <w:r>
        <w:rPr>
          <w:rFonts w:ascii="Arial" w:cs="Arial" w:eastAsia="Arial" w:hAnsi="Arial"/>
          <w:sz w:val="17"/>
          <w:szCs w:val="17"/>
          <w:color w:val="auto"/>
        </w:rPr>
        <w:t>Dispositions of Accounts (i) in connection with the compromise, settlement or collection thereof (including, without limitation, Dispositions of Accounts not in excess of $100,000, in the aggregate, in connection with supply chain financing, open account services and similar trade finance services) and (ii) in connection with any supply chain financing on terms and conditions satisfactory to the Administrative Agent;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2" w:name="page133"/>
    <w:bookmarkEnd w:id="132"/>
    <w:p>
      <w:pPr>
        <w:ind w:left="2240" w:hanging="936"/>
        <w:spacing w:after="0"/>
        <w:tabs>
          <w:tab w:leader="none" w:pos="22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Dispositions of Permitted Investments Section 6.04;</w:t>
      </w:r>
    </w:p>
    <w:p>
      <w:pPr>
        <w:spacing w:after="0" w:line="225" w:lineRule="exact"/>
        <w:rPr>
          <w:rFonts w:ascii="Arial" w:cs="Arial" w:eastAsia="Arial" w:hAnsi="Arial"/>
          <w:sz w:val="18"/>
          <w:szCs w:val="18"/>
          <w:color w:val="auto"/>
        </w:rPr>
      </w:pPr>
    </w:p>
    <w:p>
      <w:pPr>
        <w:ind w:left="2220" w:hanging="916"/>
        <w:spacing w:after="0"/>
        <w:tabs>
          <w:tab w:leader="none" w:pos="22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Sale and Leaseback Transactions permitted by Section 6.06;</w:t>
      </w:r>
    </w:p>
    <w:p>
      <w:pPr>
        <w:spacing w:after="0" w:line="225" w:lineRule="exact"/>
        <w:rPr>
          <w:rFonts w:ascii="Arial" w:cs="Arial" w:eastAsia="Arial" w:hAnsi="Arial"/>
          <w:sz w:val="18"/>
          <w:szCs w:val="18"/>
          <w:color w:val="auto"/>
        </w:rPr>
      </w:pPr>
    </w:p>
    <w:p>
      <w:pPr>
        <w:ind w:firstLine="1304"/>
        <w:spacing w:after="0" w:line="277" w:lineRule="auto"/>
        <w:tabs>
          <w:tab w:leader="none" w:pos="237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Dispositions resulting from any casualty or other insured damage to, or any taking under power of eminent domain or by condemnation or similar proceeding of, any property or asset of any Borrower or any Subsidiary; and</w:t>
      </w:r>
    </w:p>
    <w:p>
      <w:pPr>
        <w:spacing w:after="0" w:line="170" w:lineRule="exact"/>
        <w:rPr>
          <w:rFonts w:ascii="Arial" w:cs="Arial" w:eastAsia="Arial" w:hAnsi="Arial"/>
          <w:sz w:val="18"/>
          <w:szCs w:val="18"/>
          <w:color w:val="auto"/>
        </w:rPr>
      </w:pPr>
    </w:p>
    <w:p>
      <w:pPr>
        <w:jc w:val="both"/>
        <w:ind w:firstLine="1304"/>
        <w:spacing w:after="0" w:line="286" w:lineRule="auto"/>
        <w:tabs>
          <w:tab w:leader="none" w:pos="226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 xml:space="preserve">Dispositions of assets (other than Equity Interests in a Subsidiary) that are not permitted by any other clause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at the time of any such Disposition, no Event of Default shall exist or shall result therefrom, and (ii) the aggregate fair market value of all assets Disposed of in reliance upon this paragraph (g) shall not exceed $250,000 during any fiscal year of the Company;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Dispositions permitted hereby (other than those permitted by paragraphs (b) and (f) above) shall be made for fair value and for at least 75% cash consideration.</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Sale and Leaseback Transactions</w:t>
      </w:r>
      <w:r>
        <w:rPr>
          <w:rFonts w:ascii="Arial" w:cs="Arial" w:eastAsia="Arial" w:hAnsi="Arial"/>
          <w:sz w:val="17"/>
          <w:szCs w:val="17"/>
          <w:color w:val="auto"/>
        </w:rPr>
        <w:t>. No Loan Party will, nor will it permit any Subsidiary to, enter into any arrangement, directly or indirectly, whereby it shall sell or transfer any property, real or personal, used or useful in its business, whether now owned or hereafter acquired, and thereafter rent or lease such property or other property that it intends to use for substantially the same purpose or purposes as the property sold or transferred (a “</w:t>
      </w:r>
      <w:r>
        <w:rPr>
          <w:rFonts w:ascii="Arial" w:cs="Arial" w:eastAsia="Arial" w:hAnsi="Arial"/>
          <w:sz w:val="17"/>
          <w:szCs w:val="17"/>
          <w:u w:val="single" w:color="auto"/>
          <w:color w:val="auto"/>
        </w:rPr>
        <w:t>Sale and Leaseback Transaction</w:t>
      </w:r>
      <w:r>
        <w:rPr>
          <w:rFonts w:ascii="Arial" w:cs="Arial" w:eastAsia="Arial" w:hAnsi="Arial"/>
          <w:sz w:val="17"/>
          <w:szCs w:val="17"/>
          <w:color w:val="auto"/>
        </w:rPr>
        <w:t>”), except for any such sale of any fixed or capital assets by any Borrower or any Subsidiary that is made for cash consideration in an amount not less than the fair value of such fixed or capital asset and is consummated within 90 days after such Borrower or such Subsidiary acquires or completes the construction of such fixed or capital asset.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Swap Agreements</w:t>
      </w:r>
      <w:r>
        <w:rPr>
          <w:rFonts w:ascii="Arial" w:cs="Arial" w:eastAsia="Arial" w:hAnsi="Arial"/>
          <w:sz w:val="18"/>
          <w:szCs w:val="18"/>
          <w:color w:val="auto"/>
        </w:rPr>
        <w:t>. No Loan Party will, nor will it permit any Subsidiary to, enter into any Swap Agreement, except (a) Swap Agreements entered into to hedge or mitigate risks to which any Borrower or any Subsidiary has actual exposure (other than those in respect of Equity Interests of any Borrower or any of its Subsidiaries), and (b) Swap Agreements entered into in order to effectively cap, collar or exchange interest rates (from floating to fixed rates, from one floating rate to another floating rate or otherwise) with respect to any interest-bearing liability or investment of any Borrower or any Subsidiary.</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Restricted Payments; Certain Payments of Indebtedness</w:t>
      </w:r>
      <w:r>
        <w:rPr>
          <w:rFonts w:ascii="Arial" w:cs="Arial" w:eastAsia="Arial" w:hAnsi="Arial"/>
          <w:sz w:val="18"/>
          <w:szCs w:val="18"/>
          <w:color w:val="auto"/>
        </w:rPr>
        <w:t>. (a) No Loan Party will, nor will it permit any Subsidiary to, declare or make, or agree to declare or make, directly or indirectly, any Restricted Payment, or incur any obligation (contingent or otherwise) to do so, except (i) each of the Loan Parties may declare and pay dividends with respect to its common stock payable solely in additional shares of its common stock, and, with respect to its preferred stock, payable solely in additional shares of such preferred stock or in shares of its common stock, (ii) any Loan Party may make Restricted Payments to another Loan Party, (iii) any Subsidiary of the Company that is not a Loan Party may make Restricted Payments to any Loan Party or any other Subsidiary of the Company that is not a Loan Party, and (iv) the Borrowers may make other Restricted Payments subject to the satisfaction of the Payment Condition.</w:t>
      </w:r>
    </w:p>
    <w:p>
      <w:pPr>
        <w:spacing w:after="0" w:line="195" w:lineRule="exact"/>
        <w:rPr>
          <w:sz w:val="20"/>
          <w:szCs w:val="20"/>
          <w:color w:val="auto"/>
        </w:rPr>
      </w:pPr>
    </w:p>
    <w:p>
      <w:pPr>
        <w:jc w:val="both"/>
        <w:ind w:firstLine="1304"/>
        <w:spacing w:after="0" w:line="259" w:lineRule="auto"/>
        <w:tabs>
          <w:tab w:leader="none" w:pos="222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 Loan Party will, nor will it permit any Subsidiary to, make or agree to pay or make, directly or indirectly, any payment or other distribution (whether in cash, securities or other property) of or in respect of principal of or interest on any Indebtedness, or any payment or other distribution (whether in cash, securities or other property), including any sinking fund or similar deposit, on account of the purchase, redemption, retirement, acquisition, cancellation or termination of any Indebtedness, except: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3" w:name="page134"/>
    <w:bookmarkEnd w:id="133"/>
    <w:p>
      <w:pPr>
        <w:ind w:left="2880" w:hanging="928"/>
        <w:spacing w:after="0"/>
        <w:tabs>
          <w:tab w:leader="none" w:pos="2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payment of Indebtedness created under the Loan Documents;</w:t>
      </w:r>
    </w:p>
    <w:p>
      <w:pPr>
        <w:spacing w:after="0" w:line="225" w:lineRule="exact"/>
        <w:rPr>
          <w:rFonts w:ascii="Arial" w:cs="Arial" w:eastAsia="Arial" w:hAnsi="Arial"/>
          <w:sz w:val="18"/>
          <w:szCs w:val="18"/>
          <w:color w:val="auto"/>
        </w:rPr>
      </w:pPr>
    </w:p>
    <w:p>
      <w:pPr>
        <w:jc w:val="both"/>
        <w:ind w:left="660" w:firstLine="1292"/>
        <w:spacing w:after="0" w:line="263" w:lineRule="auto"/>
        <w:tabs>
          <w:tab w:leader="none" w:pos="301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payment of regularly scheduled interest and principal payments as and when due in respect of any Indebtedness permitted under Section 6.01, other than payments in respect of the Subordinated Indebtedness prohibited by the applicable Subordination Agreement or any other subordination provisions thereof;</w:t>
      </w:r>
    </w:p>
    <w:p>
      <w:pPr>
        <w:spacing w:after="0" w:line="183" w:lineRule="exact"/>
        <w:rPr>
          <w:rFonts w:ascii="Arial" w:cs="Arial" w:eastAsia="Arial" w:hAnsi="Arial"/>
          <w:sz w:val="18"/>
          <w:szCs w:val="18"/>
          <w:color w:val="auto"/>
        </w:rPr>
      </w:pPr>
    </w:p>
    <w:p>
      <w:pPr>
        <w:ind w:left="2800" w:hanging="848"/>
        <w:spacing w:after="0"/>
        <w:tabs>
          <w:tab w:leader="none" w:pos="2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refinancings of Indebtedness to the extent permitted by Section 6.01; and</w:t>
      </w:r>
    </w:p>
    <w:p>
      <w:pPr>
        <w:spacing w:after="0" w:line="225" w:lineRule="exact"/>
        <w:rPr>
          <w:rFonts w:ascii="Arial" w:cs="Arial" w:eastAsia="Arial" w:hAnsi="Arial"/>
          <w:sz w:val="18"/>
          <w:szCs w:val="18"/>
          <w:color w:val="auto"/>
        </w:rPr>
      </w:pPr>
    </w:p>
    <w:p>
      <w:pPr>
        <w:ind w:left="660" w:firstLine="1292"/>
        <w:spacing w:after="0" w:line="277" w:lineRule="auto"/>
        <w:tabs>
          <w:tab w:leader="none" w:pos="29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payment of secured Indebtedness that becomes due as a result of the voluntary sale or transfer of the property or assets securing such Indebtedness to the extent such sale or transfer is permitted by the terms of Section 6.05.</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No Loan Party will, nor will it permit any Subsidiary to, sell, lease or otherwise transfer any property or assets to, or purchase, lease or otherwise acquire any property or assets from, or otherwise engage in any other transactions with, any of its Affiliates, except (a) transactions that (i) are in the ordinary course of business and (ii) are at prices and on terms and conditions not less favorable to such Loan Party or such Subsidiary than could be obtained on an arm’s-length basis from unrelated third parties, (b) transactions between or among any Loan Parties not involving any other Affiliate, (c) any investment permitted by Sections 6.04(c), (d) or (e), (d) any Indebtedness permitted under Section 6.01(c),</w:t>
      </w:r>
    </w:p>
    <w:p>
      <w:pPr>
        <w:spacing w:after="0" w:line="2" w:lineRule="exact"/>
        <w:rPr>
          <w:sz w:val="20"/>
          <w:szCs w:val="20"/>
          <w:color w:val="auto"/>
        </w:rPr>
      </w:pPr>
    </w:p>
    <w:p>
      <w:pPr>
        <w:jc w:val="both"/>
        <w:ind w:firstLine="8"/>
        <w:spacing w:after="0" w:line="292" w:lineRule="auto"/>
        <w:tabs>
          <w:tab w:leader="none" w:pos="248" w:val="left"/>
        </w:tabs>
        <w:numPr>
          <w:ilvl w:val="0"/>
          <w:numId w:val="134"/>
        </w:numPr>
        <w:rPr>
          <w:rFonts w:ascii="Arial" w:cs="Arial" w:eastAsia="Arial" w:hAnsi="Arial"/>
          <w:sz w:val="16"/>
          <w:szCs w:val="16"/>
          <w:color w:val="auto"/>
        </w:rPr>
      </w:pPr>
      <w:r>
        <w:rPr>
          <w:rFonts w:ascii="Arial" w:cs="Arial" w:eastAsia="Arial" w:hAnsi="Arial"/>
          <w:sz w:val="16"/>
          <w:szCs w:val="16"/>
          <w:color w:val="auto"/>
        </w:rPr>
        <w:t>any Restricted Payment permitted by Section 6.08, (f) loans or advances to employees permitted under Section 6.04, (g) the payment of reasonable fees to directors of any Borrower or any Subsidiary who are not employees of such Borrower or Subsidiary, and compensation and employee benefit arrangements paid to, and indemnities provided for the benefit of, directors, officers or employees of the Borrowers or their Subsidiaries in the ordinary course of business and (h) any issuances of securities or other payments, awards or grants in cash, securities or otherwise pursuant to, or the funding of, employment agreements, stock options and stock ownership plans approved by a Borrower’s board of directors.</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Restrictive Agreements</w:t>
      </w:r>
      <w:r>
        <w:rPr>
          <w:rFonts w:ascii="Arial" w:cs="Arial" w:eastAsia="Arial" w:hAnsi="Arial"/>
          <w:sz w:val="17"/>
          <w:szCs w:val="17"/>
          <w:color w:val="auto"/>
        </w:rPr>
        <w:t xml:space="preserve">. No Loan Party will, nor will it permit any Subsidiary to, directly or indirectly, enter into, incur or permit to exist any agreement or other arrangement that prohibits, restricts or imposes any condition upon (a) the ability of such Loan Party or any Subsidiary to create, incur or permit to exist any Lien upon any of its property or assets, or (b) the ability of any Subsidiary to pay dividends or other distributions with respect to any of its Equity Interests or to make or repay loans or advances to any Borrower or any other Subsidiary or to Guarantee Indebtedness of any Borrower or any other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foregoing shall not apply to restrictions and conditions imposed by any Requirement of Law or by any Loan Document, (ii) the foregoing shall not apply to restrictions and conditions existing on the date hereof identified on Schedule 6.10 (but shall apply to any extension or renewal of, or any amendment or modification expanding the scope of, any such restriction or condition), (iii) the foregoing shall not apply to customary restrictions and conditions contained in agreements relating to the sale of a Subsidiary pending such sale,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restrictions and conditions apply only to the Subsidiary that is to be sold and such sale is permitted hereunder, (iv) clause (a) of the foregoing shall not apply to restrictions or conditions imposed by any agreement relating to secured Indebtedness permitted by this Agreement if such restrictions or conditions apply only to the property or assets securing such Indebtedness and (v) clause (a) of the foregoing shall not apply to customary provisions in leases and other contracts restricting the assignment thereof.</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4" w:name="page135"/>
    <w:bookmarkEnd w:id="134"/>
    <w:p>
      <w:pPr>
        <w:jc w:val="both"/>
        <w:ind w:firstLine="648"/>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Amendment of Material Documents</w:t>
      </w:r>
      <w:r>
        <w:rPr>
          <w:rFonts w:ascii="Arial" w:cs="Arial" w:eastAsia="Arial" w:hAnsi="Arial"/>
          <w:sz w:val="18"/>
          <w:szCs w:val="18"/>
          <w:color w:val="auto"/>
        </w:rPr>
        <w:t>. No Loan Party will, nor will it permit any Subsidiary to, amend, modify or waive any of its rights under (a) any agreement relating to any Subordinated Indebtedness, (b) its charter, articles or certificate of incorporation or organization, by-laws, operating, management or partnership agreement or other organizational or governing documents or (c) any material agreement, to the extent any such amendment, modification or waiver would be adverse to the Lenders.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Fixed Charge Coverage Ratio</w:t>
      </w:r>
      <w:r>
        <w:rPr>
          <w:rFonts w:ascii="Arial" w:cs="Arial" w:eastAsia="Arial" w:hAnsi="Arial"/>
          <w:sz w:val="18"/>
          <w:szCs w:val="18"/>
          <w:color w:val="auto"/>
        </w:rPr>
        <w:t>. Upon the occurrence and during the continuance of a Covenant Testing Trigger Period, the Company and its Subsidiaries will not permit the Fixed Charge Coverage Ratio, to be less than 1.00 to 1.00 when measured, on a trailing twelve month basis, as of the end of: (a) the last month immediately preceding the occurrence of such Covenant Testing Trigger Period for which financial statements have most recently been delivered pursuant to Section 5.01, and (b) each month for which financial statements are delivered pursuant to Section 5.01 during such Covenant Testing Trigger Period.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Transactions with Third Parties</w:t>
      </w:r>
      <w:r>
        <w:rPr>
          <w:rFonts w:ascii="Arial" w:cs="Arial" w:eastAsia="Arial" w:hAnsi="Arial"/>
          <w:sz w:val="18"/>
          <w:szCs w:val="18"/>
          <w:color w:val="auto"/>
        </w:rPr>
        <w:t>. No Loan Party will, nor will it permit any Subsidiary to sell products, inventory or services directly to marijuana/cannabis growers operating in any country that prohibits the sale and use of marijuana/cannabis products other than in accordance with the applicable laws of such country. For the avoidance of doubt, neither Loan Party nor Subsidiaries, sells products, inventory or services directly to marijuana/cannabis growers in the United States.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EVENTS OF DEFAULT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 following events (“</w:t>
      </w:r>
      <w:r>
        <w:rPr>
          <w:rFonts w:ascii="Arial" w:cs="Arial" w:eastAsia="Arial" w:hAnsi="Arial"/>
          <w:sz w:val="18"/>
          <w:szCs w:val="18"/>
          <w:u w:val="single" w:color="auto"/>
          <w:color w:val="auto"/>
        </w:rPr>
        <w:t>Events of Default</w:t>
      </w:r>
      <w:r>
        <w:rPr>
          <w:rFonts w:ascii="Arial" w:cs="Arial" w:eastAsia="Arial" w:hAnsi="Arial"/>
          <w:sz w:val="18"/>
          <w:szCs w:val="18"/>
          <w:color w:val="auto"/>
        </w:rPr>
        <w:t>”) shall occur:</w:t>
      </w:r>
    </w:p>
    <w:p>
      <w:pPr>
        <w:spacing w:after="0" w:line="225" w:lineRule="exact"/>
        <w:rPr>
          <w:sz w:val="20"/>
          <w:szCs w:val="20"/>
          <w:color w:val="auto"/>
        </w:rPr>
      </w:pPr>
    </w:p>
    <w:p>
      <w:pPr>
        <w:ind w:firstLine="1304"/>
        <w:spacing w:after="0" w:line="342" w:lineRule="auto"/>
        <w:tabs>
          <w:tab w:leader="none" w:pos="267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Borrowers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23" w:lineRule="exact"/>
        <w:rPr>
          <w:rFonts w:ascii="Arial" w:cs="Arial" w:eastAsia="Arial" w:hAnsi="Arial"/>
          <w:sz w:val="16"/>
          <w:szCs w:val="16"/>
          <w:color w:val="auto"/>
        </w:rPr>
      </w:pPr>
    </w:p>
    <w:p>
      <w:pPr>
        <w:jc w:val="both"/>
        <w:ind w:firstLine="1304"/>
        <w:spacing w:after="0" w:line="263" w:lineRule="auto"/>
        <w:tabs>
          <w:tab w:leader="none" w:pos="226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Borrowers shall fail to pay any interest on any Loan or any fee or any other amount (other than an amount referred to in clause (a) of this Article) payable under this Agreement or any other Loan Document, when and as the same shall become due and payable, and such failure shall continue unremedied for a period of three (3) Business Days;</w:t>
      </w:r>
    </w:p>
    <w:p>
      <w:pPr>
        <w:spacing w:after="0" w:line="183" w:lineRule="exact"/>
        <w:rPr>
          <w:rFonts w:ascii="Arial" w:cs="Arial" w:eastAsia="Arial" w:hAnsi="Arial"/>
          <w:sz w:val="18"/>
          <w:szCs w:val="18"/>
          <w:color w:val="auto"/>
        </w:rPr>
      </w:pPr>
    </w:p>
    <w:p>
      <w:pPr>
        <w:jc w:val="both"/>
        <w:ind w:firstLine="1304"/>
        <w:spacing w:after="0" w:line="257" w:lineRule="auto"/>
        <w:tabs>
          <w:tab w:leader="none" w:pos="2526"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any Loan Party or any Subsidiary in, or in connection with, this Agreement or any other Loan Document or any amendment or modification hereof or thereof or waiver hereunder or thereunder, or in any report, certificate, financial statement or other document furnished pursuant to or in connection with this Agreement or any other Loan Document or any amendment or modification hereof or thereof or waiver hereunder or thereunder, shall prove to have been materially incorrect when made or deemed made;</w:t>
      </w:r>
    </w:p>
    <w:p>
      <w:pPr>
        <w:spacing w:after="0" w:line="187" w:lineRule="exact"/>
        <w:rPr>
          <w:rFonts w:ascii="Arial" w:cs="Arial" w:eastAsia="Arial" w:hAnsi="Arial"/>
          <w:sz w:val="18"/>
          <w:szCs w:val="18"/>
          <w:color w:val="auto"/>
        </w:rPr>
      </w:pPr>
    </w:p>
    <w:p>
      <w:pPr>
        <w:ind w:right="20" w:firstLine="1304"/>
        <w:spacing w:after="0" w:line="277" w:lineRule="auto"/>
        <w:tabs>
          <w:tab w:leader="none" w:pos="237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Loan Party shall fail to observe or perform any covenant, condition or agreement contained in Sections 5.02(a), 5.03 (with respect to a Loan Party’s existence), 5.08 or 5.15 or in Article VI;</w:t>
      </w:r>
    </w:p>
    <w:p>
      <w:pPr>
        <w:spacing w:after="0" w:line="170" w:lineRule="exact"/>
        <w:rPr>
          <w:rFonts w:ascii="Arial" w:cs="Arial" w:eastAsia="Arial" w:hAnsi="Arial"/>
          <w:sz w:val="18"/>
          <w:szCs w:val="18"/>
          <w:color w:val="auto"/>
        </w:rPr>
      </w:pPr>
    </w:p>
    <w:p>
      <w:pPr>
        <w:jc w:val="both"/>
        <w:ind w:firstLine="1304"/>
        <w:spacing w:after="0" w:line="293" w:lineRule="auto"/>
        <w:tabs>
          <w:tab w:leader="none" w:pos="2364"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Loan Party shall fail to observe or perform any covenant, condition or agreement contained in this Agreement (other than those which constitute a default under another Section of this Article), and such failure shall continue unremedied for a period of (i) five (5) Business Days after the earlier of any Loan Party’s knowledge of such breach or notice thereof from the Administrative Agent (which notice will be given at the request of any Lender) if such breach relates to terms or provisions of Section 5.01, 5.02 (other than Section 5.02(a)), 5.03 through 5.07, 5.10, 5.11 or 5.13 of this Agreement or (ii) 15 days after the earlier of any Loan Party’s knowledge of such breach or notice thereof from the Administrative Agent (which notice will be given at the request of any Lender) if such breach relates to terms or provisions of any other Section of this Agreement;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5" w:name="page136"/>
    <w:bookmarkEnd w:id="135"/>
    <w:p>
      <w:pPr>
        <w:ind w:left="-20" w:firstLine="1304"/>
        <w:spacing w:after="0" w:line="277" w:lineRule="auto"/>
        <w:tabs>
          <w:tab w:leader="none" w:pos="250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Loan Party or Subsidiary shall default in making any payment (whether of principal or interest and regardless of amount) in respect of any Material Indebtedness, when and as the same shall become due and payable;</w:t>
      </w:r>
    </w:p>
    <w:p>
      <w:pPr>
        <w:spacing w:after="0" w:line="170" w:lineRule="exact"/>
        <w:rPr>
          <w:rFonts w:ascii="Arial" w:cs="Arial" w:eastAsia="Arial" w:hAnsi="Arial"/>
          <w:sz w:val="18"/>
          <w:szCs w:val="18"/>
          <w:color w:val="auto"/>
        </w:rPr>
      </w:pPr>
    </w:p>
    <w:p>
      <w:pPr>
        <w:jc w:val="both"/>
        <w:ind w:left="-20" w:firstLine="1304"/>
        <w:spacing w:after="0" w:line="275" w:lineRule="auto"/>
        <w:tabs>
          <w:tab w:leader="none" w:pos="225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 xml:space="preserve">any event or condition occurs that results in any Material Indebtedness becoming due prior to its scheduled maturity or that enables or permits (with or without the giving of notice, the lapse of time or both) the holder or holders of any Material Indebtedness or any trustee or agent on its or their behalf to cause any Material Indebtedness to become due, or to require the prepayment, repurchase, redemption or defeasance thereof, prior to its scheduled maturity;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(g) shall not apply to secured Indebtedness that becomes due as a result of the voluntary sale or transfer of the property or assets securing such Indebtedness to the extent such sale or transfer is permitted by Section 6.05;</w:t>
      </w:r>
    </w:p>
    <w:p>
      <w:pPr>
        <w:spacing w:after="0" w:line="176" w:lineRule="exact"/>
        <w:rPr>
          <w:rFonts w:ascii="Arial" w:cs="Arial" w:eastAsia="Arial" w:hAnsi="Arial"/>
          <w:sz w:val="17"/>
          <w:szCs w:val="17"/>
          <w:color w:val="auto"/>
        </w:rPr>
      </w:pPr>
    </w:p>
    <w:p>
      <w:pPr>
        <w:jc w:val="both"/>
        <w:ind w:left="-20" w:firstLine="1304"/>
        <w:spacing w:after="0" w:line="296" w:lineRule="auto"/>
        <w:tabs>
          <w:tab w:leader="none" w:pos="274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an involuntary proceeding shall be commenced or an involuntary petition shall be filed seeking (i) liquidation, reorganization or other relief in respect of a Loan Party or Subsidiary or its debts, or of a substantial part of its assets, under any federal, state or foreign bankruptcy, insolvency, receivership or similar law now or hereafter in effect or (ii) the appointment of a receiver, trustee, custodian, sequestrator, conservator or similar official for any Loan Party or Subsidiary or for a substantial part of its assets, and, in any such case, such proceeding or petition shall continue undismissed for sixty (60) days or an order or decree approving or ordering any of the foregoing shall be entered;</w:t>
      </w:r>
    </w:p>
    <w:p>
      <w:pPr>
        <w:spacing w:after="0" w:line="161" w:lineRule="exact"/>
        <w:rPr>
          <w:rFonts w:ascii="Arial" w:cs="Arial" w:eastAsia="Arial" w:hAnsi="Arial"/>
          <w:sz w:val="16"/>
          <w:szCs w:val="16"/>
          <w:color w:val="auto"/>
        </w:rPr>
      </w:pPr>
    </w:p>
    <w:p>
      <w:pPr>
        <w:jc w:val="both"/>
        <w:ind w:left="-20" w:firstLine="1304"/>
        <w:spacing w:after="0" w:line="273" w:lineRule="auto"/>
        <w:tabs>
          <w:tab w:leader="none" w:pos="2534"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Loan Party or Subsidiary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custodian, sequestrator, conservator or similar official for such Loan Party or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77" w:lineRule="exact"/>
        <w:rPr>
          <w:rFonts w:ascii="Arial" w:cs="Arial" w:eastAsia="Arial" w:hAnsi="Arial"/>
          <w:sz w:val="17"/>
          <w:szCs w:val="17"/>
          <w:color w:val="auto"/>
        </w:rPr>
      </w:pPr>
    </w:p>
    <w:p>
      <w:pPr>
        <w:ind w:left="-20" w:firstLine="1304"/>
        <w:spacing w:after="0" w:line="277" w:lineRule="auto"/>
        <w:tabs>
          <w:tab w:leader="none" w:pos="231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Loan Party or Subsidiary shall become unable, admit in writing its inability, or publicly declare its intention not to, or fail generally to pay its debts as they become due;</w:t>
      </w:r>
    </w:p>
    <w:p>
      <w:pPr>
        <w:spacing w:after="0" w:line="170" w:lineRule="exact"/>
        <w:rPr>
          <w:rFonts w:ascii="Arial" w:cs="Arial" w:eastAsia="Arial" w:hAnsi="Arial"/>
          <w:sz w:val="18"/>
          <w:szCs w:val="18"/>
          <w:color w:val="auto"/>
        </w:rPr>
      </w:pPr>
    </w:p>
    <w:p>
      <w:pPr>
        <w:jc w:val="both"/>
        <w:ind w:left="-20" w:firstLine="1304"/>
        <w:spacing w:after="0" w:line="293" w:lineRule="auto"/>
        <w:tabs>
          <w:tab w:leader="none" w:pos="221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 one or more judgments for the payment of money in an aggregate amount in excess of $500,000 shall be rendered against any Loan Party, any Subsidiary or any combination thereof and the same shall remain undischarged for a period of thirty (30) consecutive days during which execution shall not be effectively stayed, or any action shall be legally taken by a judgment creditor to attach or levy upon any assets of any Loan Party or Subsidiary to enforce any such judgment; or (ii) any Loan Party or Subsidiary shall fail within thirty (30) days to discharge one or more non-monetary judgments or orders which, individually or in the aggregate, would reasonably be expected to have a Material Adverse Effect, which judgments or orders, in any such case, are not stayed on appeal or otherwise being appropriately contested in good faith by proper proceedings diligently pursued;</w:t>
      </w:r>
    </w:p>
    <w:p>
      <w:pPr>
        <w:spacing w:after="0" w:line="164" w:lineRule="exact"/>
        <w:rPr>
          <w:rFonts w:ascii="Arial" w:cs="Arial" w:eastAsia="Arial" w:hAnsi="Arial"/>
          <w:sz w:val="16"/>
          <w:szCs w:val="16"/>
          <w:color w:val="auto"/>
        </w:rPr>
      </w:pPr>
    </w:p>
    <w:p>
      <w:pPr>
        <w:ind w:left="-20" w:firstLine="1304"/>
        <w:spacing w:after="0" w:line="277" w:lineRule="auto"/>
        <w:tabs>
          <w:tab w:leader="none" w:pos="222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 ERISA Event shall have occurred that, in the opinion of the Required Lenders, when taken together with all other ERISA Events that have occurred, would reasonably be expected to result in a Material Adverse Effect;</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36" w:name="page137"/>
    <w:bookmarkEnd w:id="136"/>
    <w:p>
      <w:pPr>
        <w:ind w:left="2200" w:hanging="896"/>
        <w:spacing w:after="0"/>
        <w:tabs>
          <w:tab w:leader="none" w:pos="220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rFonts w:ascii="Arial" w:cs="Arial" w:eastAsia="Arial" w:hAnsi="Arial"/>
          <w:sz w:val="18"/>
          <w:szCs w:val="18"/>
          <w:color w:val="auto"/>
        </w:rPr>
      </w:pPr>
    </w:p>
    <w:p>
      <w:pPr>
        <w:ind w:firstLine="1304"/>
        <w:spacing w:after="0" w:line="342" w:lineRule="auto"/>
        <w:tabs>
          <w:tab w:leader="none" w:pos="232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occurrence of any “default”, as defined in any Loan Document (other than this Agreement) or the breach of any of the terms or provisions of any Loan Document (other than this Agreement), which default or breach continues beyond any period of grace therein provided;</w:t>
      </w:r>
    </w:p>
    <w:p>
      <w:pPr>
        <w:spacing w:after="0" w:line="123" w:lineRule="exact"/>
        <w:rPr>
          <w:rFonts w:ascii="Arial" w:cs="Arial" w:eastAsia="Arial" w:hAnsi="Arial"/>
          <w:sz w:val="16"/>
          <w:szCs w:val="16"/>
          <w:color w:val="auto"/>
        </w:rPr>
      </w:pPr>
    </w:p>
    <w:p>
      <w:pPr>
        <w:jc w:val="both"/>
        <w:ind w:firstLine="1304"/>
        <w:spacing w:after="0" w:line="259" w:lineRule="auto"/>
        <w:tabs>
          <w:tab w:leader="none" w:pos="244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Loan Guaranty shall fail to remain in full force or effect or any action shall be taken to discontinue or to assert the invalidity or unenforceability of the Loan Guaranty, or any Loan Guarantor shall fail to comply with any of the terms or provisions of the Loan Guaranty to which it is a party, or any Loan Guarantor shall deny that it has any further liability under the Loan Guaranty to which it is a party, or shall give notice to such effect, including, but not limited to notice of termination delivered pursuant to Section 10.08;</w:t>
      </w:r>
    </w:p>
    <w:p>
      <w:pPr>
        <w:spacing w:after="0" w:line="186" w:lineRule="exact"/>
        <w:rPr>
          <w:rFonts w:ascii="Arial" w:cs="Arial" w:eastAsia="Arial" w:hAnsi="Arial"/>
          <w:sz w:val="18"/>
          <w:szCs w:val="18"/>
          <w:color w:val="auto"/>
        </w:rPr>
      </w:pPr>
    </w:p>
    <w:p>
      <w:pPr>
        <w:jc w:val="both"/>
        <w:ind w:firstLine="1304"/>
        <w:spacing w:after="0" w:line="263" w:lineRule="auto"/>
        <w:tabs>
          <w:tab w:leader="none" w:pos="226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except as permitted by the terms of any Collateral Document, (i) any Collateral Document shall for any reason fail to create a valid security interest in any Collateral purported to be covered thereby, or (ii) any Lien securing any Secured Obligation shall cease to be a perfected, first priority Lien;</w:t>
      </w:r>
    </w:p>
    <w:p>
      <w:pPr>
        <w:spacing w:after="0" w:line="183" w:lineRule="exact"/>
        <w:rPr>
          <w:rFonts w:ascii="Arial" w:cs="Arial" w:eastAsia="Arial" w:hAnsi="Arial"/>
          <w:sz w:val="18"/>
          <w:szCs w:val="18"/>
          <w:color w:val="auto"/>
        </w:rPr>
      </w:pPr>
    </w:p>
    <w:p>
      <w:pPr>
        <w:ind w:firstLine="1304"/>
        <w:spacing w:after="0" w:line="277" w:lineRule="auto"/>
        <w:tabs>
          <w:tab w:leader="none" w:pos="2252"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Collateral Document shall fail to remain in full force or effect or any action shall be taken to discontinue or to assert the invalidity or unenforceability of any Collateral Document;</w:t>
      </w:r>
    </w:p>
    <w:p>
      <w:pPr>
        <w:spacing w:after="0" w:line="170" w:lineRule="exact"/>
        <w:rPr>
          <w:rFonts w:ascii="Arial" w:cs="Arial" w:eastAsia="Arial" w:hAnsi="Arial"/>
          <w:sz w:val="18"/>
          <w:szCs w:val="18"/>
          <w:color w:val="auto"/>
        </w:rPr>
      </w:pPr>
    </w:p>
    <w:p>
      <w:pPr>
        <w:jc w:val="both"/>
        <w:ind w:firstLine="1304"/>
        <w:spacing w:after="0" w:line="259" w:lineRule="auto"/>
        <w:tabs>
          <w:tab w:leader="none" w:pos="2254"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material provision of any Loan Document for any reason ceases to be valid, binding and enforceable in accordance with its terms (or any Loan Party shall challenge the enforceability of any Loan Document or shall assert in writing, or engage in any action or inaction that evidences its assertion, that any provision of any of the Loan Documents has ceased to be or otherwise is not valid, binding and enforceable in accordance with its terms); or</w:t>
      </w:r>
    </w:p>
    <w:p>
      <w:pPr>
        <w:spacing w:after="0" w:line="186" w:lineRule="exact"/>
        <w:rPr>
          <w:rFonts w:ascii="Arial" w:cs="Arial" w:eastAsia="Arial" w:hAnsi="Arial"/>
          <w:sz w:val="18"/>
          <w:szCs w:val="18"/>
          <w:color w:val="auto"/>
        </w:rPr>
      </w:pPr>
    </w:p>
    <w:p>
      <w:pPr>
        <w:ind w:firstLine="1304"/>
        <w:spacing w:after="0" w:line="277" w:lineRule="auto"/>
        <w:tabs>
          <w:tab w:leader="none" w:pos="231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Loan Party is criminally indicted or convicted under any law that may reasonably be expected to lead to a forfeiture of any property of such Loan Party having a fair market value in excess of $500,000;</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then, and in every such event (other than an event with respect to the Borrowers described in clause (h) or (i) of this Article), and at any time thereafter during the continuance of such event, the Administrative Agent may, and at the request of the Required Lenders shall, by notice to the Borrower Representative, take any or all of the following actions, at the same or different times: (i) terminate the Revolving Commitments, whereupon the Revolving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whereupon the principal of the Loans so declared to be due and payable, together with accrued interest thereon and all fees (including, for the avoidance of doubt, any break funding payments) and other obligations of the Borrowers accrued hereunder and under any other Loan Document, shall become due and payable immediately, in each case without presentment, demand, protest or other notice of any kind, all of which are hereby waived by the Borrowers, and (iii) require cash collateral for the LC Exposure in accordance with Section 2.06(j) hereof; and in the case of any event with respect to the Borrowers described in clause (h) or (i) of this Article, the Revolving Commitments shall automatically terminate and the principal of the Loans then outstanding and the cash collateral for the LC Exposure, together with accrued interest thereon and all fees (including, for the avoidance of doubt, any break funding payments) and other obligations of the Borrowers accrued hereunder and under any other Loan Documents, shall automatically become due and payable, in each case without presentment, demand, protest or other notice of any kind, all of which are hereby waived by the Borrowers. Upon the occurrence and during the continuance of an Event of Default, the Administrative Agent may, and at the request of the Required Lenders shall, increase the rate of interest applicable to the Loans and other Obligations as set forth in this Agreement and exercise any rights and remedies provided to the Administrative Agent under the Loan Documents or at law or equity, including all remedies provided under the UCC.</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ADMINISTRATIVE AGENT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Authorization and Action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69" w:lineRule="auto"/>
        <w:tabs>
          <w:tab w:leader="none" w:pos="2296"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Lender, on behalf of itself and any of its Affiliates that are Secured Parties and each Issuing Bank hereby irrevocably appoints the entity named as Administrative Agent in the heading of this Agreement and its successors and assigns to serve as the administrative agent and collateral agent under the Loan Documents and each Lender and each Issuing Bank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In addition, to the extent required under the laws of any jurisdiction other than within the United States, each Lender and each Issuing Bank hereby grants to the Administrative Agent any required powers of attorney to execute and enforce any Collateral Document governed by the laws of such jurisdiction on such Lender’s or such Issuing Bank’s behalf. Without limiting the foregoing, each Lender and each Issuing Bank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spacing w:after="0" w:line="185" w:lineRule="exact"/>
        <w:rPr>
          <w:rFonts w:ascii="Arial" w:cs="Arial" w:eastAsia="Arial" w:hAnsi="Arial"/>
          <w:sz w:val="17"/>
          <w:szCs w:val="17"/>
          <w:color w:val="auto"/>
        </w:rPr>
      </w:pPr>
    </w:p>
    <w:p>
      <w:pPr>
        <w:jc w:val="both"/>
        <w:ind w:firstLine="1304"/>
        <w:spacing w:after="0" w:line="285" w:lineRule="auto"/>
        <w:tabs>
          <w:tab w:leader="none" w:pos="225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Administrative Agent shall not be required to take any action that (i) the Administrative Agent in good faith believes exposes it to liability unless the Administrative Agent receives an indemnification and is exculpated in a manner satisfactory to it from the Lenders and the Issuing Banks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any Borrower, any other Loan Party,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8" w:name="page139"/>
    <w:bookmarkEnd w:id="138"/>
    <w:p>
      <w:pPr>
        <w:jc w:val="both"/>
        <w:ind w:left="-20" w:firstLine="1304"/>
        <w:spacing w:after="0" w:line="286" w:lineRule="auto"/>
        <w:tabs>
          <w:tab w:leader="none" w:pos="231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 performing its functions and duties hereunder and under the other Loan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165" w:lineRule="exact"/>
        <w:rPr>
          <w:rFonts w:ascii="Arial" w:cs="Arial" w:eastAsia="Arial" w:hAnsi="Arial"/>
          <w:sz w:val="17"/>
          <w:szCs w:val="17"/>
          <w:color w:val="auto"/>
        </w:rPr>
      </w:pPr>
    </w:p>
    <w:p>
      <w:pPr>
        <w:jc w:val="both"/>
        <w:ind w:left="640" w:firstLine="1292"/>
        <w:spacing w:after="0" w:line="253" w:lineRule="auto"/>
        <w:tabs>
          <w:tab w:leader="none" w:pos="293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Administrative Agent does not assume and shall not be deemed to have assumed any obligation or duty or any other relationship as the agent, fiduciary or trustee of or for any Lender, Issuing Bank, Secured Party or holder of any other obligation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w:t>
      </w:r>
    </w:p>
    <w:p>
      <w:pPr>
        <w:spacing w:after="0" w:line="196" w:lineRule="exact"/>
        <w:rPr>
          <w:rFonts w:ascii="Arial" w:cs="Arial" w:eastAsia="Arial" w:hAnsi="Arial"/>
          <w:sz w:val="18"/>
          <w:szCs w:val="18"/>
          <w:color w:val="auto"/>
        </w:rPr>
      </w:pPr>
    </w:p>
    <w:p>
      <w:pPr>
        <w:ind w:left="640" w:firstLine="1292"/>
        <w:spacing w:after="0" w:line="277" w:lineRule="auto"/>
        <w:tabs>
          <w:tab w:leader="none" w:pos="2898" w:val="left"/>
        </w:tabs>
        <w:numPr>
          <w:ilvl w:val="1"/>
          <w:numId w:val="139"/>
        </w:numPr>
        <w:rPr>
          <w:rFonts w:ascii="Arial" w:cs="Arial" w:eastAsia="Arial" w:hAnsi="Arial"/>
          <w:sz w:val="18"/>
          <w:szCs w:val="18"/>
          <w:color w:val="auto"/>
        </w:rPr>
      </w:pPr>
      <w:r>
        <w:rPr>
          <w:rFonts w:ascii="Arial" w:cs="Arial" w:eastAsia="Arial" w:hAnsi="Arial"/>
          <w:sz w:val="18"/>
          <w:szCs w:val="18"/>
          <w:color w:val="auto"/>
        </w:rPr>
        <w:t>nothing in this Agreement or any Loan Document shall require the Administrative Agent to account to any Lender for any sum or the profit element of any sum received by the Administrative Agent for its own account.</w:t>
      </w:r>
    </w:p>
    <w:p>
      <w:pPr>
        <w:spacing w:after="0" w:line="170" w:lineRule="exact"/>
        <w:rPr>
          <w:rFonts w:ascii="Arial" w:cs="Arial" w:eastAsia="Arial" w:hAnsi="Arial"/>
          <w:sz w:val="18"/>
          <w:szCs w:val="18"/>
          <w:color w:val="auto"/>
        </w:rPr>
      </w:pPr>
    </w:p>
    <w:p>
      <w:pPr>
        <w:jc w:val="both"/>
        <w:ind w:left="-20" w:firstLine="1304"/>
        <w:spacing w:after="0" w:line="272" w:lineRule="auto"/>
        <w:tabs>
          <w:tab w:leader="none" w:pos="2354"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 agent except to the extent that a court of competent jurisdiction determines in a final and non-appealable judgment that the Administrative Agent acted with gross negligence or willful misconduct in the selection of such sub-agent.</w:t>
      </w:r>
    </w:p>
    <w:p>
      <w:pPr>
        <w:spacing w:after="0" w:line="177" w:lineRule="exact"/>
        <w:rPr>
          <w:rFonts w:ascii="Arial" w:cs="Arial" w:eastAsia="Arial" w:hAnsi="Arial"/>
          <w:sz w:val="17"/>
          <w:szCs w:val="17"/>
          <w:color w:val="auto"/>
        </w:rPr>
      </w:pPr>
    </w:p>
    <w:p>
      <w:pPr>
        <w:ind w:left="-20" w:firstLine="1304"/>
        <w:spacing w:after="0" w:line="342" w:lineRule="auto"/>
        <w:tabs>
          <w:tab w:leader="none" w:pos="219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No Arranger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spacing w:after="0" w:line="123" w:lineRule="exact"/>
        <w:rPr>
          <w:rFonts w:ascii="Arial" w:cs="Arial" w:eastAsia="Arial" w:hAnsi="Arial"/>
          <w:sz w:val="16"/>
          <w:szCs w:val="16"/>
          <w:color w:val="auto"/>
        </w:rPr>
      </w:pPr>
    </w:p>
    <w:p>
      <w:pPr>
        <w:jc w:val="both"/>
        <w:ind w:left="-20" w:firstLine="1304"/>
        <w:spacing w:after="0" w:line="257" w:lineRule="auto"/>
        <w:tabs>
          <w:tab w:leader="none" w:pos="234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in respect of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187" w:lineRule="exact"/>
        <w:rPr>
          <w:rFonts w:ascii="Arial" w:cs="Arial" w:eastAsia="Arial" w:hAnsi="Arial"/>
          <w:sz w:val="18"/>
          <w:szCs w:val="18"/>
          <w:color w:val="auto"/>
        </w:rPr>
      </w:pPr>
    </w:p>
    <w:p>
      <w:pPr>
        <w:jc w:val="both"/>
        <w:ind w:left="640" w:firstLine="1292"/>
        <w:spacing w:after="0" w:line="259" w:lineRule="auto"/>
        <w:tabs>
          <w:tab w:leader="none" w:pos="3073"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2.12, 2.13, 2.15, 2.17 and 9.03) allowed in such judicial proceeding; 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39" w:name="page140"/>
    <w:bookmarkEnd w:id="139"/>
    <w:p>
      <w:pPr>
        <w:ind w:left="2920" w:hanging="968"/>
        <w:spacing w:after="0"/>
        <w:tabs>
          <w:tab w:leader="none" w:pos="292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to collect and receive any monies or other property payable or deliverable on any such claims and to distribute the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same;</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proceeding is hereby authorized by each Lender, each Issuing Bank and each other Secured Party to make such payments to the Administrative Agent and, in the event that the Administrative Agent shall consent to the making of such payments directly to the Lenders, the Issuing Banks or the other Secured Parties, to pay to the Administrative Agent any amount due to it, in its capacity as the Administrative Agent, under the Loan Documents (including under Section 9.03). Nothing contained herein shall be deemed to authorize the Administrative Agent to authorize or consent to or accept or adopt on behalf of any Lender or Issuing Bank any plan of reorganization, arrangement, adjustment or composition affecting the Obligations or the rights of any Lender or Issuing Bank or to authorize the Administrative Agent to vote in respect of the claim of any Lender or Issuing Bank in any such proceeding.</w:t>
      </w:r>
    </w:p>
    <w:p>
      <w:pPr>
        <w:spacing w:after="0" w:line="177" w:lineRule="exact"/>
        <w:rPr>
          <w:sz w:val="20"/>
          <w:szCs w:val="20"/>
          <w:color w:val="auto"/>
        </w:rPr>
      </w:pPr>
    </w:p>
    <w:p>
      <w:pPr>
        <w:jc w:val="both"/>
        <w:ind w:firstLine="1304"/>
        <w:spacing w:after="0" w:line="257" w:lineRule="auto"/>
        <w:tabs>
          <w:tab w:leader="none" w:pos="223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provisions of this Article are solely for the benefit of the Administrative Agent, the Lenders and the Issuing Banks, and, except solely to the extent of the Borrowers’ right to consent pursuant to and subject to the conditions set forth in this Article, no Borrower nor any Subsidiary, or any of their respective Affiliates, shall have any rights as a third party beneficiary under any such provisions. Each Secured Party, whether or not a party hereto, will be deemed, by its acceptance of the benefits of the Collateral and of the Guarantees of the Secured Obligations provided under the Loan Documents, to have agreed to the provisions of this Article.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Administrative Agent’s Reliance, Limitation of Liability, Etc.</w:t>
      </w:r>
    </w:p>
    <w:p>
      <w:pPr>
        <w:spacing w:after="0" w:line="225" w:lineRule="exact"/>
        <w:rPr>
          <w:sz w:val="20"/>
          <w:szCs w:val="20"/>
          <w:color w:val="auto"/>
        </w:rPr>
      </w:pPr>
    </w:p>
    <w:p>
      <w:pPr>
        <w:jc w:val="both"/>
        <w:ind w:firstLine="1304"/>
        <w:spacing w:after="0" w:line="287" w:lineRule="auto"/>
        <w:tabs>
          <w:tab w:leader="none" w:pos="225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facsimile, emailed pdf. or any other electronic means that reproduces an image of an actual executed signature page) or for any failure of any Loan Party to perform its obligations hereunder or thereunder.</w:t>
      </w:r>
    </w:p>
    <w:p>
      <w:pPr>
        <w:spacing w:after="0" w:line="171" w:lineRule="exact"/>
        <w:rPr>
          <w:rFonts w:ascii="Arial" w:cs="Arial" w:eastAsia="Arial" w:hAnsi="Arial"/>
          <w:sz w:val="16"/>
          <w:szCs w:val="16"/>
          <w:color w:val="auto"/>
        </w:rPr>
      </w:pPr>
    </w:p>
    <w:p>
      <w:pPr>
        <w:jc w:val="both"/>
        <w:ind w:firstLine="1304"/>
        <w:spacing w:after="0" w:line="287" w:lineRule="auto"/>
        <w:tabs>
          <w:tab w:leader="none" w:pos="2252"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Administrative Agent shall be deemed not to have knowledge of any (i) notice of any of the events or circumstances set forth or described in Section 5.02 unless and until written notice thereof stating that it is a “notice under Section 5.02” in respect of this Agreement and identifying the specific clause under said Section is given to the Administrative Agent by the Borrower Representative, or (ii) notice of any Default or Event of Default unless and until written notice thereof (stating that it is a “notice of Default” or a “notice of an Event of Default”) is given to the Administrative Agent by the Borrower Representative, a Lender or the Issuing Bank. Further, the Administrative Agent shall not be responsible for or have any duty to ascertain or inquire into (i) any statement, warranty or representation made in or in connection with any Loan Document, (ii) the contents of any certificate, report or other document delivered thereunder or in connection therewith, (iii) the performance or observance of any of the covenants, agreements or other terms or conditions set forth in any Loan Document or the occurrence of any Default or Event of Default, (iv) the sufficiency, validity, enforceability, effectiveness or genuineness of any Loan Document or any other agreement, instrument or document, (v) the satisfaction of any condition set forth in Article IV 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or (vi) the creation, perfection or priority of Liens on the Collateral.</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0" w:name="page141"/>
    <w:bookmarkEnd w:id="140"/>
    <w:p>
      <w:pPr>
        <w:jc w:val="both"/>
        <w:ind w:left="-20" w:firstLine="1304"/>
        <w:spacing w:after="0" w:line="286" w:lineRule="auto"/>
        <w:tabs>
          <w:tab w:leader="none" w:pos="229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Without limiting the foregoing, the Administrative Agent (i) may treat the payee of any promissory note as its holder until such promissory note has been assigned in accordance with Section 9.04, (ii) may rely on the Register to the extent set forth in Section 9.04(b), (iii) may consult with legal counsel (including counsel to the Borrowers),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Bank and shall not be responsible to any Lender or Issuing Bank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spacing w:after="0" w:line="1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Posting of Communications</w:t>
      </w:r>
      <w:r>
        <w:rPr>
          <w:rFonts w:ascii="Arial" w:cs="Arial" w:eastAsia="Arial" w:hAnsi="Arial"/>
          <w:sz w:val="18"/>
          <w:szCs w:val="18"/>
          <w:color w:val="auto"/>
        </w:rPr>
        <w:t>.</w:t>
      </w:r>
    </w:p>
    <w:p>
      <w:pPr>
        <w:spacing w:after="0" w:line="225" w:lineRule="exact"/>
        <w:rPr>
          <w:sz w:val="20"/>
          <w:szCs w:val="20"/>
          <w:color w:val="auto"/>
        </w:rPr>
      </w:pPr>
    </w:p>
    <w:p>
      <w:pPr>
        <w:jc w:val="both"/>
        <w:ind w:left="-20" w:right="20" w:firstLine="1304"/>
        <w:spacing w:after="0" w:line="286" w:lineRule="auto"/>
        <w:tabs>
          <w:tab w:leader="none" w:pos="224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Borrowers agree that the Administrative Agent may, but shall not be obligated to, make any Communications available to the Lenders and the Issuing Bank by posting the Communications on IntraLinks™, DebtDomain, SyndTrak, ClearPar or any other electronic system chosen by the Administrative Agent to be its electronic transmission system (the “Approved Electronic Platform”).</w:t>
      </w:r>
    </w:p>
    <w:p>
      <w:pPr>
        <w:spacing w:after="0" w:line="165" w:lineRule="exact"/>
        <w:rPr>
          <w:rFonts w:ascii="Arial" w:cs="Arial" w:eastAsia="Arial" w:hAnsi="Arial"/>
          <w:sz w:val="17"/>
          <w:szCs w:val="17"/>
          <w:color w:val="auto"/>
        </w:rPr>
      </w:pPr>
    </w:p>
    <w:p>
      <w:pPr>
        <w:jc w:val="both"/>
        <w:ind w:left="-20" w:firstLine="1304"/>
        <w:spacing w:after="0" w:line="271" w:lineRule="auto"/>
        <w:tabs>
          <w:tab w:leader="none" w:pos="2489" w:val="left"/>
        </w:tabs>
        <w:numPr>
          <w:ilvl w:val="0"/>
          <w:numId w:val="144"/>
        </w:numPr>
        <w:rPr>
          <w:rFonts w:ascii="Arial" w:cs="Arial" w:eastAsia="Arial" w:hAnsi="Arial"/>
          <w:sz w:val="17"/>
          <w:szCs w:val="17"/>
          <w:color w:val="auto"/>
        </w:rPr>
      </w:pPr>
      <w:r>
        <w:rPr>
          <w:rFonts w:ascii="Arial" w:cs="Arial" w:eastAsia="Arial" w:hAnsi="Arial"/>
          <w:sz w:val="17"/>
          <w:szCs w:val="17"/>
          <w:color w:val="auto"/>
        </w:rPr>
        <w:t>Although the Approved Electronic Platform and its primary web portal are secured with generally-applicable security procedures and policies implemented or modified by the Administrative Agent from time to time (including, as of the Effective Date, a user ID/password authorization system) and the Approved Electronic Platform is secured through a per-deal authorization method whereby each user may access the Approved Electronic Platform only on a deal-by-deal basis, each of the Lenders, the Issuing Bank and each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the Issuing Bank and each Borrower hereby approves distribution of the Communications through the Approved Electronic Platform and understands and assumes the risks of such distribution.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41" w:name="page142"/>
    <w:bookmarkEnd w:id="141"/>
    <w:p>
      <w:pPr>
        <w:jc w:val="both"/>
        <w:ind w:firstLine="1304"/>
        <w:spacing w:after="0" w:line="252" w:lineRule="auto"/>
        <w:tabs>
          <w:tab w:leader="none" w:pos="2323"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OR ANY OF THEIR RESPECTIVE RELATED PARTIES (COLLECTIVELY, “</w:t>
      </w:r>
      <w:r>
        <w:rPr>
          <w:rFonts w:ascii="Arial" w:cs="Arial" w:eastAsia="Arial" w:hAnsi="Arial"/>
          <w:sz w:val="18"/>
          <w:szCs w:val="18"/>
          <w:u w:val="single" w:color="auto"/>
          <w:color w:val="auto"/>
        </w:rPr>
        <w:t>APPLICABLE PARTIES</w:t>
      </w:r>
      <w:r>
        <w:rPr>
          <w:rFonts w:ascii="Arial" w:cs="Arial" w:eastAsia="Arial" w:hAnsi="Arial"/>
          <w:sz w:val="18"/>
          <w:szCs w:val="18"/>
          <w:color w:val="auto"/>
        </w:rPr>
        <w:t>”) HAVE ANY LIABILITY TO ANY LOAN PARTY, ANY LENDER, ANY ISSUING BANK OR ANY OTHER PERSON OR ENTITY FOR DAMAGES OF ANY KIND, INCLUDING DIRECT OR INDIRECT, SPECIAL, INCIDENTAL OR CONSEQUENTIAL DAMAGES, LOSSES OR EXPENSES (WHETHER IN TORT, CONTRACT OR OTHERWISE) ARISING OUT OF ANY LOAN PARTY’S OR THE ADMINISTRATIVE AGENT’S TRANSMISSION OF COMMUNICATIONS THROUGH THE INTERNET OR THE APPROVED ELECTRONIC PLATFORM.</w:t>
      </w:r>
    </w:p>
    <w:p>
      <w:pPr>
        <w:spacing w:after="0" w:line="199"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Communications</w:t>
      </w:r>
      <w:r>
        <w:rPr>
          <w:rFonts w:ascii="Arial" w:cs="Arial" w:eastAsia="Arial" w:hAnsi="Arial"/>
          <w:sz w:val="16"/>
          <w:szCs w:val="16"/>
          <w:color w:val="auto"/>
        </w:rPr>
        <w:t>” means, collectively, any notice, demand, communication, information, document or other material provided by or on behalf of any Loan Party pursuant to any Loan Document or the transactions contemplated therein which is distributed by the Administrative Agent, any Lender or Issuing Bank by means of electronic communications pursuant to this Section, including through an Approved Electronic Platform.</w:t>
      </w:r>
    </w:p>
    <w:p>
      <w:pPr>
        <w:spacing w:after="0" w:line="149" w:lineRule="exact"/>
        <w:rPr>
          <w:sz w:val="20"/>
          <w:szCs w:val="20"/>
          <w:color w:val="auto"/>
        </w:rPr>
      </w:pPr>
    </w:p>
    <w:p>
      <w:pPr>
        <w:jc w:val="both"/>
        <w:ind w:firstLine="1304"/>
        <w:spacing w:after="0" w:line="257" w:lineRule="auto"/>
        <w:tabs>
          <w:tab w:leader="none" w:pos="23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Lender and Issuing Bank agrees that notice to it (as provided in the next sentence) specifying that Communications have been posted to the Approved Electronic Platform shall constitute effective delivery of the Communications to such Lender for purposes of the Loan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 (ii) that the foregoing notice may be sent to such email address.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404" w:val="left"/>
        </w:tabs>
        <w:numPr>
          <w:ilvl w:val="0"/>
          <w:numId w:val="146"/>
        </w:numPr>
        <w:rPr>
          <w:rFonts w:ascii="Arial" w:cs="Arial" w:eastAsia="Arial" w:hAnsi="Arial"/>
          <w:sz w:val="18"/>
          <w:szCs w:val="18"/>
          <w:color w:val="auto"/>
        </w:rPr>
      </w:pPr>
      <w:r>
        <w:rPr>
          <w:rFonts w:ascii="Arial" w:cs="Arial" w:eastAsia="Arial" w:hAnsi="Arial"/>
          <w:sz w:val="18"/>
          <w:szCs w:val="18"/>
          <w:color w:val="auto"/>
        </w:rPr>
        <w:t>Each of the Lenders, Issuing Bank and each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spacing w:after="0" w:line="183" w:lineRule="exact"/>
        <w:rPr>
          <w:rFonts w:ascii="Arial" w:cs="Arial" w:eastAsia="Arial" w:hAnsi="Arial"/>
          <w:sz w:val="18"/>
          <w:szCs w:val="18"/>
          <w:color w:val="auto"/>
        </w:rPr>
      </w:pPr>
    </w:p>
    <w:p>
      <w:pPr>
        <w:ind w:firstLine="1304"/>
        <w:spacing w:after="0" w:line="277" w:lineRule="auto"/>
        <w:tabs>
          <w:tab w:leader="none" w:pos="2267"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Issuing Bank to give any notice or other communication pursuant to any Loan Document in any other manner specified in such Loan Document.</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u w:val="single" w:color="auto"/>
          <w:color w:val="auto"/>
        </w:rPr>
        <w:t>The Administrative Agent Individually</w:t>
      </w:r>
      <w:r>
        <w:rPr>
          <w:rFonts w:ascii="Arial" w:cs="Arial" w:eastAsia="Arial" w:hAnsi="Arial"/>
          <w:sz w:val="17"/>
          <w:szCs w:val="17"/>
          <w:color w:val="auto"/>
        </w:rPr>
        <w:t>. With respect to its Revolving Commitment, Loans (including Swingline Loans) and Letters of Credit, the Person serving as the Administrative Agent shall have and may exercise the same rights and powers hereunder and is subject to the same obligations and liabilities as and to the extent set forth herein for any other Lender or Issuing Bank, as the case may be. The terms “</w:t>
      </w:r>
      <w:r>
        <w:rPr>
          <w:rFonts w:ascii="Arial" w:cs="Arial" w:eastAsia="Arial" w:hAnsi="Arial"/>
          <w:sz w:val="17"/>
          <w:szCs w:val="17"/>
          <w:u w:val="single" w:color="auto"/>
          <w:color w:val="auto"/>
        </w:rPr>
        <w:t>Issuing Bank</w:t>
      </w:r>
      <w:r>
        <w:rPr>
          <w:rFonts w:ascii="Arial" w:cs="Arial" w:eastAsia="Arial" w:hAnsi="Arial"/>
          <w:sz w:val="17"/>
          <w:szCs w:val="17"/>
          <w:color w:val="auto"/>
        </w:rPr>
        <w:t>”, “</w:t>
      </w:r>
      <w:r>
        <w:rPr>
          <w:rFonts w:ascii="Arial" w:cs="Arial" w:eastAsia="Arial" w:hAnsi="Arial"/>
          <w:sz w:val="17"/>
          <w:szCs w:val="17"/>
          <w:u w:val="single" w:color="auto"/>
          <w:color w:val="auto"/>
        </w:rPr>
        <w:t>Lenders</w:t>
      </w:r>
      <w:r>
        <w:rPr>
          <w:rFonts w:ascii="Arial" w:cs="Arial" w:eastAsia="Arial" w:hAnsi="Arial"/>
          <w:sz w:val="17"/>
          <w:szCs w:val="17"/>
          <w:color w:val="auto"/>
        </w:rPr>
        <w:t>”, “</w:t>
      </w:r>
      <w:r>
        <w:rPr>
          <w:rFonts w:ascii="Arial" w:cs="Arial" w:eastAsia="Arial" w:hAnsi="Arial"/>
          <w:sz w:val="17"/>
          <w:szCs w:val="17"/>
          <w:u w:val="single" w:color="auto"/>
          <w:color w:val="auto"/>
        </w:rPr>
        <w:t>Required Lenders</w:t>
      </w:r>
      <w:r>
        <w:rPr>
          <w:rFonts w:ascii="Arial" w:cs="Arial" w:eastAsia="Arial" w:hAnsi="Arial"/>
          <w:sz w:val="17"/>
          <w:szCs w:val="17"/>
          <w:color w:val="auto"/>
        </w:rPr>
        <w:t>” and any similar terms shall, unless the context clearly otherwise indicates, include the Administrative Agent in its individual capacity as a Lender, Issuing Bank or as one of the Required Lenders, as applicable. The Person serving as the Administrative Agent and its Affiliates may accept deposits from, lend money to, own securities of, act as the financial advisor or in any other advisory capacity for and generally engage in any kind of banking, trust or other business with, any Loan Party, any Subsidiary or any Affiliate of any of the foregoing as if such Person was not acting as the Administrative Agent and without any duty to account therefor to the Lenders or the Issuing Bank.</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2" w:name="page143"/>
    <w:bookmarkEnd w:id="142"/>
    <w:p>
      <w:pPr>
        <w:ind w:left="652"/>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w:t>
      </w:r>
    </w:p>
    <w:p>
      <w:pPr>
        <w:spacing w:after="0" w:line="225" w:lineRule="exact"/>
        <w:rPr>
          <w:sz w:val="20"/>
          <w:szCs w:val="20"/>
          <w:color w:val="auto"/>
        </w:rPr>
      </w:pPr>
    </w:p>
    <w:p>
      <w:pPr>
        <w:jc w:val="both"/>
        <w:ind w:left="-8" w:firstLine="1304"/>
        <w:spacing w:after="0" w:line="268" w:lineRule="auto"/>
        <w:tabs>
          <w:tab w:leader="none" w:pos="2248"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Administrative Agent may resign at any time by giving 30 days’ prior written notice thereof to the Lenders, the Issuing Bank and the Borrower Representative,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Bank, appoint a successor Administrative Agent, which shall be a bank with an office in New York, New York or an Affiliate of any such bank. In either case, such appointment shall be subject to the prior written approval of the Borrower Representative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spacing w:after="0" w:line="186" w:lineRule="exact"/>
        <w:rPr>
          <w:rFonts w:ascii="Arial" w:cs="Arial" w:eastAsia="Arial" w:hAnsi="Arial"/>
          <w:sz w:val="17"/>
          <w:szCs w:val="17"/>
          <w:color w:val="auto"/>
        </w:rPr>
      </w:pPr>
    </w:p>
    <w:p>
      <w:pPr>
        <w:jc w:val="both"/>
        <w:ind w:left="-8" w:firstLine="1304"/>
        <w:spacing w:after="0" w:line="282" w:lineRule="auto"/>
        <w:tabs>
          <w:tab w:leader="none" w:pos="2258"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Notwithstanding paragraph (a) of this Section,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 and the Borrowers, whereupon, on the date of effectiveness of such resignation stated in such notice, (i) the retiring Administrative Agent shall be discharged from its duties and obligations hereunder and under the other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for purposes of maintaining any security interest granted to the Administrative Agent under any Collateral Document for the benefit of the Secured Parties, the retiring Administrative Agent shall continue to be vested with such security interest as collateral agent for the benefit of the Secured Parties and continue to be entitled to the rights set forth in such Collateral Document and Loan Document, and, in the case of any Collateral in the possession of the Administrative Agent, shall continue to hold such Collateral, in each case until such time as a successor Administrative Agent is appointed and accepts such appointment in accordance with this Section (it being understood and agreed that the retiring Administrative Agent shall have no duty or obligation to take any further action under any Collateral Document, including any action required to maintain the perfection of any such security interest), and (ii) the Required Lenders shall succeed to and become vested with all the rights, powers, privileges and duties of the retiring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Issuing Bank. Following the effectiveness of the Administrative Agent’s resignation from its capacity as such, the provisions of this Article, Section 2.17(d) and Section 9.03, as well as any exculpatory, reimbursement and indemnification provisions set forth in any other Loan Document, shall continue in effect for the benefit of such retiring Administrative Agent, its sub agents and their respective Related Parties in respect of any actions taken or omitted to be taken by any of them while the retiring Administrative Agent was acting as Administrative Agent and in respect of the matters referred to in the proviso under clause</w:t>
      </w:r>
    </w:p>
    <w:p>
      <w:pPr>
        <w:spacing w:after="0" w:line="11" w:lineRule="exact"/>
        <w:rPr>
          <w:rFonts w:ascii="Arial" w:cs="Arial" w:eastAsia="Arial" w:hAnsi="Arial"/>
          <w:sz w:val="16"/>
          <w:szCs w:val="16"/>
          <w:color w:val="auto"/>
        </w:rPr>
      </w:pPr>
    </w:p>
    <w:p>
      <w:pPr>
        <w:ind w:left="252" w:hanging="252"/>
        <w:spacing w:after="0"/>
        <w:tabs>
          <w:tab w:leader="none" w:pos="25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above.</w:t>
      </w:r>
    </w:p>
    <w:p>
      <w:pPr>
        <w:spacing w:after="0" w:line="31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800" w:right="339" w:bottom="1440" w:gutter="0" w:footer="0" w:header="0"/>
        </w:sectPr>
      </w:pPr>
    </w:p>
    <w:bookmarkStart w:id="143" w:name="page144"/>
    <w:bookmarkEnd w:id="143"/>
    <w:p>
      <w:pPr>
        <w:ind w:left="640"/>
        <w:spacing w:after="0"/>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Acknowledgements of Lenders and Issuing Bank</w:t>
      </w:r>
      <w:r>
        <w:rPr>
          <w:rFonts w:ascii="Arial" w:cs="Arial" w:eastAsia="Arial" w:hAnsi="Arial"/>
          <w:sz w:val="18"/>
          <w:szCs w:val="18"/>
          <w:color w:val="auto"/>
        </w:rPr>
        <w:t>.</w:t>
      </w:r>
    </w:p>
    <w:p>
      <w:pPr>
        <w:spacing w:after="0" w:line="225" w:lineRule="exact"/>
        <w:rPr>
          <w:sz w:val="20"/>
          <w:szCs w:val="20"/>
          <w:color w:val="auto"/>
        </w:rPr>
      </w:pPr>
    </w:p>
    <w:p>
      <w:pPr>
        <w:jc w:val="both"/>
        <w:ind w:left="-20" w:firstLine="1304"/>
        <w:spacing w:after="0" w:line="286" w:lineRule="auto"/>
        <w:tabs>
          <w:tab w:leader="none" w:pos="220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Lender and each Issuing Bank represents and warrants that (i) the Loan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70" w:lineRule="exact"/>
        <w:rPr>
          <w:rFonts w:ascii="Arial" w:cs="Arial" w:eastAsia="Arial" w:hAnsi="Arial"/>
          <w:sz w:val="16"/>
          <w:szCs w:val="16"/>
          <w:color w:val="auto"/>
        </w:rPr>
      </w:pPr>
    </w:p>
    <w:p>
      <w:pPr>
        <w:jc w:val="both"/>
        <w:ind w:left="-20" w:firstLine="1304"/>
        <w:spacing w:after="0" w:line="257" w:lineRule="auto"/>
        <w:tabs>
          <w:tab w:leader="none" w:pos="2259"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on the Effective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or the effective date of any such Assignment and Assumption or any other Loan Document pursuant to which it shall have become a Lender hereunder.</w:t>
      </w:r>
    </w:p>
    <w:p>
      <w:pPr>
        <w:spacing w:after="0" w:line="187" w:lineRule="exact"/>
        <w:rPr>
          <w:rFonts w:ascii="Arial" w:cs="Arial" w:eastAsia="Arial" w:hAnsi="Arial"/>
          <w:sz w:val="18"/>
          <w:szCs w:val="18"/>
          <w:color w:val="auto"/>
        </w:rPr>
      </w:pPr>
    </w:p>
    <w:p>
      <w:pPr>
        <w:jc w:val="both"/>
        <w:ind w:left="-20" w:firstLine="1304"/>
        <w:spacing w:after="0" w:line="286" w:lineRule="auto"/>
        <w:tabs>
          <w:tab w:leader="none" w:pos="2344"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Each Lender hereby agrees that (i) it has requested a copy of each Report prepared by or on behalf of the Administrative Agent; (ii) the Administrative Agent (A) makes no representation or warranty, express or implied, as to the completeness or accuracy of any Report or any of the information contained therein or any inaccuracy or omission contained in or relating to a Report and (B) shall not be liable for any information contained in any Report; (iii) the Reports are not comprehensive audits or examinations, and that any Person performing any field examination will inspect only specific information regarding the Loan Parties and will rely significantly upon the Loan Parties’ books and records, as well as on representations of the Loan Parties’ personnel and that the Administrative Agent undertakes no obligation to update, correct or supplement the Reports; (iv) it will keep all Reports confidential and strictly for its internal use, not share the Report with any Loan Party or any other Person except as otherwise permitted pursuant to this Agreement; and (v) without limiting the generality of any other indemnification provision contained in this Agreement, (A) it will hold the Administrative Agent and any such other Person preparing a Report harmless from any action the indemnifying Lender may take or conclusion the indemnifying Lender may reach or draw from any Report in connection with any extension of credit that the indemnifying Lender has made or may make to a Borrower, or the indemnifying Lender’s participation in, or the indemnifying Lender’s purchase of, a Loan or Loans; and (B) it will pay and protect, and indemnify, defend, and hold the Administrative Agent and any such other Person preparing a Report harmless from and against, the claims, actions, proceedings, damages, costs, expenses, and other amounts (including reasonable attorneys’ fees) incurred by the Administrative Agent or any such other Person as the direct or indirect result of any third parties who might obtain all or part of any Report through the indemnifying Lender.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44" w:name="page145"/>
    <w:bookmarkEnd w:id="144"/>
    <w:p>
      <w:pPr>
        <w:jc w:val="both"/>
        <w:ind w:left="-20" w:firstLine="1304"/>
        <w:spacing w:after="0" w:line="269" w:lineRule="auto"/>
        <w:tabs>
          <w:tab w:leader="none" w:pos="23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(i)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the return of such Payment (or a portion thereof), such Lender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8.06(d) shall be conclusive, absent manifest error.</w:t>
      </w:r>
    </w:p>
    <w:p>
      <w:pPr>
        <w:spacing w:after="0" w:line="178" w:lineRule="exact"/>
        <w:rPr>
          <w:rFonts w:ascii="Arial" w:cs="Arial" w:eastAsia="Arial" w:hAnsi="Arial"/>
          <w:sz w:val="17"/>
          <w:szCs w:val="17"/>
          <w:color w:val="auto"/>
        </w:rPr>
      </w:pPr>
    </w:p>
    <w:p>
      <w:pPr>
        <w:jc w:val="both"/>
        <w:ind w:left="640" w:firstLine="1292"/>
        <w:spacing w:after="0" w:line="288" w:lineRule="auto"/>
        <w:tabs>
          <w:tab w:leader="none" w:pos="3127"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6"/>
          <w:szCs w:val="16"/>
          <w:u w:val="single" w:color="auto"/>
          <w:color w:val="auto"/>
        </w:rPr>
        <w:t>Payment Notice</w:t>
      </w:r>
      <w:r>
        <w:rPr>
          <w:rFonts w:ascii="Arial" w:cs="Arial" w:eastAsia="Arial" w:hAnsi="Arial"/>
          <w:sz w:val="16"/>
          <w:szCs w:val="16"/>
          <w:color w:val="auto"/>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(1)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spacing w:after="0" w:line="168" w:lineRule="exact"/>
        <w:rPr>
          <w:rFonts w:ascii="Arial" w:cs="Arial" w:eastAsia="Arial" w:hAnsi="Arial"/>
          <w:sz w:val="16"/>
          <w:szCs w:val="16"/>
          <w:color w:val="auto"/>
        </w:rPr>
      </w:pPr>
    </w:p>
    <w:p>
      <w:pPr>
        <w:jc w:val="both"/>
        <w:ind w:left="640" w:firstLine="1292"/>
        <w:spacing w:after="0" w:line="259" w:lineRule="auto"/>
        <w:tabs>
          <w:tab w:leader="none" w:pos="2966"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Each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any Borrower or any other Loan Party.</w:t>
      </w:r>
    </w:p>
    <w:p>
      <w:pPr>
        <w:spacing w:after="0" w:line="186" w:lineRule="exact"/>
        <w:rPr>
          <w:rFonts w:ascii="Arial" w:cs="Arial" w:eastAsia="Arial" w:hAnsi="Arial"/>
          <w:sz w:val="18"/>
          <w:szCs w:val="18"/>
          <w:color w:val="auto"/>
        </w:rPr>
      </w:pPr>
    </w:p>
    <w:p>
      <w:pPr>
        <w:jc w:val="both"/>
        <w:ind w:left="640" w:firstLine="1292"/>
        <w:spacing w:after="0" w:line="263" w:lineRule="auto"/>
        <w:tabs>
          <w:tab w:leader="none" w:pos="336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Each party’s obligations under this Section 8.06(d) shall survive the resignation or replacement of the Administrative Agent or any transfer of rights or obligations by, or the replacement of, a Lender, the termination of the Revolving Commitments or the repayment, satisfaction or discharge of all Obligations under any Loan Document.</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45" w:name="page146"/>
    <w:bookmarkEnd w:id="145"/>
    <w:p>
      <w:pPr>
        <w:ind w:left="660"/>
        <w:spacing w:after="0"/>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Collateral Matters</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71" w:lineRule="auto"/>
        <w:tabs>
          <w:tab w:leader="none" w:pos="2242"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Except with respect to the exercise of setoff rights in accordance with Section 9.08 or with respect to a Secured Party’s right to file a proof of claim in an insolvency proceeding, no Secured Party shall have any right individually to realize upon any of the Collateral or to enforce any Guarantee of the Secured Obligations, it being understood and agreed that all powers, rights and remedies under the Loan Documents may be exercised solely by the Administrative Agent on behalf of the Secured Parties in accordance with the terms thereof. In its capacity, the Administrative Agent is a “representative” of the Secured Parties within the meaning of the term “secured party” as defined in the UCC. In the event that any Collateral is hereafter pledged by any Person as collateral security for the Secured Obligations, the Administrative Agent is hereby authorized, and hereby granted a power of attorney, to execute and deliver on behalf of the Secured Parties any Loan Documents necessary or appropriate to grant and perfect a Lien on such Collateral in favor of the Administrative Agent on behalf of the Secured Parties.</w:t>
      </w:r>
    </w:p>
    <w:p>
      <w:pPr>
        <w:spacing w:after="0" w:line="178" w:lineRule="exact"/>
        <w:rPr>
          <w:rFonts w:ascii="Arial" w:cs="Arial" w:eastAsia="Arial" w:hAnsi="Arial"/>
          <w:sz w:val="17"/>
          <w:szCs w:val="17"/>
          <w:color w:val="auto"/>
        </w:rPr>
      </w:pPr>
    </w:p>
    <w:p>
      <w:pPr>
        <w:jc w:val="both"/>
        <w:ind w:firstLine="1304"/>
        <w:spacing w:after="0" w:line="254" w:lineRule="auto"/>
        <w:tabs>
          <w:tab w:leader="none" w:pos="226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furtherance of the foregoing and not in limitation thereof, no arrangements in respect of Banking Services the obligations under which constitute Secured Obligations and no Swap Agreement the obligations under which constitute Secured Obligations, will create (or be deemed to create) in favor of any Secured Party that is a party thereto any rights in connection with the management or release of any Collateral or of the obligations of any Loan Party under any Loan Document. By accepting the benefits of the Collateral, each Secured Party that is a party to any such arrangement in respect of Banking Services or Swap Agreement, as applicable, shall be deemed to have appointed the Administrative Agent to serve as administrative agent and collateral agent under the Loan Documents and agreed to be bound by the Loan Documents as a Secured Party thereunder, subject to the limitations set forth in this paragraph.</w:t>
      </w:r>
    </w:p>
    <w:p>
      <w:pPr>
        <w:spacing w:after="0" w:line="194" w:lineRule="exact"/>
        <w:rPr>
          <w:rFonts w:ascii="Arial" w:cs="Arial" w:eastAsia="Arial" w:hAnsi="Arial"/>
          <w:sz w:val="18"/>
          <w:szCs w:val="18"/>
          <w:color w:val="auto"/>
        </w:rPr>
      </w:pPr>
    </w:p>
    <w:p>
      <w:pPr>
        <w:jc w:val="both"/>
        <w:ind w:firstLine="1304"/>
        <w:spacing w:after="0" w:line="255" w:lineRule="auto"/>
        <w:tabs>
          <w:tab w:leader="none" w:pos="236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Secured Parties irrevocably authorize the Administrative Agent, at its option and in its discretion, to subordinate any Lien on any property granted to or held by the Administrative Agent under any Loan Document to the holder of any Lien on such property that is permitted by Section 6.02(b). 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or any other Secured Party for any failure to monitor or maintain any portion of the Collateral.</w:t>
      </w:r>
    </w:p>
    <w:p>
      <w:pPr>
        <w:spacing w:after="0" w:line="19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color w:val="auto"/>
        </w:rPr>
        <w:t xml:space="preserve">SECTION 8.08. </w:t>
      </w:r>
      <w:r>
        <w:rPr>
          <w:rFonts w:ascii="Arial" w:cs="Arial" w:eastAsia="Arial" w:hAnsi="Arial"/>
          <w:sz w:val="16"/>
          <w:szCs w:val="16"/>
          <w:u w:val="single" w:color="auto"/>
          <w:color w:val="auto"/>
        </w:rPr>
        <w:t>Credit Bidding</w:t>
      </w:r>
      <w:r>
        <w:rPr>
          <w:rFonts w:ascii="Arial" w:cs="Arial" w:eastAsia="Arial" w:hAnsi="Arial"/>
          <w:sz w:val="16"/>
          <w:szCs w:val="16"/>
          <w:color w:val="auto"/>
        </w:rPr>
        <w:t>. The Secured Parties hereby irrevocably authorize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Section 9.02 of this Agreement),</w:t>
      </w:r>
    </w:p>
    <w:p>
      <w:pPr>
        <w:spacing w:after="0" w:line="11" w:lineRule="exact"/>
        <w:rPr>
          <w:sz w:val="20"/>
          <w:szCs w:val="20"/>
          <w:color w:val="auto"/>
        </w:rPr>
      </w:pPr>
    </w:p>
    <w:p>
      <w:pPr>
        <w:jc w:val="both"/>
        <w:ind w:firstLine="8"/>
        <w:spacing w:after="0" w:line="267" w:lineRule="auto"/>
        <w:tabs>
          <w:tab w:leader="none" w:pos="33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Administrative Agent on behalf of such acquisition vehicle or vehicles shall be authorized to issue to each of the Secured Parties, ratably on account of the relevant Obligations which were credit bid, interests, whether as equity, partnership interests,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6" w:name="page147"/>
    <w:bookmarkEnd w:id="146"/>
    <w:p>
      <w:pPr>
        <w:ind w:left="640"/>
        <w:spacing w:after="0"/>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25" w:lineRule="exact"/>
        <w:rPr>
          <w:sz w:val="20"/>
          <w:szCs w:val="20"/>
          <w:color w:val="auto"/>
        </w:rPr>
      </w:pPr>
    </w:p>
    <w:p>
      <w:pPr>
        <w:jc w:val="both"/>
        <w:ind w:left="-20" w:firstLine="1304"/>
        <w:spacing w:after="0" w:line="259" w:lineRule="auto"/>
        <w:tabs>
          <w:tab w:leader="none" w:pos="233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at least one of the following is and will be true:</w:t>
      </w:r>
    </w:p>
    <w:p>
      <w:pPr>
        <w:spacing w:after="0" w:line="186" w:lineRule="exact"/>
        <w:rPr>
          <w:rFonts w:ascii="Arial" w:cs="Arial" w:eastAsia="Arial" w:hAnsi="Arial"/>
          <w:sz w:val="18"/>
          <w:szCs w:val="18"/>
          <w:color w:val="auto"/>
        </w:rPr>
      </w:pPr>
    </w:p>
    <w:p>
      <w:pPr>
        <w:ind w:left="640" w:firstLine="1292"/>
        <w:spacing w:after="0" w:line="277" w:lineRule="auto"/>
        <w:tabs>
          <w:tab w:leader="none" w:pos="2965" w:val="left"/>
        </w:tabs>
        <w:numPr>
          <w:ilvl w:val="1"/>
          <w:numId w:val="153"/>
        </w:numPr>
        <w:rPr>
          <w:rFonts w:ascii="Arial" w:cs="Arial" w:eastAsia="Arial" w:hAnsi="Arial"/>
          <w:sz w:val="18"/>
          <w:szCs w:val="18"/>
          <w:color w:val="auto"/>
        </w:rPr>
      </w:pPr>
      <w:r>
        <w:rPr>
          <w:rFonts w:ascii="Arial" w:cs="Arial" w:eastAsia="Arial" w:hAnsi="Arial"/>
          <w:sz w:val="18"/>
          <w:szCs w:val="18"/>
          <w:color w:val="auto"/>
        </w:rPr>
        <w:t>such Lender is not using “</w:t>
      </w:r>
      <w:r>
        <w:rPr>
          <w:rFonts w:ascii="Arial" w:cs="Arial" w:eastAsia="Arial" w:hAnsi="Arial"/>
          <w:sz w:val="18"/>
          <w:szCs w:val="18"/>
          <w:u w:val="single" w:color="auto"/>
          <w:color w:val="auto"/>
        </w:rPr>
        <w:t>plan assets</w:t>
      </w:r>
      <w:r>
        <w:rPr>
          <w:rFonts w:ascii="Arial" w:cs="Arial" w:eastAsia="Arial" w:hAnsi="Arial"/>
          <w:sz w:val="18"/>
          <w:szCs w:val="18"/>
          <w:color w:val="auto"/>
        </w:rPr>
        <w:t>” (within the meaning of the Plan Asset Regulations) of one or more Benefit Plans in connection with the Loans, the Letters of Credit or the Revolving Commitments,</w:t>
      </w:r>
    </w:p>
    <w:p>
      <w:pPr>
        <w:spacing w:after="0" w:line="170" w:lineRule="exact"/>
        <w:rPr>
          <w:rFonts w:ascii="Arial" w:cs="Arial" w:eastAsia="Arial" w:hAnsi="Arial"/>
          <w:sz w:val="18"/>
          <w:szCs w:val="18"/>
          <w:color w:val="auto"/>
        </w:rPr>
      </w:pPr>
    </w:p>
    <w:p>
      <w:pPr>
        <w:jc w:val="both"/>
        <w:ind w:left="640" w:firstLine="1292"/>
        <w:spacing w:after="0" w:line="273" w:lineRule="auto"/>
        <w:tabs>
          <w:tab w:leader="none" w:pos="3168" w:val="left"/>
        </w:tabs>
        <w:numPr>
          <w:ilvl w:val="1"/>
          <w:numId w:val="153"/>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Revolving Commitments and this Agreement,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47" w:name="page148"/>
    <w:bookmarkEnd w:id="147"/>
    <w:p>
      <w:pPr>
        <w:jc w:val="both"/>
        <w:ind w:left="660" w:firstLine="1292"/>
        <w:spacing w:after="0" w:line="272" w:lineRule="auto"/>
        <w:tabs>
          <w:tab w:leader="none" w:pos="2932" w:val="left"/>
        </w:tabs>
        <w:numPr>
          <w:ilvl w:val="1"/>
          <w:numId w:val="154"/>
        </w:numPr>
        <w:rPr>
          <w:rFonts w:ascii="Arial" w:cs="Arial" w:eastAsia="Arial" w:hAnsi="Arial"/>
          <w:sz w:val="17"/>
          <w:szCs w:val="17"/>
          <w:color w:val="auto"/>
        </w:rPr>
      </w:pPr>
      <w:r>
        <w:rPr>
          <w:rFonts w:ascii="Arial" w:cs="Arial" w:eastAsia="Arial" w:hAnsi="Arial"/>
          <w:sz w:val="17"/>
          <w:szCs w:val="17"/>
          <w:color w:val="auto"/>
        </w:rPr>
        <w:t>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Revolving Commitments and this Agreement, (C) the entrance into, participation in, administration of and performance of the Loans, the Letters of Credit, the Revolving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Revolving Commitments and this Agreement, or</w:t>
      </w:r>
    </w:p>
    <w:p>
      <w:pPr>
        <w:spacing w:after="0" w:line="177" w:lineRule="exact"/>
        <w:rPr>
          <w:rFonts w:ascii="Arial" w:cs="Arial" w:eastAsia="Arial" w:hAnsi="Arial"/>
          <w:sz w:val="17"/>
          <w:szCs w:val="17"/>
          <w:color w:val="auto"/>
        </w:rPr>
      </w:pPr>
    </w:p>
    <w:p>
      <w:pPr>
        <w:ind w:left="660" w:firstLine="1292"/>
        <w:spacing w:after="0" w:line="277" w:lineRule="auto"/>
        <w:tabs>
          <w:tab w:leader="none" w:pos="2872" w:val="left"/>
        </w:tabs>
        <w:numPr>
          <w:ilvl w:val="1"/>
          <w:numId w:val="154"/>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rFonts w:ascii="Arial" w:cs="Arial" w:eastAsia="Arial" w:hAnsi="Arial"/>
          <w:sz w:val="18"/>
          <w:szCs w:val="18"/>
          <w:color w:val="auto"/>
        </w:rPr>
      </w:pPr>
    </w:p>
    <w:p>
      <w:pPr>
        <w:jc w:val="both"/>
        <w:ind w:firstLine="1304"/>
        <w:spacing w:after="0" w:line="291" w:lineRule="auto"/>
        <w:tabs>
          <w:tab w:leader="none" w:pos="225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In addition, unless sub-clause (i) in the immediately preceding clause (a) is true with respect to a Lender or such Lender has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any Borrower or any other Loan Party, that none of the Administrative Agent, any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66" w:lineRule="exact"/>
        <w:rPr>
          <w:rFonts w:ascii="Arial" w:cs="Arial" w:eastAsia="Arial" w:hAnsi="Arial"/>
          <w:sz w:val="16"/>
          <w:szCs w:val="16"/>
          <w:color w:val="auto"/>
        </w:rPr>
      </w:pPr>
    </w:p>
    <w:p>
      <w:pPr>
        <w:jc w:val="both"/>
        <w:ind w:firstLine="1304"/>
        <w:spacing w:after="0" w:line="269" w:lineRule="auto"/>
        <w:tabs>
          <w:tab w:leader="none" w:pos="221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Administrative Agent and each Arranger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Revolving Commitments, this Agreement and any other Loan Documents, (ii) may recognize a gain if it extended the Loans, the Letters of Credit or the Revolving Commitments for an amount less than the amount being paid for an interest in the Loans, the Letters of Credit or the Revolving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Flood Laws</w:t>
      </w:r>
      <w:r>
        <w:rPr>
          <w:rFonts w:ascii="Arial" w:cs="Arial" w:eastAsia="Arial" w:hAnsi="Arial"/>
          <w:sz w:val="18"/>
          <w:szCs w:val="18"/>
          <w:color w:val="auto"/>
        </w:rPr>
        <w:t>. JPMCB has adopted internal policies and procedures that address requirements placed on federally regulated lenders under the National Flood Insurance Reform Act of 1994 and related legislation (the “</w:t>
      </w:r>
      <w:r>
        <w:rPr>
          <w:rFonts w:ascii="Arial" w:cs="Arial" w:eastAsia="Arial" w:hAnsi="Arial"/>
          <w:sz w:val="18"/>
          <w:szCs w:val="18"/>
          <w:u w:val="single" w:color="auto"/>
          <w:color w:val="auto"/>
        </w:rPr>
        <w:t>Flood Laws</w:t>
      </w:r>
      <w:r>
        <w:rPr>
          <w:rFonts w:ascii="Arial" w:cs="Arial" w:eastAsia="Arial" w:hAnsi="Arial"/>
          <w:sz w:val="18"/>
          <w:szCs w:val="18"/>
          <w:color w:val="auto"/>
        </w:rPr>
        <w:t>”). JPMCB, as administrative agent or collateral agent on a syndicated facility, will post on the applicable electronic platform (or otherwise distribute to each Lender in the syndicate) documents that it receives in connection with the Flood Laws. However, JPMCB reminds each Lender and Participant in the facility that, pursuant to the Flood Laws, each federally regulated Lender (whether acting as a Lender or Participant in the facility) is responsible for assuring its own compliance with the flood insurance requirements.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8" w:name="page149"/>
    <w:bookmarkEnd w:id="148"/>
    <w:p>
      <w:pPr>
        <w:jc w:val="both"/>
        <w:ind w:firstLine="648"/>
        <w:spacing w:after="0" w:line="296" w:lineRule="auto"/>
        <w:rPr>
          <w:sz w:val="20"/>
          <w:szCs w:val="20"/>
          <w:color w:val="auto"/>
        </w:rPr>
      </w:pPr>
      <w:r>
        <w:rPr>
          <w:rFonts w:ascii="Arial" w:cs="Arial" w:eastAsia="Arial" w:hAnsi="Arial"/>
          <w:sz w:val="16"/>
          <w:szCs w:val="16"/>
          <w:color w:val="auto"/>
        </w:rPr>
        <w:t xml:space="preserve">SECTION 8.11. </w:t>
      </w:r>
      <w:r>
        <w:rPr>
          <w:rFonts w:ascii="Arial" w:cs="Arial" w:eastAsia="Arial" w:hAnsi="Arial"/>
          <w:sz w:val="16"/>
          <w:szCs w:val="16"/>
          <w:u w:val="single" w:color="auto"/>
          <w:color w:val="auto"/>
        </w:rPr>
        <w:t>Subordination Arrangements</w:t>
      </w:r>
      <w:r>
        <w:rPr>
          <w:rFonts w:ascii="Arial" w:cs="Arial" w:eastAsia="Arial" w:hAnsi="Arial"/>
          <w:sz w:val="16"/>
          <w:szCs w:val="16"/>
          <w:color w:val="auto"/>
        </w:rPr>
        <w:t>. Each Lender, on behalf of itself and any of its Affiliates that are Secured Parties, and each Issuing Bank hereby (a) irrevocably authorizes the Administrative Agent to enter into any Subordination Agreement contemplated hereby (and any amendments, amendments and restatements, restatements or waivers of or supplements to or other modifications to, such agreements or arrangements in connection with the incurrence by any Loan Party of any Indebtedness to the extent permitted hereby), and (b) acknowledges and agrees that it will be bound by and will take no actions contrary to the provisions of any Subordination Agreement entered into in connection herewith or contemplated hereby.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or Electronic Systems (and subject in each case to paragraph (b) below), all notices and other communications provided for herein shall be in writing and shall be delivered by hand or overnight courier service, mailed by certified or registered mail or sent by facsimile, as follows:</w:t>
      </w:r>
    </w:p>
    <w:p>
      <w:pPr>
        <w:spacing w:after="0" w:line="184" w:lineRule="exact"/>
        <w:rPr>
          <w:sz w:val="20"/>
          <w:szCs w:val="20"/>
          <w:color w:val="auto"/>
        </w:rPr>
      </w:pPr>
    </w:p>
    <w:p>
      <w:pPr>
        <w:ind w:left="2880" w:hanging="928"/>
        <w:spacing w:after="0"/>
        <w:tabs>
          <w:tab w:leader="none" w:pos="28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to any Loan Party, to the Borrower Representative at:</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2399 Bateman Ave.</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Duarte, CA 91010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Chenlong Tan, CEO</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 law.t@meetipower.com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 (which shall not constitute notice):</w:t>
      </w:r>
    </w:p>
    <w:p>
      <w:pPr>
        <w:spacing w:after="0" w:line="225"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Michelman &amp; Robinson, LLP</w:t>
      </w:r>
    </w:p>
    <w:p>
      <w:pPr>
        <w:ind w:left="2600"/>
        <w:spacing w:after="0" w:line="202" w:lineRule="auto"/>
        <w:rPr>
          <w:sz w:val="20"/>
          <w:szCs w:val="20"/>
          <w:color w:val="auto"/>
        </w:rPr>
      </w:pPr>
      <w:r>
        <w:rPr>
          <w:rFonts w:ascii="Arial" w:cs="Arial" w:eastAsia="Arial" w:hAnsi="Arial"/>
          <w:sz w:val="18"/>
          <w:szCs w:val="18"/>
          <w:color w:val="auto"/>
        </w:rPr>
        <w:t>10880 Wilshire Blvd., 19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Los Angeles, CA 90024</w:t>
      </w:r>
    </w:p>
    <w:p>
      <w:pPr>
        <w:spacing w:after="0" w:line="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Attn: Stephen Weiss and Mark Frimmel</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Email: sweiss@mrllp.com and mfrimmel@mrllp.com</w:t>
      </w:r>
    </w:p>
    <w:p>
      <w:pPr>
        <w:spacing w:after="0" w:line="211" w:lineRule="exact"/>
        <w:rPr>
          <w:sz w:val="20"/>
          <w:szCs w:val="20"/>
          <w:color w:val="auto"/>
        </w:rPr>
      </w:pPr>
    </w:p>
    <w:p>
      <w:pPr>
        <w:ind w:left="2600" w:hanging="648"/>
        <w:spacing w:after="0" w:line="277" w:lineRule="auto"/>
        <w:tabs>
          <w:tab w:leader="none" w:pos="299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if to the Administrative Agent, JPMCB in its capacity as an Issuing Bank or the Swingline Lender, to JPMorgan Chase Bank, N.A. at:</w:t>
      </w:r>
    </w:p>
    <w:p>
      <w:pPr>
        <w:spacing w:after="0" w:line="170"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3 Park Plaza, Suite 900</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Irvine, CA 92614</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Client Relationship Manager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Facsimile No: (949) 471-9872</w:t>
      </w:r>
    </w:p>
    <w:p>
      <w:pPr>
        <w:spacing w:after="0" w:line="211" w:lineRule="exact"/>
        <w:rPr>
          <w:sz w:val="20"/>
          <w:szCs w:val="20"/>
          <w:color w:val="auto"/>
        </w:rPr>
      </w:pPr>
    </w:p>
    <w:p>
      <w:pPr>
        <w:ind w:left="2600" w:right="20" w:hanging="648"/>
        <w:spacing w:after="0" w:line="277" w:lineRule="auto"/>
        <w:tabs>
          <w:tab w:leader="none" w:pos="3063"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to any other Lender or Issuing Bank, to it at its address or facsimile number set forth in its Administrative Questionnaire.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All such notices and other communications (A) sent by hand or overnight courier service, or mailed by certified or registered mail, shall be deemed to have been given when received, (B) sent by facsimile shall be deemed to have been given when 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not given during normal business hours of the recipient, such notice or communication shall be deemed to have been given at the opening of business on the next Business Day of the recipient, or (C) delivered through Electronic Systems or Approved Electronic Platforms, as applicable, to the extent provided in paragraph (b) below shall be effective as provided in such paragraph.</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49" w:name="page150"/>
    <w:bookmarkEnd w:id="149"/>
    <w:p>
      <w:pPr>
        <w:jc w:val="both"/>
        <w:ind w:firstLine="1304"/>
        <w:spacing w:after="0" w:line="286" w:lineRule="auto"/>
        <w:tabs>
          <w:tab w:leader="none" w:pos="232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any Borrower, any Loan Party, the Lenders and the Issuing Banks hereunder may be delivered or furnished by using Electronic Systems or Approved Electronic Platforms, as applicable, or pursuant to procedures approved by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pursuant to Article II or to Compliance Certificates delivered pursuant to Section 5.01(d) unless otherwise agreed by the Administrative Agent and the applicable Lender. Each of the Administrative Agent and the Borrower Representative (on behalf of the Loan Parties) may, in its discretion, agree to accept notices and other communications to it hereunder by Electronic Systems or Approved Electronic Platforms, as applicable,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Unless the Administrative Agent otherwise proscribes,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of the recipient.</w:t>
      </w:r>
    </w:p>
    <w:p>
      <w:pPr>
        <w:spacing w:after="0" w:line="170" w:lineRule="exact"/>
        <w:rPr>
          <w:rFonts w:ascii="Arial" w:cs="Arial" w:eastAsia="Arial" w:hAnsi="Arial"/>
          <w:sz w:val="16"/>
          <w:szCs w:val="16"/>
          <w:color w:val="auto"/>
        </w:rPr>
      </w:pPr>
    </w:p>
    <w:p>
      <w:pPr>
        <w:ind w:firstLine="1304"/>
        <w:spacing w:after="0" w:line="277" w:lineRule="auto"/>
        <w:tabs>
          <w:tab w:leader="none" w:pos="255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Any party hereto may change its address, facsimile number or e-mail address for notices and other communications hereunder by notice to the other parties hereto.</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9.02. </w:t>
      </w:r>
      <w:r>
        <w:rPr>
          <w:rFonts w:ascii="Arial" w:cs="Arial" w:eastAsia="Arial" w:hAnsi="Arial"/>
          <w:sz w:val="16"/>
          <w:szCs w:val="16"/>
          <w:u w:val="single" w:color="auto"/>
          <w:color w:val="auto"/>
        </w:rPr>
        <w:t>Waivers; Amendments</w:t>
      </w:r>
      <w:r>
        <w:rPr>
          <w:rFonts w:ascii="Arial" w:cs="Arial" w:eastAsia="Arial" w:hAnsi="Arial"/>
          <w:sz w:val="16"/>
          <w:szCs w:val="16"/>
          <w:color w:val="auto"/>
        </w:rPr>
        <w:t>. (a) No failure or delay by the Administrative Agent, the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 and the Lenders hereunder and under any other Loan Document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the Issuing Bank may have had notice or knowledge of such Default at the time.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0" w:name="page151"/>
    <w:bookmarkEnd w:id="150"/>
    <w:p>
      <w:pPr>
        <w:jc w:val="both"/>
        <w:ind w:left="-20" w:firstLine="1304"/>
        <w:spacing w:after="0" w:line="283" w:lineRule="auto"/>
        <w:tabs>
          <w:tab w:leader="none" w:pos="224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Except as provided in the first sentence of Section 2.09(e) (with respect to any commitment increase) and subject to Section 2.14(c), (d) and (e) and Section 9.02(e) below, neither this Agreement nor any other Loan Document nor any provision hereof or thereof may be waived, amended or modified except (i) in the case of this Agreement, pursuant to an agreement or agreements in writing entered into by the Borrowers and the Required Lenders or (ii) in the case of any other Loan Document, pursuant to an agreement or agreements in writing entered into by the Administrative Agent and the Loan Party or Loan Parties that are parties thereto, with the consent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agreement shall (A) increase the Revolving Commitment of any Lender without the written consent of such Lender (including any such Lender that is a Defaulting Lender), (B) reduce or forgive the principal amount of any Loan or LC Disbursement or reduce the rate of interest thereon, or reduce or forgive any interest or fees payable hereunder, without the written consent of each Lender (including any such Lender that is a Defaulting Lender) directly affected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amendment or modification of the financial covenants in this Agreement (or any defined term used therein) shall not constitute a reduction in the rate of interest or fees for purposes of this clause (B)), (C)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Revolving Commitment, without the written consent of each Lender (including any such Lender that is a Defaulting Lender) directly affected thereby, (D) change Section 2.09(c) or Section 2.18(b) or (d) in a manner that would alter the ratable reduction of Revolving Commitments or the manner in which payments are shared, without the written consent of each Lender (other than any Defaulting Lender), (E) increase the advance rates set forth in the definition of Borrowing Base or add new categories of eligible assets, without the written consent of each Revolving Lender (other than any Defaulting Lender), (F) change any of the provisions of this Section or the definition of “Required Lenders” or any other provision of any Loan Document specifying the number or percentage of Lenders (or Lenders of any Class) required to waive, amend or modify any rights thereunder or make any determination or grant any consent thereunder, without the written consent of each Lender (other than any Defaulting Lender) directly affected thereby, (G) change Section 2.20 without the consent of each Lender (other than any Defaulting Lender), (H) release any Loan Guarantor from its obligation under its Loan Guaranty (except as otherwise permitted herein or in the other Loan Documents), without the written consent of each Lender (other than any Defaulting Lender), or (I) except as provided in clause (c) of this Section or in any Collateral Document, release all or substantially all of the Collateral, without the written consent of each Lender (other than any Defaulting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no such agreement shall amend, modify or otherwise affect the rights or duties of the Administrative Agent, the Issuing Bank or the Swingline Lender hereunder without the prior written consent of the Administrative Agent, the Issuing Bank or the Swingline Lender, as the case may be (it being understood that any amendment to Section 2.20 shall require the consent of the Administrative Agent, the Issuing Bank and the Swingline Lender);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no such agreement shall amend or modify the provisions of Section 2.06 or any Letter of Credit Agreement or any letter of credit application and any bilateral agreement between the Company and an Issuing Bank regarding such Issuing Bank’s Issuing Bank Sublimit or the respective rights and obligations between the Company and such Issuing Bank in connection with the issuance of Letters of Credit by such Issuing Bank without the prior written consent of the Administrative Agent and the Issuing Banks, respectively. The Administrative Agent may also amend the Commitment Schedule to reflect assignments entered into pursuant to Section 9.04. Any amendment, waiver or other modification of this Agreement or any other Loan Document that by its terms affects the rights or duties under this Agreement of the Lenders of one or more Classes (but not the Lenders of any other Class), may be effected by an agreement or agreements in writing entered into by the Borrowers and the requisite number or percentage in interest of each affected Class of Lenders that would be required to consent thereto under this Section if such Class of Lenders were the only Class of Lenders hereunder at the time.</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jc w:val="both"/>
        <w:ind w:left="-20" w:firstLine="1304"/>
        <w:spacing w:after="0" w:line="285" w:lineRule="auto"/>
        <w:tabs>
          <w:tab w:leader="none" w:pos="246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The Lenders and the Issuing Bank hereby irrevocably authorize the Administrative Agent, at its option and in its sole discretion, to release any Liens granted to the Administrative Agent by the Loan Parties on any Collateral (i) upon Payment in Full of all Secured Obligations, and the cash collateralization of all Unliquidated Obligations in a manner satisfactory to each affected Lender, (ii) constituting property being sold or disposed of if the Loan Party disposing of such property certifies to the Administrative Agent that the sale or disposition is made in compliance with the terms of this Agreement (and the Administrative Agent may rely conclusively on any such certificate, without further inquiry), and to the extent that the property being sold or disposed of constitutes 100% of the Equity Interests of a Subsidiary, the Administrative Agent is authorized to release any Loan Guaranty provided by such Subsidiary, (iii) constituting property leased to a Loan Party under a lease which has expired or been terminated in a transaction permitted under this Agreement, or (iv) as required to effect any sale or other disposition of such Collateral in connection with any exercise of remedies of the Administrative Agent and the Lenders pursuant to Article VII. Except as provided in the preceding sentence, the Administrative Agent will not release any Liens on Collateral without the prior written authorization of the Required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may in its discretion, release its Liens on Collateral valued in the aggregate not in excess of $5,000,000 during any calendar year without the prior written authorization of the Required Lenders (it being agreed that the Administrative Agent may rely conclusively on one or more certificates of the Borrowers as to the value of any Collateral to be so released, without further inquiry). Any such release shall not in any manner discharge, affect, or impair the Obligations or any Liens (other than those expressly being released) upon (or obligations of the Loan Parties in respect of) all interests retained by the Loan Parties, including the proceeds of any sale, all of which shall continue to constitute part of the Collateral. Any execution and delivery by the Administrative Agent of documents in connection with any such release shall be without recourse to or warranty by the Administrative Agent.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51" w:name="page152"/>
    <w:bookmarkEnd w:id="151"/>
    <w:p>
      <w:pPr>
        <w:jc w:val="both"/>
        <w:ind w:firstLine="1304"/>
        <w:spacing w:after="0" w:line="285" w:lineRule="auto"/>
        <w:tabs>
          <w:tab w:leader="none" w:pos="229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 xml:space="preserve">If, in connection with any proposed amendment, waiver or consent requiring the consent of “each Lender” or “each Lender affected thereby,” the consent of the Required Lenders is obtained, but the consent of other necessary Lenders is not obtained (any such Lender whose consent is necessary but has not been obtained being referred to herein as a “Non-Consenting Lender”), then the Borrowers may elect to replace a Non-Consenting Lender as a Lender party to this Agreement, provided that, concurrently with such replacement, (i) another bank or other entity which is reasonably satisfactory to the Borrowers, the Administrative Agent and the Issuing Bank shall agree, as of such date, to purchase for cash the Loans and other Obligations due to the Non-Consenting Lender pursuant to an Assignment and Assumption and to become a Lender for all purposes under this Agreement and to assume all obligations of the Non-Consenting Lender to be terminated as of such date and to comply with the requirements of clause (b) of Section 9.04, and (ii) the Borrowers shall pay to such Non-Consenting Lender in same day funds on the day of such replacement (1) all interest, fees and other amounts then accrued but unpaid to such Non-Consenting Lender by the Borrowers hereunder to and including the date of termination, including without limitation payments due to such Non-Consenting Lender under Sections 2.15 and 2.17, and (2) an amount, if any, equal to the payment which would have been due to such Lender on the day of such replacement under Section 2.16 had the Loans of such Non-Consenting Lender been prepaid on such date rather than sold to the replacement Lender. Each party hereto agrees that an assignment required pursuant to this paragraph may be effected pursuant to an Assignment and Assumption executed by the Borrower Representative, the Administrative Agent and the assignee (or, to the extent applicable, an agreement incorporating an Assignment and Assumption by reference pursuant to an Approved Electronic Platform as to which the Administrative Agent and such parties are participants), and the Lender required to make such assignment need not be a party thereto in order for such assignment to be effective and shall be deemed to have consented to an be bound by the terms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documents shall be without recourse to or warranty by the parties thereto.</w:t>
      </w:r>
    </w:p>
    <w:p>
      <w:pPr>
        <w:spacing w:after="0" w:line="171" w:lineRule="exact"/>
        <w:rPr>
          <w:rFonts w:ascii="Arial" w:cs="Arial" w:eastAsia="Arial" w:hAnsi="Arial"/>
          <w:sz w:val="16"/>
          <w:szCs w:val="16"/>
          <w:color w:val="auto"/>
        </w:rPr>
      </w:pPr>
    </w:p>
    <w:p>
      <w:pPr>
        <w:jc w:val="both"/>
        <w:ind w:firstLine="1304"/>
        <w:spacing w:after="0" w:line="263" w:lineRule="auto"/>
        <w:tabs>
          <w:tab w:leader="none" w:pos="266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Administrative Agent may, with the consent of the Borrower Representative only, amend, modify or supplement this Agreement or any of the other Loan Documents to cure any ambiguity, omission, mistake, defect or inconsistency.</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Expenses; Limitation of Liability; Indemnity; Etc.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Expenses</w:t>
      </w:r>
      <w:r>
        <w:rPr>
          <w:rFonts w:ascii="Arial" w:cs="Arial" w:eastAsia="Arial" w:hAnsi="Arial"/>
          <w:sz w:val="17"/>
          <w:szCs w:val="17"/>
          <w:color w:val="auto"/>
        </w:rPr>
        <w:t>. The Loan Parties shall, jointly and severally, pay all (i) reasonable out of pocket expenses incurred by the Administrative Agent and its Affiliates, including the reasonable fees, charges and disbursements of counsel for the Administrative Agent, in connection with the syndication and distribution (including, without limitation, via the internet or through any Electronic System or Approved Electronic Platform) of the credit facilities provided for herein, the preparation and administration of the Loan Documents and any amendments, modifications or waivers of the provisions of the Loan Documents (whether or not the transactions contemplated hereby or thereby shall be consummated), (ii) reasonable out-of-pocket expenses incurred by the Issuing Bank in connection with the issuance, amendment, renewal or extension of any Letter of Credit or any demand for payment thereunder and (iii) out-of-pocket expenses incurred by the Administrative Agent, the Issuing Bank or any Lender, including the fees, charges and disbursements of any counsel for the Administrative Agent, the Issuing Bank or any Lender, in connection with the enforcement, collection or protection of its rights in connection with the Loan Documents, including its rights under this Section, or in connection with the Loans made or Letters of Credit issued hereunder, including all such out-of pocket expenses incurred during any workout, restructuring or negotiations in respect of such Loans or Letters of Credit. Expenses being reimbursed by the Loan Parties under this Section include, without limiting the generality of the foregoing, fees, costs and expenses incurred in connection with:</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2" w:name="page153"/>
    <w:bookmarkEnd w:id="152"/>
    <w:p>
      <w:pPr>
        <w:ind w:left="3480" w:hanging="880"/>
        <w:spacing w:after="0"/>
        <w:tabs>
          <w:tab w:leader="none" w:pos="34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appraisals (subject to limitations set forth in Section 5.12) and insurance reviews;</w:t>
      </w:r>
    </w:p>
    <w:p>
      <w:pPr>
        <w:spacing w:after="0" w:line="225" w:lineRule="exact"/>
        <w:rPr>
          <w:rFonts w:ascii="Arial" w:cs="Arial" w:eastAsia="Arial" w:hAnsi="Arial"/>
          <w:sz w:val="18"/>
          <w:szCs w:val="18"/>
          <w:color w:val="auto"/>
        </w:rPr>
      </w:pPr>
    </w:p>
    <w:p>
      <w:pPr>
        <w:jc w:val="both"/>
        <w:ind w:left="1300" w:firstLine="1300"/>
        <w:spacing w:after="0" w:line="263" w:lineRule="auto"/>
        <w:tabs>
          <w:tab w:leader="none" w:pos="34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field examinations (subject to limitations set forth in Section 5.12) and the preparation of Reports based on the fees charged by a third party retained by the Administrative Agent or the internally allocated fees for each Person employed by the Administrative Agent with respect to each field examination;</w:t>
      </w:r>
    </w:p>
    <w:p>
      <w:pPr>
        <w:spacing w:after="0" w:line="183" w:lineRule="exact"/>
        <w:rPr>
          <w:rFonts w:ascii="Arial" w:cs="Arial" w:eastAsia="Arial" w:hAnsi="Arial"/>
          <w:sz w:val="18"/>
          <w:szCs w:val="18"/>
          <w:color w:val="auto"/>
        </w:rPr>
      </w:pPr>
    </w:p>
    <w:p>
      <w:pPr>
        <w:ind w:left="1300" w:right="20" w:firstLine="1300"/>
        <w:spacing w:after="0" w:line="277" w:lineRule="auto"/>
        <w:tabs>
          <w:tab w:leader="none" w:pos="349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background checks regarding senior management and/or key investors, as deemed necessary or appropriate in the sole discretion of the Administrative Agent;</w:t>
      </w:r>
    </w:p>
    <w:p>
      <w:pPr>
        <w:spacing w:after="0" w:line="170" w:lineRule="exact"/>
        <w:rPr>
          <w:rFonts w:ascii="Arial" w:cs="Arial" w:eastAsia="Arial" w:hAnsi="Arial"/>
          <w:sz w:val="18"/>
          <w:szCs w:val="18"/>
          <w:color w:val="auto"/>
        </w:rPr>
      </w:pPr>
    </w:p>
    <w:p>
      <w:pPr>
        <w:ind w:left="1300" w:firstLine="1300"/>
        <w:spacing w:after="0" w:line="277" w:lineRule="auto"/>
        <w:tabs>
          <w:tab w:leader="none" w:pos="361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Taxes, fees and other charges for (1) lien searches and (2) filing financing statements and continuations, and other actions to perfect, protect, and continue the Administrative Agent’s Liens;</w:t>
      </w:r>
    </w:p>
    <w:p>
      <w:pPr>
        <w:spacing w:after="0" w:line="170" w:lineRule="exact"/>
        <w:rPr>
          <w:rFonts w:ascii="Arial" w:cs="Arial" w:eastAsia="Arial" w:hAnsi="Arial"/>
          <w:sz w:val="18"/>
          <w:szCs w:val="18"/>
          <w:color w:val="auto"/>
        </w:rPr>
      </w:pPr>
    </w:p>
    <w:p>
      <w:pPr>
        <w:ind w:left="1300" w:firstLine="1300"/>
        <w:spacing w:after="0" w:line="277" w:lineRule="auto"/>
        <w:tabs>
          <w:tab w:leader="none" w:pos="358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sums paid or incurred to take any action required of any Loan Party under the Loan Documents that such Loan Party fails to pay or take; and</w:t>
      </w:r>
    </w:p>
    <w:p>
      <w:pPr>
        <w:spacing w:after="0" w:line="170" w:lineRule="exact"/>
        <w:rPr>
          <w:rFonts w:ascii="Arial" w:cs="Arial" w:eastAsia="Arial" w:hAnsi="Arial"/>
          <w:sz w:val="18"/>
          <w:szCs w:val="18"/>
          <w:color w:val="auto"/>
        </w:rPr>
      </w:pPr>
    </w:p>
    <w:p>
      <w:pPr>
        <w:ind w:left="1300" w:firstLine="1300"/>
        <w:spacing w:after="0" w:line="277" w:lineRule="auto"/>
        <w:tabs>
          <w:tab w:leader="none" w:pos="353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forwarding loan proceeds, collecting checks and other items of payment, and establishing and maintaining the accounts and lock boxes, and costs and expenses of preserving and protecting the Collateral.</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foregoing fees, costs and expenses may be charged to the Borrowers as Revolving Loans or to another deposit account, all as described in Section 2.18(c).</w:t>
      </w:r>
    </w:p>
    <w:p>
      <w:pPr>
        <w:spacing w:after="0" w:line="170" w:lineRule="exact"/>
        <w:rPr>
          <w:sz w:val="20"/>
          <w:szCs w:val="20"/>
          <w:color w:val="auto"/>
        </w:rPr>
      </w:pPr>
    </w:p>
    <w:p>
      <w:pPr>
        <w:jc w:val="both"/>
        <w:ind w:firstLine="1304"/>
        <w:spacing w:after="0" w:line="269" w:lineRule="auto"/>
        <w:tabs>
          <w:tab w:leader="none" w:pos="2306"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To the extent permitted by applicable law (i) neither any Borrower nor any Loan Party shall assert, and each Borrower and each Loan Party hereby waives, any claim against the Administrative Agent, any Arranger, any Issuing Bank and any Lender, and any Related Party of any of the foregoing Persons (each such Person being called a “Lender-Related Person”) for any Liabilities arising from the use by others of information or other materials (including, without limitation, any personal data) obtained through telecommunications, electronic or other information transmission systems (including the Internet),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Section 9.03(b) shall relieve any Borrower or any Loan Party of any obligation it may have to indemnify an Indemnitee, as provided in Section 9.03(c), against any special, indirect, consequential or punitive damages asserted against such Indemnitee by a third party.</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3" w:name="page154"/>
    <w:bookmarkEnd w:id="153"/>
    <w:p>
      <w:pPr>
        <w:jc w:val="both"/>
        <w:ind w:firstLine="1304"/>
        <w:spacing w:after="0" w:line="267" w:lineRule="auto"/>
        <w:tabs>
          <w:tab w:leader="none" w:pos="2391"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Indemnity</w:t>
      </w:r>
      <w:r>
        <w:rPr>
          <w:rFonts w:ascii="Arial" w:cs="Arial" w:eastAsia="Arial" w:hAnsi="Arial"/>
          <w:sz w:val="17"/>
          <w:szCs w:val="17"/>
          <w:color w:val="auto"/>
        </w:rPr>
        <w:t xml:space="preserve">. The Loan Parties shall, jointly and severally, indemnify the Administrative Agent, each Arranger, the Issuing Bank and each Lender, and each Related Party of any of the foregoing Persons (each such Person being called an “Indemnitee”) against, and hold each Indemnitee harmless from, any and all Liabilities and related expenses, including the fees, charges and disbursements of any counsel for any Indemnitee, incurred by or asserted against any Indemnitee arising out of, in connection with, or as a result of (i) the execution or delivery of the Loan Documents or any agreement or instrument contemplated thereby, (ii) the performance by the parties hereto of their respective obligations thereunder or the consummation of the Transactions or any other transactions contemplated hereby, (iii) any action taken in connection with this Agreement, including, but not limited to, the payment of principal, interest and fees (iv) any Loan or Letter of Credit or the use of the proceeds therefrom (including any refusal by the Issuing Bank to honor a demand for payment under a Letter of Credit if the documents presented in connection with such demand do not strictly comply with the terms of such Letter of Credit), (v) any actual or alleged presence or Release of Hazardous Materials on or from any property owned or operated by a Loan Party or a Subsidiary, or any Environmental Liability related in any way to a Loan Party or a Subsidiary, (vi) the failure of a Loan Party to deliver to the Administrative Agent the required receipts or other required documentary evidence with respect to a payment made by a Loan Party for Taxes pursuant to Section 2.17, or (vii) any actual or prospective Proceeding relating to any of the foregoing, whether or not such Proceeding is brought by any Loan Party or their respective equity holders, Affiliates, creditors or any other third Person and whether based on contract, tort or any other theory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such Liabilities or related expenses are determined by a court of competent jurisdiction by final and non-appealable judgment to have resulted from the gross negligence or willful misconduct of such Indemnitee. This Section 9.03(c) shall not apply with respect to Taxes other than any Taxes that represent losses or damages arising from any non-Tax claim.</w:t>
      </w:r>
    </w:p>
    <w:p>
      <w:pPr>
        <w:spacing w:after="0" w:line="191" w:lineRule="exact"/>
        <w:rPr>
          <w:rFonts w:ascii="Arial" w:cs="Arial" w:eastAsia="Arial" w:hAnsi="Arial"/>
          <w:sz w:val="17"/>
          <w:szCs w:val="17"/>
          <w:color w:val="auto"/>
        </w:rPr>
      </w:pPr>
    </w:p>
    <w:p>
      <w:pPr>
        <w:jc w:val="both"/>
        <w:ind w:firstLine="1304"/>
        <w:spacing w:after="0" w:line="268" w:lineRule="auto"/>
        <w:tabs>
          <w:tab w:leader="none" w:pos="2455"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t>Lender Reimbursement</w:t>
      </w:r>
      <w:r>
        <w:rPr>
          <w:rFonts w:ascii="Arial" w:cs="Arial" w:eastAsia="Arial" w:hAnsi="Arial"/>
          <w:sz w:val="17"/>
          <w:szCs w:val="17"/>
          <w:color w:val="auto"/>
        </w:rPr>
        <w:t xml:space="preserve">. Each Lender severally agrees to pay any amount required to be paid by any Loan Party under paragraphs (a), (b) or (c) of this Section 9.03 to the Administrative Agent, each Issuing Bank and the Swingline Lender, and each Related Party of any of the foregoing Persons (each, an “Agent-Related Person”) (to the extent not reimbursed by a Loan Party and without limiting the obligation of any Loan Party to do so), ratably according to their respective Applicable Percentage in effect on the date on which such payment is sought under this Section (or, if such payment is sought after the date upon which the Revolving Commitments shall have terminated and the Loans shall have been paid in full, ratably in accordance with such Applicable Percentage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Revolving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unreimbursed expense or Liability or related expense, as the case may be, was incurred by or asserted against such Agent-Related Person in its capacity as such;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Section shall survive the termination of this Agreement and Payment in Full of the Secured Obligations.</w:t>
      </w:r>
    </w:p>
    <w:p>
      <w:pPr>
        <w:spacing w:after="0" w:line="181" w:lineRule="exact"/>
        <w:rPr>
          <w:rFonts w:ascii="Arial" w:cs="Arial" w:eastAsia="Arial" w:hAnsi="Arial"/>
          <w:sz w:val="17"/>
          <w:szCs w:val="17"/>
          <w:color w:val="auto"/>
        </w:rPr>
      </w:pPr>
    </w:p>
    <w:p>
      <w:pPr>
        <w:ind w:left="2220" w:hanging="916"/>
        <w:spacing w:after="0"/>
        <w:tabs>
          <w:tab w:leader="none" w:pos="22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All amounts due under this Section 9.03 shall be payable promptly after written demand therefor.</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xml:space="preserve">. (a) The provisions of this Agreement shall be binding upon and inure to the benefit of the parties hereto and their respective successors and assigns permitted hereby (including any Affiliate of the Issuing Bank that issues any Letter of Credit), except that (i) no Borrower may assign or otherwise transfer any of its rights or obligations hereunder without the prior written consent of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the Issuing Bank that issues any Letter of Credit), Participants (to the extent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paragraph (c) of this Section) and, to the extent expressly contemplated hereby, the Related Parties of each of the Administrative Agent, the Issuing Bank and the Lenders) any legal or equitable right, remedy or claim under or by reason of this Agreement.</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4" w:name="page155"/>
    <w:bookmarkEnd w:id="154"/>
    <w:p>
      <w:pPr>
        <w:jc w:val="both"/>
        <w:ind w:left="-20" w:firstLine="1304"/>
        <w:spacing w:after="0" w:line="311" w:lineRule="auto"/>
        <w:tabs>
          <w:tab w:leader="none" w:pos="2259"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 Subject to the conditions set forth in paragraph (b)(ii) below, any Lender may assign to one or more Persons (other than an Ineligible Institution) all or a portion of its rights and obligations under this Agreement (including all or a portion of its Revolving Commitment, participations in Letters of Credit and the Loans at the time owing to it) with the prior written consent (such consent not to be unreasonably withheld) of:</w:t>
      </w:r>
    </w:p>
    <w:p>
      <w:pPr>
        <w:spacing w:after="0" w:line="148" w:lineRule="exact"/>
        <w:rPr>
          <w:rFonts w:ascii="Arial" w:cs="Arial" w:eastAsia="Arial" w:hAnsi="Arial"/>
          <w:sz w:val="16"/>
          <w:szCs w:val="16"/>
          <w:color w:val="auto"/>
        </w:rPr>
      </w:pPr>
    </w:p>
    <w:p>
      <w:pPr>
        <w:jc w:val="both"/>
        <w:ind w:left="1280" w:firstLine="1300"/>
        <w:spacing w:after="0" w:line="275" w:lineRule="auto"/>
        <w:tabs>
          <w:tab w:leader="none" w:pos="3860" w:val="left"/>
        </w:tabs>
        <w:numPr>
          <w:ilvl w:val="2"/>
          <w:numId w:val="165"/>
        </w:numPr>
        <w:rPr>
          <w:rFonts w:ascii="Arial" w:cs="Arial" w:eastAsia="Arial" w:hAnsi="Arial"/>
          <w:sz w:val="17"/>
          <w:szCs w:val="17"/>
          <w:color w:val="auto"/>
        </w:rPr>
      </w:pPr>
      <w:r>
        <w:rPr>
          <w:rFonts w:ascii="Arial" w:cs="Arial" w:eastAsia="Arial" w:hAnsi="Arial"/>
          <w:sz w:val="17"/>
          <w:szCs w:val="17"/>
          <w:color w:val="auto"/>
        </w:rPr>
        <w:t xml:space="preserve">the Borrower Representative,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Representative shall be deemed to have consented to any such assignment of all or a portion of the Revolving Loans and Revolving Commitments unless it shall object thereto by written notice to the Administrative Agent within ten (10) Business Days after having received notice thereof,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no consent of the Borrower Representative shall be required for an assignment to a Lender, an Affiliate of a Lender, an Approved Fund or, if an Event of Default has occurred and is continuing, any other assignee;</w:t>
      </w:r>
    </w:p>
    <w:p>
      <w:pPr>
        <w:spacing w:after="0" w:line="176" w:lineRule="exact"/>
        <w:rPr>
          <w:rFonts w:ascii="Arial" w:cs="Arial" w:eastAsia="Arial" w:hAnsi="Arial"/>
          <w:sz w:val="17"/>
          <w:szCs w:val="17"/>
          <w:color w:val="auto"/>
        </w:rPr>
      </w:pPr>
    </w:p>
    <w:p>
      <w:pPr>
        <w:ind w:left="3440" w:hanging="860"/>
        <w:spacing w:after="0"/>
        <w:tabs>
          <w:tab w:leader="none" w:pos="344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Administrative Agent;</w:t>
      </w:r>
    </w:p>
    <w:p>
      <w:pPr>
        <w:spacing w:after="0" w:line="225" w:lineRule="exact"/>
        <w:rPr>
          <w:rFonts w:ascii="Arial" w:cs="Arial" w:eastAsia="Arial" w:hAnsi="Arial"/>
          <w:sz w:val="18"/>
          <w:szCs w:val="18"/>
          <w:color w:val="auto"/>
        </w:rPr>
      </w:pPr>
    </w:p>
    <w:p>
      <w:pPr>
        <w:ind w:left="3440" w:hanging="860"/>
        <w:spacing w:after="0"/>
        <w:tabs>
          <w:tab w:leader="none" w:pos="344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Issuing Bank; and</w:t>
      </w:r>
    </w:p>
    <w:p>
      <w:pPr>
        <w:spacing w:after="0" w:line="225" w:lineRule="exact"/>
        <w:rPr>
          <w:rFonts w:ascii="Arial" w:cs="Arial" w:eastAsia="Arial" w:hAnsi="Arial"/>
          <w:sz w:val="18"/>
          <w:szCs w:val="18"/>
          <w:color w:val="auto"/>
        </w:rPr>
      </w:pPr>
    </w:p>
    <w:p>
      <w:pPr>
        <w:ind w:left="3460" w:hanging="880"/>
        <w:spacing w:after="0"/>
        <w:tabs>
          <w:tab w:leader="none" w:pos="34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Swingline Lender.</w:t>
      </w:r>
    </w:p>
    <w:p>
      <w:pPr>
        <w:spacing w:after="0" w:line="225" w:lineRule="exact"/>
        <w:rPr>
          <w:rFonts w:ascii="Arial" w:cs="Arial" w:eastAsia="Arial" w:hAnsi="Arial"/>
          <w:sz w:val="18"/>
          <w:szCs w:val="18"/>
          <w:color w:val="auto"/>
        </w:rPr>
      </w:pPr>
    </w:p>
    <w:p>
      <w:pPr>
        <w:ind w:left="2820" w:hanging="888"/>
        <w:spacing w:after="0"/>
        <w:tabs>
          <w:tab w:leader="none" w:pos="282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225" w:lineRule="exact"/>
        <w:rPr>
          <w:rFonts w:ascii="Arial" w:cs="Arial" w:eastAsia="Arial" w:hAnsi="Arial"/>
          <w:sz w:val="18"/>
          <w:szCs w:val="18"/>
          <w:color w:val="auto"/>
        </w:rPr>
      </w:pPr>
    </w:p>
    <w:p>
      <w:pPr>
        <w:jc w:val="both"/>
        <w:ind w:left="1280" w:firstLine="1300"/>
        <w:spacing w:after="0" w:line="273" w:lineRule="auto"/>
        <w:tabs>
          <w:tab w:leader="none" w:pos="3617" w:val="left"/>
        </w:tabs>
        <w:numPr>
          <w:ilvl w:val="2"/>
          <w:numId w:val="165"/>
        </w:numPr>
        <w:rPr>
          <w:rFonts w:ascii="Arial" w:cs="Arial" w:eastAsia="Arial" w:hAnsi="Arial"/>
          <w:sz w:val="17"/>
          <w:szCs w:val="17"/>
          <w:color w:val="auto"/>
        </w:rPr>
      </w:pPr>
      <w:r>
        <w:rPr>
          <w:rFonts w:ascii="Arial" w:cs="Arial" w:eastAsia="Arial" w:hAnsi="Arial"/>
          <w:sz w:val="17"/>
          <w:szCs w:val="17"/>
          <w:color w:val="auto"/>
        </w:rPr>
        <w:t xml:space="preserve">except in the case of an assignment to a Lender or an Affiliate of a Lender or an Approved Fund or an assignment of the entire remaining amount of the assigning Lender’s Revolving Commitment or Loans of any Class, the amount of the Revolving Commitment or Loans of the assigning Lender subject to each such assignment (determined as of the date the Assignment and Assumption with respect to such assignment is delivered to the Administrative Agent) shall not be less than $5,000,000 unless each of the Borrower Representative and the Administrative Agent otherwise consent,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consent of the Borrower Representative shall be required if an Event of Default has occurred and is continuing;</w:t>
      </w:r>
    </w:p>
    <w:p>
      <w:pPr>
        <w:spacing w:after="0" w:line="177" w:lineRule="exact"/>
        <w:rPr>
          <w:rFonts w:ascii="Arial" w:cs="Arial" w:eastAsia="Arial" w:hAnsi="Arial"/>
          <w:sz w:val="17"/>
          <w:szCs w:val="17"/>
          <w:color w:val="auto"/>
        </w:rPr>
      </w:pPr>
    </w:p>
    <w:p>
      <w:pPr>
        <w:ind w:left="1280" w:firstLine="1300"/>
        <w:spacing w:after="0" w:line="277" w:lineRule="auto"/>
        <w:tabs>
          <w:tab w:leader="none" w:pos="3459" w:val="left"/>
        </w:tabs>
        <w:numPr>
          <w:ilvl w:val="2"/>
          <w:numId w:val="165"/>
        </w:numPr>
        <w:rPr>
          <w:rFonts w:ascii="Arial" w:cs="Arial" w:eastAsia="Arial" w:hAnsi="Arial"/>
          <w:sz w:val="18"/>
          <w:szCs w:val="18"/>
          <w:color w:val="auto"/>
        </w:rPr>
      </w:pPr>
      <w:r>
        <w:rPr>
          <w:rFonts w:ascii="Arial" w:cs="Arial" w:eastAsia="Arial" w:hAnsi="Arial"/>
          <w:sz w:val="18"/>
          <w:szCs w:val="18"/>
          <w:color w:val="auto"/>
        </w:rPr>
        <w:t>each partial assignment shall be made as an assignment of a proportionate part of all the assigning Lender’s rights and obligations under this Agreement;</w:t>
      </w:r>
    </w:p>
    <w:p>
      <w:pPr>
        <w:spacing w:after="0" w:line="170" w:lineRule="exact"/>
        <w:rPr>
          <w:rFonts w:ascii="Arial" w:cs="Arial" w:eastAsia="Arial" w:hAnsi="Arial"/>
          <w:sz w:val="18"/>
          <w:szCs w:val="18"/>
          <w:color w:val="auto"/>
        </w:rPr>
      </w:pPr>
    </w:p>
    <w:p>
      <w:pPr>
        <w:jc w:val="both"/>
        <w:ind w:left="1280" w:firstLine="1300"/>
        <w:spacing w:after="0" w:line="259" w:lineRule="auto"/>
        <w:tabs>
          <w:tab w:leader="none" w:pos="3459" w:val="left"/>
        </w:tabs>
        <w:numPr>
          <w:ilvl w:val="2"/>
          <w:numId w:val="165"/>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55" w:name="page156"/>
    <w:bookmarkEnd w:id="155"/>
    <w:p>
      <w:pPr>
        <w:jc w:val="both"/>
        <w:ind w:left="1300" w:firstLine="1300"/>
        <w:spacing w:after="0" w:line="257" w:lineRule="auto"/>
        <w:tabs>
          <w:tab w:leader="none" w:pos="375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purposes of this Section 9.04(b), the terms “Approved Fund” and “Ineligible Institution” have the following meanings: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“Ineligible Institution” means (a) a natural person, (b) a Defaulting Lender or its Lender Parent, (c) a company, investment vehicle or trust for, or owned and operated for the primary benefit of, a natural person or relative(s)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with respect to clause (c), such company, investment vehicle or trust shall not constitute an Ineligible Institution if it (x) has not been established for the primary purpose of acquiring any Loans or Revolving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or (d) a Loan Party or a Subsidiary or other Affiliate of a Loan Party.</w:t>
      </w:r>
    </w:p>
    <w:p>
      <w:pPr>
        <w:spacing w:after="0" w:line="195" w:lineRule="exact"/>
        <w:rPr>
          <w:sz w:val="20"/>
          <w:szCs w:val="20"/>
          <w:color w:val="auto"/>
        </w:rPr>
      </w:pPr>
    </w:p>
    <w:p>
      <w:pPr>
        <w:jc w:val="both"/>
        <w:ind w:left="660" w:firstLine="1292"/>
        <w:spacing w:after="0" w:line="290" w:lineRule="auto"/>
        <w:tabs>
          <w:tab w:leader="none" w:pos="281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2.15, 2.16, 2.17 and 9.03). Any assignment or transfer by a Lender of rights or obligations under this Agreement that does not comply with this Section shall be treated for purposes of this Agreement as a sale by such Lender of a participation in such rights and obligations in accordance with paragraph (c) of this Section.</w:t>
      </w:r>
    </w:p>
    <w:p>
      <w:pPr>
        <w:spacing w:after="0" w:line="165" w:lineRule="exact"/>
        <w:rPr>
          <w:rFonts w:ascii="Arial" w:cs="Arial" w:eastAsia="Arial" w:hAnsi="Arial"/>
          <w:sz w:val="16"/>
          <w:szCs w:val="16"/>
          <w:color w:val="auto"/>
        </w:rPr>
      </w:pPr>
    </w:p>
    <w:p>
      <w:pPr>
        <w:jc w:val="both"/>
        <w:ind w:left="660" w:firstLine="1292"/>
        <w:spacing w:after="0" w:line="272" w:lineRule="auto"/>
        <w:tabs>
          <w:tab w:leader="none" w:pos="291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Administrative Agent, acting for this purpose as a non-fiduciary agent of the Borrowers, shall maintain at one of its offices a copy of each Assignment and Assumption delivered to it and a register for the recordation of the names and addresses of the Lenders, and the Revolving Commitment of, and principal amount of the Loans and LC Disbursements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and the Borrowers, the Administrative Agent, the Issuing Bank and the Lenders shall treat each Person whose name is recorded in the Register pursuant to the terms hereof as a Lender hereunder for all purposes of this Agreement, notwithstanding notice to the contrary. The Register shall be available for inspection by the Borrowers, the Issuing Bank and any Lender, at any reasonable time and from time to time upon reasonable prior notice.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6" w:name="page157"/>
    <w:bookmarkEnd w:id="156"/>
    <w:p>
      <w:pPr>
        <w:jc w:val="both"/>
        <w:ind w:left="660" w:firstLine="1292"/>
        <w:spacing w:after="0" w:line="288" w:lineRule="auto"/>
        <w:tabs>
          <w:tab w:leader="none" w:pos="3088" w:val="left"/>
        </w:tabs>
        <w:numPr>
          <w:ilvl w:val="2"/>
          <w:numId w:val="168"/>
        </w:numPr>
        <w:rPr>
          <w:rFonts w:ascii="Arial" w:cs="Arial" w:eastAsia="Arial" w:hAnsi="Arial"/>
          <w:sz w:val="16"/>
          <w:szCs w:val="16"/>
          <w:color w:val="auto"/>
        </w:rPr>
      </w:pPr>
      <w:r>
        <w:rPr>
          <w:rFonts w:ascii="Arial" w:cs="Arial" w:eastAsia="Arial" w:hAnsi="Arial"/>
          <w:sz w:val="16"/>
          <w:szCs w:val="16"/>
          <w:color w:val="auto"/>
        </w:rPr>
        <w:t xml:space="preserve">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either the assigning Lender or the assignee shall have failed to make any payment required to be made by it pursuant to Section 2.05, 2.06(d) or (e), 2.07(b), 2.18(d) or 9.03(d),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68" w:lineRule="exact"/>
        <w:rPr>
          <w:rFonts w:ascii="Arial" w:cs="Arial" w:eastAsia="Arial" w:hAnsi="Arial"/>
          <w:sz w:val="16"/>
          <w:szCs w:val="16"/>
          <w:color w:val="auto"/>
        </w:rPr>
      </w:pPr>
    </w:p>
    <w:p>
      <w:pPr>
        <w:jc w:val="both"/>
        <w:ind w:firstLine="1304"/>
        <w:spacing w:after="0" w:line="287" w:lineRule="auto"/>
        <w:tabs>
          <w:tab w:leader="none" w:pos="2404" w:val="left"/>
        </w:tabs>
        <w:numPr>
          <w:ilvl w:val="1"/>
          <w:numId w:val="169"/>
        </w:numPr>
        <w:rPr>
          <w:rFonts w:ascii="Arial" w:cs="Arial" w:eastAsia="Arial" w:hAnsi="Arial"/>
          <w:sz w:val="16"/>
          <w:szCs w:val="16"/>
          <w:color w:val="auto"/>
        </w:rPr>
      </w:pPr>
      <w:r>
        <w:rPr>
          <w:rFonts w:ascii="Arial" w:cs="Arial" w:eastAsia="Arial" w:hAnsi="Arial"/>
          <w:sz w:val="16"/>
          <w:szCs w:val="16"/>
          <w:color w:val="auto"/>
        </w:rPr>
        <w:t xml:space="preserve">Any Lender may, without the consent of, or notice to, the Borrowers, the Administrative Agent, the Issuing Bank or the Swingline Lender, sell participations to one or more banks or other entities (a “Participant”) other than an Ineligible Institution in all or a portion of such Lender’s rights and obligations under this Agreement (including all or a portion of its Revolving Commitment and/or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jc w:val="both"/>
        <w:ind w:firstLine="8"/>
        <w:spacing w:after="0" w:line="267" w:lineRule="auto"/>
        <w:tabs>
          <w:tab w:leader="none" w:pos="222"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such Lender’s obligations under this Agreement shall remain unchanged; (ii) such Lender shall remain solely responsible to the other parties hereto for the performance of such obligations; and (iii) the Borrowers, the Administrative Agent, the Issuing Bank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modification or waiver described in the first proviso to Section 9.02(b) that affects such Participant. The Borrowers agree that each Participant shall be entitled to the benefits of Sections 2.15, 2.16 and 2.17 (subject to the requirements and limitations therein, including the requirements under Section 2.17(f) and (g) (it being understood that the documentation required under Section 2.17(f) shall be delivered to the participating Lender and the information and documentation required under Section 2.17(g) will be delivered to the Borrowers and the Administrative Agent))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Sections 2.18 and 2.19 as if it were an assignee under paragraph (b) of this Section; and (B) shall not be entitled to receive any greater payment under Section 2.15 or 2.17,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Each Lender that sells a participation agrees, at the Borrowers’ request and expense, to use reasonable efforts to cooperate with the Borrowers to effectuate the provisions of Section 2.19(b) with respect to any Participant. To the extent permitted by law, each Participant also shall be entitled to the benefits of Section 9.08 as though it were a Lender, provided such Participant agrees to be subject to Section 2.18(b)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this Agreement or any other Loan Document (the “Participant Register”);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Revolving Commitments, Loans, Letters of Credit or its other obligations under this Agreement or any Loan Document) to any Person except to the extent that such disclosure is necessary to establish that such Revolving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7" w:name="page158"/>
    <w:bookmarkEnd w:id="157"/>
    <w:p>
      <w:pPr>
        <w:jc w:val="both"/>
        <w:ind w:firstLine="1304"/>
        <w:spacing w:after="0" w:line="279" w:lineRule="auto"/>
        <w:tabs>
          <w:tab w:leader="none" w:pos="2333" w:val="left"/>
        </w:tabs>
        <w:numPr>
          <w:ilvl w:val="0"/>
          <w:numId w:val="171"/>
        </w:numPr>
        <w:rPr>
          <w:rFonts w:ascii="Arial" w:cs="Arial" w:eastAsia="Arial" w:hAnsi="Arial"/>
          <w:sz w:val="17"/>
          <w:szCs w:val="17"/>
          <w:color w:val="auto"/>
        </w:rPr>
      </w:pPr>
      <w:r>
        <w:rPr>
          <w:rFonts w:ascii="Arial" w:cs="Arial" w:eastAsia="Arial" w:hAnsi="Arial"/>
          <w:sz w:val="17"/>
          <w:szCs w:val="17"/>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and this Section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 Lender from any of its obligations hereunder or substitute any such pledgee or assignee for such Lender as a party hereto.</w:t>
      </w:r>
    </w:p>
    <w:p>
      <w:pPr>
        <w:spacing w:after="0" w:line="17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SECTION 9.05.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the Administrative Agent, the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Revolving Commitments have not expired or terminated. The provisions of Sections 2.15, 2.16, 2.17 and 9.03 and Article VIII shall survive and remain in full force and effect regardless of the consummation of the transactions contemplated hereby, the repayment of the Loans, the expiration or termination of the Letters of Credit and the Revolving Commitments or the termination of this Agreement or any other Loan Document or any provision hereof or thereof.</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Counterparts; Integration; Effectiveness; Electronic Execution</w:t>
      </w:r>
      <w:r>
        <w:rPr>
          <w:rFonts w:ascii="Arial" w:cs="Arial" w:eastAsia="Arial" w:hAnsi="Arial"/>
          <w:sz w:val="16"/>
          <w:szCs w:val="16"/>
          <w:color w:val="auto"/>
        </w:rPr>
        <w:t>. (a)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w:t>
      </w:r>
    </w:p>
    <w:p>
      <w:pPr>
        <w:spacing w:after="0" w:line="2" w:lineRule="exact"/>
        <w:rPr>
          <w:sz w:val="20"/>
          <w:szCs w:val="20"/>
          <w:color w:val="auto"/>
        </w:rPr>
      </w:pPr>
    </w:p>
    <w:p>
      <w:pPr>
        <w:jc w:val="both"/>
        <w:ind w:firstLine="8"/>
        <w:spacing w:after="0" w:line="271" w:lineRule="auto"/>
        <w:tabs>
          <w:tab w:leader="none" w:pos="274" w:val="left"/>
        </w:tabs>
        <w:numPr>
          <w:ilvl w:val="0"/>
          <w:numId w:val="172"/>
        </w:numPr>
        <w:rPr>
          <w:rFonts w:ascii="Arial" w:cs="Arial" w:eastAsia="Arial" w:hAnsi="Arial"/>
          <w:sz w:val="17"/>
          <w:szCs w:val="17"/>
          <w:color w:val="auto"/>
        </w:rPr>
      </w:pPr>
      <w:r>
        <w:rPr>
          <w:rFonts w:ascii="Arial" w:cs="Arial" w:eastAsia="Arial" w:hAnsi="Arial"/>
          <w:sz w:val="17"/>
          <w:szCs w:val="17"/>
          <w:color w:val="auto"/>
        </w:rPr>
        <w:t>increases or reductions of the Issuing Bank Sublimit of the Issuing Bank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8" w:name="page159"/>
    <w:bookmarkEnd w:id="158"/>
    <w:p>
      <w:pPr>
        <w:jc w:val="both"/>
        <w:ind w:firstLine="1304"/>
        <w:spacing w:after="0" w:line="283" w:lineRule="auto"/>
        <w:tabs>
          <w:tab w:leader="none" w:pos="2279" w:val="left"/>
        </w:tabs>
        <w:numPr>
          <w:ilvl w:val="0"/>
          <w:numId w:val="173"/>
        </w:numPr>
        <w:rPr>
          <w:rFonts w:ascii="Arial" w:cs="Arial" w:eastAsia="Arial" w:hAnsi="Arial"/>
          <w:sz w:val="16"/>
          <w:szCs w:val="16"/>
          <w:color w:val="auto"/>
        </w:rPr>
      </w:pPr>
      <w:r>
        <w:rPr>
          <w:rFonts w:ascii="Arial" w:cs="Arial" w:eastAsia="Arial" w:hAnsi="Arial"/>
          <w:sz w:val="16"/>
          <w:szCs w:val="16"/>
          <w:color w:val="auto"/>
        </w:rPr>
        <w:t xml:space="preserve">Delivery of an executed counterpart of a signature page of (x) this Agreement, (y) any other Loan Document and/or (z) any document, amendment, approval, consent, information, notice (including, for the avoidance of doubt, any notice delivered pursuant to Section 9.01), certificate, request, statement, disclosure or authorization related to this Agreement, any other Loan Document and/or the transactions contemplated hereby and/or thereby (each an “Ancillary Document”) that is an Electronic Signature transmitted by facsimile,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facsimile,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any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and each Loan Party hereby (A) agrees that, for all purposes, including without limitation, in connection with any workout, restructuring, enforcement of remedies, bankruptcy proceedings or litigation among the Administrative Agent, the Lenders, the Borrowers and the Loan Parties, Electronic Signatures transmitted by facsimile,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facsimile, emailed pdf. or any other electronic means that reproduces an image of an actual executed signature page, including any Liabilities arising as a result of the failure of any Borrower and/or any Loan Party to use any available security measures in connection with the execution, delivery or transmission of any Electronic Signature.</w:t>
      </w:r>
    </w:p>
    <w:p>
      <w:pPr>
        <w:spacing w:after="0" w:line="200" w:lineRule="exact"/>
        <w:rPr>
          <w:sz w:val="20"/>
          <w:szCs w:val="20"/>
          <w:color w:val="auto"/>
        </w:rPr>
      </w:pP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59" w:name="page160"/>
    <w:bookmarkEnd w:id="159"/>
    <w:p>
      <w:pPr>
        <w:jc w:val="both"/>
        <w:ind w:firstLine="648"/>
        <w:spacing w:after="0" w:line="284" w:lineRule="auto"/>
        <w:rPr>
          <w:sz w:val="20"/>
          <w:szCs w:val="20"/>
          <w:color w:val="auto"/>
        </w:rPr>
      </w:pPr>
      <w:r>
        <w:rPr>
          <w:rFonts w:ascii="Arial" w:cs="Arial" w:eastAsia="Arial" w:hAnsi="Arial"/>
          <w:sz w:val="16"/>
          <w:szCs w:val="16"/>
          <w:color w:val="auto"/>
        </w:rPr>
        <w:t xml:space="preserve">SECTION 9.08. </w:t>
      </w:r>
      <w:r>
        <w:rPr>
          <w:rFonts w:ascii="Arial" w:cs="Arial" w:eastAsia="Arial" w:hAnsi="Arial"/>
          <w:sz w:val="16"/>
          <w:szCs w:val="16"/>
          <w:u w:val="single" w:color="auto"/>
          <w:color w:val="auto"/>
        </w:rPr>
        <w:t>Right of Setoff</w:t>
      </w:r>
      <w:r>
        <w:rPr>
          <w:rFonts w:ascii="Arial" w:cs="Arial" w:eastAsia="Arial" w:hAnsi="Arial"/>
          <w:sz w:val="16"/>
          <w:szCs w:val="16"/>
          <w:color w:val="auto"/>
        </w:rPr>
        <w:t xml:space="preserve">. If an Event of Default shall have occurred and be continuing, each Lender, the Issuing Bank and each of their respective Affiliates is hereby authorized at any time and from time to time, to the fullest extent permitted by law, to set off and apply any and all deposits (general or special, time or demand, provisional or final) at any time held, and other obligations at any time owing, by such Lender, the Issuing Bank or any such Affiliate, to or for the credit or the account of any Loan Party against any and all of the Secured Obligations held by such Lender, the Issuing Bank or their respective Affiliates, irrespective of whether or not such Lender, the Issuing Bank or their respective Affiliates shall have made any demand under the Loan Documents and although such obligations may be contingent or unmatured or are owed to a branch office or Affiliate of such Lender or the Issuing Bank different from the branch office or Affiliate holding such deposit or obligated on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event that any Defaulting Lender shall exercise any such right of setoff, (x) all amounts so set off shall be paid over immediately to the Administrative Agent for further application in accordance with the provisions of Section 2.20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Secured Obligations owing to such Defaulting Lender as to which it exercised such right of setoff. The applicable Lender, the Issuing Bank or such Affiliate shall notify the Borrower Representative and the Administrative Agent of such setoff or application,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failure to give or any delay in giving such notice shall not affect the validity of any such setoff or application under this Section. The rights of each Lender, the Issuing Bank and their respective Affiliates under this Section are in addition to other rights and remedies (including other rights of setoff) that such Lender, the Issuing Bank or their respective Affiliates may have. NOTWITHSTANDING THE FOREGOING, AT ANY TIME THAT ANY OF THE SECURED OBLIGATIONS SHALL BE SECURED BY REAL PROPERTY LOCATED IN CALIFORNIA, NO LENDER SHALL EXERCISE A RIGHT OF SETOFF, LENDER’S LIEN OR COUNTERCLAIM OR TAKE ANY COURT OR ADMINISTRATIVE ACTION OR INSTITUTE ANY PROCEEDING TO ENFORCE ANY PROVISION OF THIS AGREEMENT OR ANY LOAN DOCUMENT UNLESS IT IS TAKEN WITH THE CONSENT OF THE LENDERS REQUIRED BY SECTION 9.02 OF THIS AGREEMENT, IF SUCH SETOFF OR ACTION OR PROCEEDING WOULD OR MIGHT (PURSUANT TO SECTIONS 580a, 580b, 580d AND 726 OF THE CALIFORNIA CODE OF CIVIL PROCEDURE OR SECTION 2924 OF THE CALIFORNIA CIVIL CODE, IF APPLICABLE, OR OTHERWISE) AFFECT OR IMPAIR THE VALIDITY, PRIORITY, OR ENFORCEABILITY OF THE LIENS GRANTED TO ADMINISTRATIVE AGENT PURSUANT TO THE COLLATERAL DOCUMENTS OR THE ENFORCEABILITY OF THE SECURED OBLIGATIONS HEREUNDER, AND ANY ATTEMPTED EXERCISE BY ANY LENDER OF ANY SUCH RIGHT WITHOUT OBTAINING SUCH CONSENT OF THE PARTIES AS REQUIRED ABOVE, SHALL BE NULL AND VOID. THIS PARAGRAPH SHALL BE SOLELY FOR THE BENEFIT OF EACH OF THE LENDERS.</w:t>
      </w:r>
    </w:p>
    <w:p>
      <w:pPr>
        <w:spacing w:after="0" w:line="39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The Loan Documents (other than those containing a contrary express choice of law provision) shall be governed by and construed in accordance with the internal laws (and not the law of conflicts) of the State of California, but giving effect to federal laws applicable to national banks.</w:t>
      </w:r>
    </w:p>
    <w:p>
      <w:pPr>
        <w:spacing w:after="0" w:line="184" w:lineRule="exact"/>
        <w:rPr>
          <w:sz w:val="20"/>
          <w:szCs w:val="20"/>
          <w:color w:val="auto"/>
        </w:rPr>
      </w:pPr>
    </w:p>
    <w:p>
      <w:pPr>
        <w:jc w:val="both"/>
        <w:ind w:firstLine="1304"/>
        <w:spacing w:after="0" w:line="259" w:lineRule="auto"/>
        <w:tabs>
          <w:tab w:leader="none" w:pos="230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Each of the Lenders and the Administrative Agent hereby irrevocably and unconditionally agrees that, notwithstanding the governing law provisions of any applicable Loan Document, any claims brought against the Administrative Agent by any Secured Party relating to this Agreement, any other Loan Document, the Collateral or the consummation or administration of the transactions contemplated hereby or thereby shall be construed in accordance with and governed by the law of the State of California.</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0" w:name="page161"/>
    <w:bookmarkEnd w:id="160"/>
    <w:p>
      <w:pPr>
        <w:jc w:val="both"/>
        <w:ind w:left="-20" w:firstLine="1304"/>
        <w:spacing w:after="0" w:line="289" w:lineRule="auto"/>
        <w:tabs>
          <w:tab w:leader="none" w:pos="2479"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of the parties hereto hereby irrevocably and unconditionally submits, for itself and its property, to the exclusive jurisdiction of any U.S. federal or California state court sitting in Los Angeles, California, and any appellate court from any thereof, in any action or proceeding arising out of or relating to any Loan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California state court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the Administrative Agent, the Issuing Bank or any Lender may otherwise have to bring any action or proceeding relating to this Agreement or any other Loan Document against any Loan Party or its properties in the courts of any jurisdiction.</w:t>
      </w:r>
    </w:p>
    <w:p>
      <w:pPr>
        <w:spacing w:after="0" w:line="166" w:lineRule="exact"/>
        <w:rPr>
          <w:rFonts w:ascii="Arial" w:cs="Arial" w:eastAsia="Arial" w:hAnsi="Arial"/>
          <w:sz w:val="16"/>
          <w:szCs w:val="16"/>
          <w:color w:val="auto"/>
        </w:rPr>
      </w:pPr>
    </w:p>
    <w:p>
      <w:pPr>
        <w:jc w:val="both"/>
        <w:ind w:left="-20" w:firstLine="1304"/>
        <w:spacing w:after="0" w:line="301" w:lineRule="auto"/>
        <w:tabs>
          <w:tab w:leader="none" w:pos="2327" w:val="left"/>
        </w:tabs>
        <w:numPr>
          <w:ilvl w:val="0"/>
          <w:numId w:val="175"/>
        </w:numPr>
        <w:rPr>
          <w:rFonts w:ascii="Arial" w:cs="Arial" w:eastAsia="Arial" w:hAnsi="Arial"/>
          <w:sz w:val="16"/>
          <w:szCs w:val="16"/>
          <w:color w:val="auto"/>
        </w:rPr>
      </w:pPr>
      <w:r>
        <w:rPr>
          <w:rFonts w:ascii="Arial" w:cs="Arial" w:eastAsia="Arial" w:hAnsi="Arial"/>
          <w:sz w:val="16"/>
          <w:szCs w:val="16"/>
          <w:color w:val="auto"/>
        </w:rPr>
        <w:t>Each Loan Party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paragraph (c) of this Section. Each of the parties hereto hereby irrevocably waives, to the fullest extent permitted by law, the defense of an inconvenient forum to the maintenance of such action or proceeding in any such court.</w:t>
      </w:r>
    </w:p>
    <w:p>
      <w:pPr>
        <w:spacing w:after="0" w:line="157" w:lineRule="exact"/>
        <w:rPr>
          <w:rFonts w:ascii="Arial" w:cs="Arial" w:eastAsia="Arial" w:hAnsi="Arial"/>
          <w:sz w:val="16"/>
          <w:szCs w:val="16"/>
          <w:color w:val="auto"/>
        </w:rPr>
      </w:pPr>
    </w:p>
    <w:p>
      <w:pPr>
        <w:jc w:val="both"/>
        <w:ind w:left="-20" w:firstLine="1304"/>
        <w:spacing w:after="0" w:line="263" w:lineRule="auto"/>
        <w:tabs>
          <w:tab w:leader="none" w:pos="2263" w:val="left"/>
        </w:tabs>
        <w:numPr>
          <w:ilvl w:val="0"/>
          <w:numId w:val="175"/>
        </w:numPr>
        <w:rPr>
          <w:rFonts w:ascii="Arial" w:cs="Arial" w:eastAsia="Arial" w:hAnsi="Arial"/>
          <w:sz w:val="18"/>
          <w:szCs w:val="18"/>
          <w:color w:val="auto"/>
        </w:rPr>
      </w:pPr>
      <w:r>
        <w:rPr>
          <w:rFonts w:ascii="Arial" w:cs="Arial" w:eastAsia="Arial" w:hAnsi="Arial"/>
          <w:sz w:val="18"/>
          <w:szCs w:val="18"/>
          <w:color w:val="auto"/>
        </w:rPr>
        <w:t>Each party to this Agreement irrevocably consents to service of process in the manner provided for notices in Section 9.01. Nothing in this Agreement or any other Loan Document will affect the right of any party to this Agreement to serve process in any other manner permitted by law.</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WAIVER OF JURY TRIAL; JUDICIAL REFERENCE</w:t>
      </w:r>
      <w:r>
        <w:rPr>
          <w:rFonts w:ascii="Arial" w:cs="Arial" w:eastAsia="Arial" w:hAnsi="Arial"/>
          <w:sz w:val="18"/>
          <w:szCs w:val="18"/>
          <w:color w:val="auto"/>
        </w:rPr>
        <w:t>.</w:t>
      </w:r>
    </w:p>
    <w:p>
      <w:pPr>
        <w:spacing w:after="0" w:line="225" w:lineRule="exact"/>
        <w:rPr>
          <w:sz w:val="20"/>
          <w:szCs w:val="20"/>
          <w:color w:val="auto"/>
        </w:rPr>
      </w:pPr>
    </w:p>
    <w:p>
      <w:pPr>
        <w:jc w:val="both"/>
        <w:ind w:left="-20" w:firstLine="1304"/>
        <w:spacing w:after="0" w:line="254" w:lineRule="auto"/>
        <w:tabs>
          <w:tab w:leader="none" w:pos="219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EACH PARTY HERETO HEREBY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91" w:lineRule="exact"/>
        <w:rPr>
          <w:rFonts w:ascii="Arial" w:cs="Arial" w:eastAsia="Arial" w:hAnsi="Arial"/>
          <w:sz w:val="18"/>
          <w:szCs w:val="18"/>
          <w:color w:val="auto"/>
        </w:rPr>
      </w:pPr>
    </w:p>
    <w:p>
      <w:pPr>
        <w:jc w:val="both"/>
        <w:ind w:left="-20" w:firstLine="1304"/>
        <w:spacing w:after="0" w:line="255" w:lineRule="auto"/>
        <w:tabs>
          <w:tab w:leader="none" w:pos="2502"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IN THE EVENT ANY LEGAL PROCEEDING IS FILED IN A COURT OF THE STATE OF CALIFORNIA (THE “COURT”) BY OR AGAINST EITHER PARTY HERETO IN CONNECTION WITH ANY CONTROVERSY, DISPUTE OR CLAIM DIRECTLY OR INDIRECTLY ARISING OUT OF OR RELATING TO THIS DOCUMENT OR THE TRANSACTIONS CONTEMPLATED HEREBY (WHETHER BASED ON CONTRACT, TORT OR ANY OTHER THEORY) (EACH, A “CLAIM”) AND THE WAIVER SET FORTH IN THE PRECEDING PARAGRAPH IS NOT ENFORCEABLE IN SUCH ACTION OR PROCEEDING, EACH PARTY HERETO (BY ITS ACCEPTANCE HEREOF) AGREE AS FOLLOWS: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800" w:right="339" w:bottom="1440" w:gutter="0" w:footer="0" w:header="0"/>
        </w:sectPr>
      </w:pPr>
    </w:p>
    <w:bookmarkStart w:id="161" w:name="page162"/>
    <w:bookmarkEnd w:id="161"/>
    <w:p>
      <w:pPr>
        <w:jc w:val="both"/>
        <w:ind w:left="4" w:firstLine="1292"/>
        <w:spacing w:after="0" w:line="271" w:lineRule="auto"/>
        <w:tabs>
          <w:tab w:leader="none" w:pos="2275" w:val="left"/>
        </w:tabs>
        <w:numPr>
          <w:ilvl w:val="1"/>
          <w:numId w:val="177"/>
        </w:numPr>
        <w:rPr>
          <w:rFonts w:ascii="Arial" w:cs="Arial" w:eastAsia="Arial" w:hAnsi="Arial"/>
          <w:sz w:val="17"/>
          <w:szCs w:val="17"/>
          <w:color w:val="auto"/>
        </w:rPr>
      </w:pPr>
      <w:r>
        <w:rPr>
          <w:rFonts w:ascii="Arial" w:cs="Arial" w:eastAsia="Arial" w:hAnsi="Arial"/>
          <w:sz w:val="17"/>
          <w:szCs w:val="17"/>
          <w:color w:val="auto"/>
        </w:rPr>
        <w:t>WITH THE EXCEPTION OF THE MATTERS SPECIFIED IN PARAGRAPH (ii) BELOW, ANY CLAIM WILL BE DETERMINED BY A GENERAL REFERENCE PROCEEDING IN ACCORDANCE WITH THE PROVISIONS OF CALIFORNIA CODE OF CIVIL PROCEDURE SECTIONS 638 THROUGH 645.2, INCLUDING ANY REVISION OR REPLACEMENT OF SUCH STATUTES OR RULES HEREAFTER ENACTED. EACH PARTY HERETO INTEND THIS GENERAL REFERENCE AGREEMENT TO BE SPECIFICALLY ENFORCEABLE IN ACCORDANCE WITH CALIFORNIA CODE OF CIVIL PROCEDURE SECTION 638, INCLUDING ANY REVISION OR REPLACEMENT OF SUCH STATUTE OR RULE HEREAFTER ENACTED. EXCEPT AS OTHERWISE PROVIDED IN THIS AND THE OTHER RELATED DOCUMENTS, VENUE FOR THE REFERENCE PROCEEDING WILL BE IN THE STATE OR FEDERAL COURT IN THE COUNTY OR DISTRICT WHERE VENUE IS OTHERWISE APPROPRIATE UNDER APPLICABLE LAW.</w:t>
      </w:r>
    </w:p>
    <w:p>
      <w:pPr>
        <w:spacing w:after="0" w:line="178" w:lineRule="exact"/>
        <w:rPr>
          <w:rFonts w:ascii="Arial" w:cs="Arial" w:eastAsia="Arial" w:hAnsi="Arial"/>
          <w:sz w:val="17"/>
          <w:szCs w:val="17"/>
          <w:color w:val="auto"/>
        </w:rPr>
      </w:pPr>
    </w:p>
    <w:p>
      <w:pPr>
        <w:jc w:val="both"/>
        <w:ind w:left="4" w:firstLine="1292"/>
        <w:spacing w:after="0" w:line="268" w:lineRule="auto"/>
        <w:tabs>
          <w:tab w:leader="none" w:pos="219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THE FOLLOWING MATTERS SHALL NOT BE SUBJECT TO A GENERAL REFERENCE PROCEEDING: (A) NON-JUDICIAL FORECLOSURE OF ANY SECURITY INTERESTS IN REAL OR PERSONAL PROPERTY; (B) EXERCISE OF SELF-HELP REMEDIES (INCLUDING, WITHOUT LIMITATION, SET-OFF); (C) APPOINTMENT OF A RECEIVER; AND (D) TEMPORARY, PROVISIONAL OR ANCILLARY REMEDIES (INCLUDING, WITHOUT LIMITATION, WRITS OF ATTACHMENT, WRITS OF POSSESSION, TEMPORARY RESTRAINING ORDERS OR PRELIMINARY INJUNCTIONS). THIS DOCUMENT DOES NOT LIMIT THE RIGHT OF ANY PARTY HERETO TO EXERCISE OR OPPOSE ANY OF THE RIGHTS AND REMEDIES DESCRIBED IN CLAUSES (A) -</w:t>
      </w:r>
    </w:p>
    <w:p>
      <w:pPr>
        <w:ind w:left="4" w:hanging="4"/>
        <w:spacing w:after="0" w:line="260" w:lineRule="auto"/>
        <w:tabs>
          <w:tab w:leader="none" w:pos="321"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AND ANY SUCH EXERCISE OR OPPOSITION DOES NOT WAIVE THE RIGHT OF EACH PARTY HERETO TO A REFERENCE PROCEEDING PURSUANT TO THIS DOCUMENT.</w:t>
      </w:r>
    </w:p>
    <w:p>
      <w:pPr>
        <w:spacing w:after="0" w:line="185" w:lineRule="exact"/>
        <w:rPr>
          <w:rFonts w:ascii="Arial" w:cs="Arial" w:eastAsia="Arial" w:hAnsi="Arial"/>
          <w:sz w:val="18"/>
          <w:szCs w:val="18"/>
          <w:color w:val="auto"/>
        </w:rPr>
      </w:pPr>
    </w:p>
    <w:p>
      <w:pPr>
        <w:jc w:val="both"/>
        <w:ind w:left="4" w:firstLine="1292"/>
        <w:spacing w:after="0" w:line="257" w:lineRule="auto"/>
        <w:tabs>
          <w:tab w:leader="none" w:pos="2317" w:val="left"/>
        </w:tabs>
        <w:numPr>
          <w:ilvl w:val="1"/>
          <w:numId w:val="178"/>
        </w:numPr>
        <w:rPr>
          <w:rFonts w:ascii="Arial" w:cs="Arial" w:eastAsia="Arial" w:hAnsi="Arial"/>
          <w:sz w:val="18"/>
          <w:szCs w:val="18"/>
          <w:color w:val="auto"/>
        </w:rPr>
      </w:pPr>
      <w:r>
        <w:rPr>
          <w:rFonts w:ascii="Arial" w:cs="Arial" w:eastAsia="Arial" w:hAnsi="Arial"/>
          <w:sz w:val="18"/>
          <w:szCs w:val="18"/>
          <w:color w:val="auto"/>
        </w:rPr>
        <w:t>UPON THE WRITTEN REQUEST OF ANY PARTY HERETO, EACH PARTY HERETO SHALL SELECT A SINGLE REFEREE, WHO SHALL BE A RETIRED JUDGE OR JUSTICE. IF THE PARTIES HERETO DO NOT AGREE UPON A REFEREE WITHIN TEN (10) DAYS OF SUCH WRITTEN REQUEST, THEN EACH PARTY HERETO MAY REQUEST THE COURT TO APPOINT A REFEREE PURSUANT TO CALIFORNIA CODE OF CIVIL PROCEDURE SECTION 640(B), INCLUDING ANY REVISION OR REPLACEMENT OF SUCH STATUTE OR RULE HEREAFTER ENACTED.</w:t>
      </w:r>
    </w:p>
    <w:p>
      <w:pPr>
        <w:spacing w:after="0" w:line="187" w:lineRule="exact"/>
        <w:rPr>
          <w:rFonts w:ascii="Arial" w:cs="Arial" w:eastAsia="Arial" w:hAnsi="Arial"/>
          <w:sz w:val="18"/>
          <w:szCs w:val="18"/>
          <w:color w:val="auto"/>
        </w:rPr>
      </w:pPr>
    </w:p>
    <w:p>
      <w:pPr>
        <w:jc w:val="both"/>
        <w:ind w:left="4" w:firstLine="1292"/>
        <w:spacing w:after="0" w:line="255" w:lineRule="auto"/>
        <w:tabs>
          <w:tab w:leader="none" w:pos="2459" w:val="left"/>
        </w:tabs>
        <w:numPr>
          <w:ilvl w:val="1"/>
          <w:numId w:val="178"/>
        </w:numPr>
        <w:rPr>
          <w:rFonts w:ascii="Arial" w:cs="Arial" w:eastAsia="Arial" w:hAnsi="Arial"/>
          <w:sz w:val="18"/>
          <w:szCs w:val="18"/>
          <w:color w:val="auto"/>
        </w:rPr>
      </w:pPr>
      <w:r>
        <w:rPr>
          <w:rFonts w:ascii="Arial" w:cs="Arial" w:eastAsia="Arial" w:hAnsi="Arial"/>
          <w:sz w:val="18"/>
          <w:szCs w:val="18"/>
          <w:color w:val="auto"/>
        </w:rPr>
        <w:t xml:space="preserve">ALL PROCEEDINGS AND HEARINGS CONDUCTED BEFORE THE REFEREE, EXCEPT FOR TRIAL, SHALL BE CONDUCTED WITHOUT A COURT REPORTER, EXCEPT WHEN EITHER PARTY HERETO SO REQUESTS, A COURT REPORTER WILL BE USED AND THE REFEREE WILL BE PROVIDED A COURTESY COPY OF THE TRANSCRIPT. THE PARTY MAKING SUCH REQUEST SHALL HAVE THE OBLIGATION TO ARRANGE FOR AND PAY COSTS OF THE COURT REPORTER,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COSTS, ALONG WITH THE REFEREE’S FEES, SHALL ULTIMATELY BE BORNE BY THE PARTY WHO DOES NOT PREVAIL, AS DETERMINED BY THE REFEREE.</w:t>
      </w:r>
    </w:p>
    <w:p>
      <w:pPr>
        <w:spacing w:after="0" w:line="192" w:lineRule="exact"/>
        <w:rPr>
          <w:rFonts w:ascii="Arial" w:cs="Arial" w:eastAsia="Arial" w:hAnsi="Arial"/>
          <w:sz w:val="18"/>
          <w:szCs w:val="18"/>
          <w:color w:val="auto"/>
        </w:rPr>
      </w:pPr>
    </w:p>
    <w:p>
      <w:pPr>
        <w:jc w:val="both"/>
        <w:ind w:left="4" w:firstLine="1292"/>
        <w:spacing w:after="0" w:line="270" w:lineRule="auto"/>
        <w:tabs>
          <w:tab w:leader="none" w:pos="2337" w:val="left"/>
        </w:tabs>
        <w:numPr>
          <w:ilvl w:val="1"/>
          <w:numId w:val="178"/>
        </w:numPr>
        <w:rPr>
          <w:rFonts w:ascii="Arial" w:cs="Arial" w:eastAsia="Arial" w:hAnsi="Arial"/>
          <w:sz w:val="17"/>
          <w:szCs w:val="17"/>
          <w:color w:val="auto"/>
        </w:rPr>
      </w:pPr>
      <w:r>
        <w:rPr>
          <w:rFonts w:ascii="Arial" w:cs="Arial" w:eastAsia="Arial" w:hAnsi="Arial"/>
          <w:sz w:val="17"/>
          <w:szCs w:val="17"/>
          <w:color w:val="auto"/>
        </w:rPr>
        <w:t>THE REFEREE MAY REQUIRE ONE OR MORE PREHEARING CONFERENCES. EACH PARTY HERETO SHALL BE ENTITLED TO DISCOVERY, AND THE REFEREE SHALL OVERSEE DISCOVERY IN ACCORDANCE WITH THE RULES OF DISCOVERY, AND MAY ENFORCE ALL DISCOVERY ORDERS IN THE SAME MANNER AS ANY TRIAL COURT JUDGE IN PROCEEDINGS AT LAW IN THE STATE OF CALIFORNIA. THE REFEREE SHALL APPLY THE RULES OF EVIDENCE APPLICABLE TO PROCEEDINGS AT LAW IN THE STATE OF CALIFORNIA AND SHALL DETERMINE ALL ISSUES IN ACCORDANCE WITH APPLICABLE STATE AND FEDERAL LAW. THE REFEREE SHALL BE EMPOWERED TO ENTER EQUITABLE AS WELL AS LEGAL RELIEF AND RULE ON ANY MOTION WHICH WOULD BE AUTHORIZED IN A TRIAL, INCLUDING, WITHOUT LIMITATION, MOTIONS FOR DEFAULT JUDGMENT OR SUMMARY JUDGMENT. THE REFEREE SHALL REPORT THE REFEREE’S DECISION, WHICH REPORT SHALL ALSO INCLUDE FINDINGS OF FACT AND CONCLUSIONS OF LAW.</w:t>
      </w:r>
    </w:p>
    <w:p>
      <w:pPr>
        <w:spacing w:after="0" w:line="289" w:lineRule="exact"/>
        <w:rPr>
          <w:sz w:val="20"/>
          <w:szCs w:val="20"/>
          <w:color w:val="auto"/>
        </w:rPr>
      </w:pPr>
    </w:p>
    <w:p>
      <w:pPr>
        <w:ind w:left="4844"/>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800" w:right="339" w:bottom="1440" w:gutter="0" w:footer="0" w:header="0"/>
        </w:sectPr>
      </w:pPr>
    </w:p>
    <w:bookmarkStart w:id="162" w:name="page163"/>
    <w:bookmarkEnd w:id="162"/>
    <w:p>
      <w:pPr>
        <w:ind w:left="660" w:firstLine="1292"/>
        <w:spacing w:after="0" w:line="277" w:lineRule="auto"/>
        <w:tabs>
          <w:tab w:leader="none" w:pos="3115" w:val="left"/>
        </w:tabs>
        <w:numPr>
          <w:ilvl w:val="0"/>
          <w:numId w:val="179"/>
        </w:numPr>
        <w:rPr>
          <w:rFonts w:ascii="Arial" w:cs="Arial" w:eastAsia="Arial" w:hAnsi="Arial"/>
          <w:sz w:val="18"/>
          <w:szCs w:val="18"/>
          <w:color w:val="auto"/>
        </w:rPr>
      </w:pPr>
      <w:r>
        <w:rPr>
          <w:rFonts w:ascii="Arial" w:cs="Arial" w:eastAsia="Arial" w:hAnsi="Arial"/>
          <w:sz w:val="18"/>
          <w:szCs w:val="18"/>
          <w:color w:val="auto"/>
        </w:rPr>
        <w:t>EACH PARTY HERETO RECOGNIZE AND AGREE THAT ALL CLAIMS RESOLVED IN A GENERAL REFERENCE PROCEEDING PURSUANT HERETO WILL BE DECIDED BY A REFEREE AND NOT BY A JURY.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9.11.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SECTION 9.12.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the Issuing Bank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any Requirement of Law or by any subpoena or similar legal process, (d) to any other party to this Agreement, (e) in connection with the exercise of any remedies under this Agreement or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(ii) any actual or prospective counterparty (or its advisors) to any swap or derivative transaction relating to the Loan Parties and their obligations, (g) with the consent of the Borrower Representative, (h) to the extent such Information (1) becomes publicly available other than as a result of a breach of this Section or (2) becomes available to the Administrative Agent, the Issuing Bank or any Lender on a non-confidential basis from a source other than the Borrowers, or (i) on a confidential basis to (1) any rating agency in connection with rating any Borrower or its Subsidiaries or the credit facilities provided for herein or (2) the CUSIP Service Bureau or any similar agency in connection with the issuance and monitoring of identification numbers with respect to the credit facilities provided for herein.</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For the purposes of this Section, “Information” means all information received from the Borrowers relating to the Borrowers or their business, other than any such information that is available to the Administrative Agent, the Issuing Bank or any Lender on a non-confidential basis prior to disclosure by the Borrowers and other than information pertaining to this Agreement provided by arrangers to data service providers, including league table providers, that serve the lending industry;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information received from the Borrowers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9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EACH LENDER ACKNOWLEDGES THAT INFORMATION (AS DEFINED IN THIS SECTION 9.12) FURNISHED TO IT PURSUANT TO THIS AGREEMENT MAY INCLUDE MATERIAL NON-PUBLIC INFORMATION CONCERNING THE COMPANY, AND ITS AFFILIATES, THE OTHER LOAN PARTIES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3" w:name="page164"/>
    <w:bookmarkEnd w:id="163"/>
    <w:p>
      <w:pPr>
        <w:jc w:val="both"/>
        <w:ind w:firstLine="648"/>
        <w:spacing w:after="0" w:line="254" w:lineRule="auto"/>
        <w:rPr>
          <w:sz w:val="20"/>
          <w:szCs w:val="20"/>
          <w:color w:val="auto"/>
        </w:rPr>
      </w:pPr>
      <w:r>
        <w:rPr>
          <w:rFonts w:ascii="Arial" w:cs="Arial" w:eastAsia="Arial" w:hAnsi="Arial"/>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COMPANY, THE LOAN PARTIES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AND STATE SECURITIES LAWS.</w:t>
      </w:r>
    </w:p>
    <w:p>
      <w:pPr>
        <w:spacing w:after="0" w:line="19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Several Obligations; Non-Reliance; Violation of Law</w:t>
      </w:r>
      <w:r>
        <w:rPr>
          <w:rFonts w:ascii="Arial" w:cs="Arial" w:eastAsia="Arial" w:hAnsi="Arial"/>
          <w:sz w:val="17"/>
          <w:szCs w:val="17"/>
          <w:color w:val="auto"/>
        </w:rPr>
        <w:t>. The respective obligations of the Lenders hereunder are several and not joint and the failure of any Lender to make any Loan or perform any of its obligations hereunder shall not relieve any other Lender from any of its obligations hereunder. Each Lender hereby represents that it is not relying on or looking to any margin stock (as defined in Regulation U of the Board) for the repayment of the Borrowings provided for herein. Anything contained in this Agreement to the contrary notwithstanding, neither the Issuing Bank nor any Lender shall be obligated to extend credit to the Borrowers in violation of any Requirement of Law.</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9.14.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hereby notifies each Loan Party that pursuant to the requirements of the USA PATRIOT Act, it is required to obtain, verify and record information that identifies such Loan Party, which information includes the name and address of such Loan Party and other information that will allow such Lender to identify such Loan Party in accordance with the USA PATRIOT Act.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Disclosure</w:t>
      </w:r>
      <w:r>
        <w:rPr>
          <w:rFonts w:ascii="Arial" w:cs="Arial" w:eastAsia="Arial" w:hAnsi="Arial"/>
          <w:sz w:val="18"/>
          <w:szCs w:val="18"/>
          <w:color w:val="auto"/>
        </w:rPr>
        <w:t>. Each Loan Party, each Lender and the Issuing Bank hereby acknowledges and agrees that the Administrative Agent and/or its Affiliates from time to time may hold investments in, make other loans to or have other relationships with any of the Loan Parties and their respective Affiliates.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SECTION 9.16. </w:t>
      </w:r>
      <w:r>
        <w:rPr>
          <w:rFonts w:ascii="Arial" w:cs="Arial" w:eastAsia="Arial" w:hAnsi="Arial"/>
          <w:sz w:val="17"/>
          <w:szCs w:val="17"/>
          <w:u w:val="single" w:color="auto"/>
          <w:color w:val="auto"/>
        </w:rPr>
        <w:t>Appointment for Perfection</w:t>
      </w:r>
      <w:r>
        <w:rPr>
          <w:rFonts w:ascii="Arial" w:cs="Arial" w:eastAsia="Arial" w:hAnsi="Arial"/>
          <w:sz w:val="17"/>
          <w:szCs w:val="17"/>
          <w:color w:val="auto"/>
        </w:rPr>
        <w:t>. Each Lender hereby appoints each other Lender as its agent for the purpose of perfecting Liens, for the benefit of the Administrative Agent and the other Secured Parties, in assets which, in accordance with Article 9 of the UCC or any other applicable law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9.17.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7"/>
          <w:szCs w:val="17"/>
          <w:u w:val="single" w:color="auto"/>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4" w:name="page165"/>
    <w:bookmarkEnd w:id="164"/>
    <w:p>
      <w:pPr>
        <w:jc w:val="both"/>
        <w:ind w:firstLine="648"/>
        <w:spacing w:after="0" w:line="257"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Marketing Consent</w:t>
      </w:r>
      <w:r>
        <w:rPr>
          <w:rFonts w:ascii="Arial" w:cs="Arial" w:eastAsia="Arial" w:hAnsi="Arial"/>
          <w:sz w:val="18"/>
          <w:szCs w:val="18"/>
          <w:color w:val="auto"/>
        </w:rPr>
        <w:t>. The Borrowers hereby authorize JPMCB and its affiliates (collectively, the “</w:t>
      </w:r>
      <w:r>
        <w:rPr>
          <w:rFonts w:ascii="Arial" w:cs="Arial" w:eastAsia="Arial" w:hAnsi="Arial"/>
          <w:sz w:val="18"/>
          <w:szCs w:val="18"/>
          <w:u w:val="single" w:color="auto"/>
          <w:color w:val="auto"/>
        </w:rPr>
        <w:t>JPMCB Parties</w:t>
      </w:r>
      <w:r>
        <w:rPr>
          <w:rFonts w:ascii="Arial" w:cs="Arial" w:eastAsia="Arial" w:hAnsi="Arial"/>
          <w:sz w:val="18"/>
          <w:szCs w:val="18"/>
          <w:color w:val="auto"/>
        </w:rPr>
        <w:t>”), at their respective sole expense, and without any prior approval by the Borrowers, to include any Borrower’s name and logo in advertising, marketing, tombstones, case studies and training materials, and to give such other publicity to this Agreement as the JPMCB Parties may from time to time determine in their sole discretion. The foregoing authorization shall remain in effect unless and until the Borrower Representative notifies JPMCB in writing that such authorization is revoked.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9.19. </w:t>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ind w:firstLine="1304"/>
        <w:spacing w:after="0" w:line="277" w:lineRule="auto"/>
        <w:tabs>
          <w:tab w:leader="none" w:pos="2377"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2240" w:hanging="936"/>
        <w:spacing w:after="0"/>
        <w:tabs>
          <w:tab w:leader="none" w:pos="2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1292"/>
        <w:spacing w:after="0" w:line="259" w:lineRule="auto"/>
        <w:tabs>
          <w:tab w:leader="none" w:pos="3012"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86" w:lineRule="exact"/>
        <w:rPr>
          <w:rFonts w:ascii="Arial" w:cs="Arial" w:eastAsia="Arial" w:hAnsi="Arial"/>
          <w:sz w:val="18"/>
          <w:szCs w:val="18"/>
          <w:color w:val="auto"/>
        </w:rPr>
      </w:pPr>
    </w:p>
    <w:p>
      <w:pPr>
        <w:ind w:left="660" w:firstLine="1292"/>
        <w:spacing w:after="0" w:line="277" w:lineRule="auto"/>
        <w:tabs>
          <w:tab w:leader="none" w:pos="2811" w:val="left"/>
        </w:tabs>
        <w:numPr>
          <w:ilvl w:val="1"/>
          <w:numId w:val="180"/>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SECTION 9.20. </w:t>
      </w:r>
      <w:r>
        <w:rPr>
          <w:rFonts w:ascii="Arial" w:cs="Arial" w:eastAsia="Arial" w:hAnsi="Arial"/>
          <w:sz w:val="16"/>
          <w:szCs w:val="16"/>
          <w:u w:val="single" w:color="auto"/>
          <w:color w:val="auto"/>
        </w:rPr>
        <w:t>No Fiduciary Duty, Etc.</w:t>
      </w:r>
      <w:r>
        <w:rPr>
          <w:rFonts w:ascii="Arial" w:cs="Arial" w:eastAsia="Arial" w:hAnsi="Arial"/>
          <w:sz w:val="16"/>
          <w:szCs w:val="16"/>
          <w:color w:val="auto"/>
        </w:rPr>
        <w:t xml:space="preserve"> (a) Each Loan Party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each Loan Party with respect to the Loan Documents and the transactions contemplated herein and therein and not as a financial advisor or a fiduciary to, or an agent of, any Loan Party or any other person. Each Loan Party agrees that it will not assert any claim against any Credit Party based on an alleged breach of fiduciary duty by such Credit Party in connection with this Agreement and the transactions contemplated hereby. Additionally, each Loan Party acknowledges and agrees that no Credit Party is advising any Loan Party as to any legal, tax, investment, accounting, regulatory or any other matters in any jurisdiction. Each Loan Party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any Loan Party with respect thereto.</w:t>
      </w:r>
    </w:p>
    <w:p>
      <w:pPr>
        <w:spacing w:after="0" w:line="166" w:lineRule="exact"/>
        <w:rPr>
          <w:sz w:val="20"/>
          <w:szCs w:val="20"/>
          <w:color w:val="auto"/>
        </w:rPr>
      </w:pPr>
    </w:p>
    <w:p>
      <w:pPr>
        <w:jc w:val="both"/>
        <w:ind w:firstLine="1304"/>
        <w:spacing w:after="0" w:line="272" w:lineRule="auto"/>
        <w:tabs>
          <w:tab w:leader="none" w:pos="2239" w:val="left"/>
        </w:tabs>
        <w:numPr>
          <w:ilvl w:val="0"/>
          <w:numId w:val="181"/>
        </w:numPr>
        <w:rPr>
          <w:rFonts w:ascii="Arial" w:cs="Arial" w:eastAsia="Arial" w:hAnsi="Arial"/>
          <w:sz w:val="17"/>
          <w:szCs w:val="17"/>
          <w:color w:val="auto"/>
        </w:rPr>
      </w:pPr>
      <w:r>
        <w:rPr>
          <w:rFonts w:ascii="Arial" w:cs="Arial" w:eastAsia="Arial" w:hAnsi="Arial"/>
          <w:sz w:val="17"/>
          <w:szCs w:val="17"/>
          <w:color w:val="auto"/>
        </w:rPr>
        <w:t>Each Loan Party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any Loan Party and other companies with which any Loan Party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5" w:name="page166"/>
    <w:bookmarkEnd w:id="165"/>
    <w:p>
      <w:pPr>
        <w:jc w:val="both"/>
        <w:ind w:firstLine="1304"/>
        <w:spacing w:after="0" w:line="272" w:lineRule="auto"/>
        <w:tabs>
          <w:tab w:leader="none" w:pos="231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addition, each Loan Party acknowledges and agrees, and acknowledges its Subsidiaries’ understanding, that each Credit Party and its affiliates may be providing debt financing, equity capital or other services (including financial advisory services) to other companies in respect of which a Loan Party may have conflicting interests regarding the transactions described herein and otherwise. No Credit Party will use confidential information obtained from any Loan Party by virtue of the transactions contemplated by the Loan Documents or its other relationships with such Loan Party in connection with the performance by such Credit Party of services for other companies, and no Credit Party will furnish any such information to other companies. Each Loan Party also acknowledges that no Credit Party has any obligation to use in connection with the transactions contemplated by the Loan Documents, or to furnish to any Loan Party, confidential information obtained from other companies.</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9.21. </w:t>
      </w:r>
      <w:r>
        <w:rPr>
          <w:rFonts w:ascii="Arial" w:cs="Arial" w:eastAsia="Arial" w:hAnsi="Arial"/>
          <w:sz w:val="17"/>
          <w:szCs w:val="17"/>
          <w:u w:val="single" w:color="auto"/>
          <w:color w:val="auto"/>
        </w:rPr>
        <w:t>Acknowledgement Regarding Any Supported QFCs</w:t>
      </w:r>
      <w:r>
        <w:rPr>
          <w:rFonts w:ascii="Arial" w:cs="Arial" w:eastAsia="Arial" w:hAnsi="Arial"/>
          <w:sz w:val="17"/>
          <w:szCs w:val="17"/>
          <w:color w:val="auto"/>
        </w:rPr>
        <w:t>. To the extent that the Loan Documents provide support, through a guarantee or otherwise, for Swap Agreements or any other agreement or instrument that is a QFC (such support “</w:t>
      </w:r>
      <w:r>
        <w:rPr>
          <w:rFonts w:ascii="Arial" w:cs="Arial" w:eastAsia="Arial" w:hAnsi="Arial"/>
          <w:sz w:val="17"/>
          <w:szCs w:val="17"/>
          <w:u w:val="single" w:color="auto"/>
          <w:color w:val="auto"/>
        </w:rPr>
        <w:t>QFC Credit Support</w:t>
      </w:r>
      <w:r>
        <w:rPr>
          <w:rFonts w:ascii="Arial" w:cs="Arial" w:eastAsia="Arial" w:hAnsi="Arial"/>
          <w:sz w:val="17"/>
          <w:szCs w:val="17"/>
          <w:color w:val="auto"/>
        </w:rPr>
        <w:t>” and each such QFC a “</w:t>
      </w:r>
      <w:r>
        <w:rPr>
          <w:rFonts w:ascii="Arial" w:cs="Arial" w:eastAsia="Arial" w:hAnsi="Arial"/>
          <w:sz w:val="17"/>
          <w:szCs w:val="17"/>
          <w:u w:val="single" w:color="auto"/>
          <w:color w:val="auto"/>
        </w:rPr>
        <w:t>Supported QFC</w:t>
      </w:r>
      <w:r>
        <w:rPr>
          <w:rFonts w:ascii="Arial" w:cs="Arial" w:eastAsia="Arial" w:hAnsi="Arial"/>
          <w:sz w:val="17"/>
          <w:szCs w:val="17"/>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7"/>
          <w:szCs w:val="17"/>
          <w:u w:val="single" w:color="auto"/>
          <w:color w:val="auto"/>
        </w:rPr>
        <w:t>U.S. Special Resolution Regimes</w:t>
      </w:r>
      <w:r>
        <w:rPr>
          <w:rFonts w:ascii="Arial" w:cs="Arial" w:eastAsia="Arial" w:hAnsi="Arial"/>
          <w:sz w:val="17"/>
          <w:szCs w:val="17"/>
          <w:color w:val="auto"/>
        </w:rPr>
        <w:t>”) in respect of such Supported QFC and QFC Credit Support (with the provisions below applicable notwithstanding that the Loan Documents and any Supported QFC may in fact be stated to be governed by the laws of the State of California and/or of the United States or any other state of the United States):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6" w:name="page167"/>
    <w:bookmarkEnd w:id="166"/>
    <w:p>
      <w:pPr>
        <w:jc w:val="both"/>
        <w:ind w:firstLine="648"/>
        <w:spacing w:after="0" w:line="283" w:lineRule="auto"/>
        <w:rPr>
          <w:sz w:val="20"/>
          <w:szCs w:val="20"/>
          <w:color w:val="auto"/>
        </w:rPr>
      </w:pPr>
      <w:r>
        <w:rPr>
          <w:rFonts w:ascii="Arial" w:cs="Arial" w:eastAsia="Arial" w:hAnsi="Arial"/>
          <w:sz w:val="16"/>
          <w:szCs w:val="16"/>
          <w:color w:val="auto"/>
        </w:rPr>
        <w:t xml:space="preserve">SECTION 9.22. </w:t>
      </w:r>
      <w:r>
        <w:rPr>
          <w:rFonts w:ascii="Arial" w:cs="Arial" w:eastAsia="Arial" w:hAnsi="Arial"/>
          <w:sz w:val="16"/>
          <w:szCs w:val="16"/>
          <w:u w:val="single" w:color="auto"/>
          <w:color w:val="auto"/>
        </w:rPr>
        <w:t>Joint and Several</w:t>
      </w:r>
      <w:r>
        <w:rPr>
          <w:rFonts w:ascii="Arial" w:cs="Arial" w:eastAsia="Arial" w:hAnsi="Arial"/>
          <w:sz w:val="16"/>
          <w:szCs w:val="16"/>
          <w:color w:val="auto"/>
        </w:rPr>
        <w:t xml:space="preserve">. Each Borrower hereby unconditionally and irrevocably agrees it is jointly and severally liable to the Administrative Agent, the Issuing Banks and the Lenders for the Secured Obligations. In furtherance thereof, each Borrower agrees that wherever in this Agreement it 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Borrower is liable for a payment, such obligation is the joint and several obligation of each Borrower. Each Borrower acknowledges and agrees that its joint and several liability under this Agreement and the Loan Documents is absolute and unconditional and shall not in any manner be affected or impaired by any acts or omissions whatsoever by the Administrative Agent, any Issuing Bank, any Lender or any other Person. Each Borrower’s liability for the Secured Obligations shall not in any manner be impaired or affected by who receives or uses the proceeds of the credit extended hereunder or for what purposes such proceeds are used, and each Borrower waives notice of borrowing requests issued by, and loans or other extensions of credit made to, other Borrowers. Each Borrower hereby agrees not to exercise or enforce any right of exoneration, contribution, reimbursement, recourse or subrogation available to such Borrower against any party liable for payment under this Agreement and the Loan Documents unless and until the Administrative Agent, each Issuing Bank and each Lender have been paid in full and all of the Secured Obligations are satisfied and discharged following termination or expiration of all commitments of the Lenders to extend credit to the Borrowers. Each Borrower’s joint and several liability hereunder with respect to the Secured Obligations shall, to the fullest extent permitted by applicable law, be the unconditional liability of such Borrower irrespective of (i) the validity, enforceability, avoidance or subordination of any of the Secured Obligations or of any other document evidencing all or any part of the Secured Obligations, (ii) the absence of any attempt to collect any of the Secured Obligations from any other Loan Party or any Collateral or other security therefor, or the absence of any other action to enforce the same, (iii) the amendment, modification, waiver, consent, extension, forbearance or granting of any indulgence by the Administrative Agent or any Lender with respect to any provision of any instrument executed by any other Loan Party evidencing or securing the payment of any of the Secured Obligations, or any other agreement now or hereafter executed by any other Loan Party and delivered to the Administrative Agent, (iv) the failure by the Administrative Agent or any Lender to take any steps to perfect or maintain the perfected status of its Lien upon, or to preserve its rights to, any of the Collateral or other security for the payment or performance of any of the Secured Obligations or the Administrative Agent’s release of any Collateral or of its Liens upon any Collateral, (v) the release or compromise, in whole or in part, of the liability of any other Loan Party for the payment of any of the Secured Obligations, (vi) any increase in the amount of the Secured Obligations beyond any limits imposed herein or in the amount of any interest, fees or other charges payable in connection therewith, in each case, if consented to by any other Borrower, or any decrease in the same, or (vii) any other circumstance that might constitute a legal or equitable discharge or defense of any Loan Party. After the occurrence and during the continuance of any Event of Default, the Administrative Agent may proceed directly and at once, without notice to any Borrower, against any or all of Loan Parties to collect and recover all or any part of the Secured Obligations, without first proceeding against any other Loan Party or against any Collateral or other security for the payment or performance of any of the Secured Obligations, and each Borrower waives any provision that might otherwise require the Administrative Agent or the Lenders under applicable law to pursue or exhaust remedies against any Collateral or other Loan Party before pursuing such Borrower or its property. Each Borrower consents and agrees that neither the Administrative Agent nor any Lender shall be under any obligation to marshal any assets in favor of any Loan Party or against or in payment of any or all of the Secured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LOAN GUARANTY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u w:val="single" w:color="auto"/>
          <w:color w:val="auto"/>
        </w:rPr>
        <w:t>Guaranty</w:t>
      </w:r>
      <w:r>
        <w:rPr>
          <w:rFonts w:ascii="Arial" w:cs="Arial" w:eastAsia="Arial" w:hAnsi="Arial"/>
          <w:sz w:val="16"/>
          <w:szCs w:val="16"/>
          <w:color w:val="auto"/>
        </w:rPr>
        <w:t>. Each Loan Guarantor (other than those that have delivered a separate Guaranty) hereby agrees that it is jointly and severally liable for, and, as a primary obligor and not merely as surety, absolutely, unconditionally and irrevocably guarantees to the Secured Parties, the prompt payment when due, whether at stated maturity, upon acceleration or otherwise, and at all times thereafter, of the Secured Obligations and all costs and expenses, including, without limitation, all court costs and attorneys’ and paralegals’ fees (including allocated costs of in-house counsel and paralegals) and expenses paid or incurred by the Administrative Agent, the Issuing Bank and the Lenders in endeavoring to collect all or any part of the Secured Obligations from, or in prosecuting any action against, any Borrower, any Loan Guarantor or any other guarantor of all or any part of the Secured Obligations (such costs and expenses, together with the Secured Obligations, collectively the “</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definition of “Guaranteed Obligations” shall not create any guarantee by any Loan Guarantor of (or grant of security interest by any Loan Guarantor to support, as applicable) any Excluded Swap Obligations of such Loan Guarantor for purposes of determining any obligations of any Loan Guarantor). Each Loan Guarantor further agrees that the Guaranteed Obligations may be extended or renewed in whole or in part without notice to or further assent from it, and that it remains bound upon its guarantee notwithstanding any such extension or renewal. All terms of this Loan Guaranty apply to and may be enforced by or on behalf of any domestic or foreign branch or Affiliate of any Lender that extended any portion of the Guaranteed Obligations.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7" w:name="page168"/>
    <w:bookmarkEnd w:id="167"/>
    <w:p>
      <w:pPr>
        <w:jc w:val="both"/>
        <w:ind w:firstLine="648"/>
        <w:spacing w:after="0" w:line="259"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Guaranty of Payment</w:t>
      </w:r>
      <w:r>
        <w:rPr>
          <w:rFonts w:ascii="Arial" w:cs="Arial" w:eastAsia="Arial" w:hAnsi="Arial"/>
          <w:sz w:val="18"/>
          <w:szCs w:val="18"/>
          <w:color w:val="auto"/>
        </w:rPr>
        <w:t>. This Loan Guaranty is a guaranty of payment and not of collection. Each Loan Guarantor waives any right to require the Administrative Agent, the Issuing Bank or any Lender to sue any Borrower, any Loan Guarantor, any other guarantor of, or any other Person obligated for, all or any part of the Guaranteed Obligations (each, an “</w:t>
      </w:r>
      <w:r>
        <w:rPr>
          <w:rFonts w:ascii="Arial" w:cs="Arial" w:eastAsia="Arial" w:hAnsi="Arial"/>
          <w:sz w:val="18"/>
          <w:szCs w:val="18"/>
          <w:u w:val="single" w:color="auto"/>
          <w:color w:val="auto"/>
        </w:rPr>
        <w:t>Obligated Party</w:t>
      </w:r>
      <w:r>
        <w:rPr>
          <w:rFonts w:ascii="Arial" w:cs="Arial" w:eastAsia="Arial" w:hAnsi="Arial"/>
          <w:sz w:val="18"/>
          <w:szCs w:val="18"/>
          <w:color w:val="auto"/>
        </w:rPr>
        <w:t>”), or otherwise to enforce its payment against any collateral securing all or any part of the Guaranteed Obligations.</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No Discharge or Diminishment of Loan Guaranty</w:t>
      </w:r>
      <w:r>
        <w:rPr>
          <w:rFonts w:ascii="Arial" w:cs="Arial" w:eastAsia="Arial" w:hAnsi="Arial"/>
          <w:sz w:val="17"/>
          <w:szCs w:val="17"/>
          <w:color w:val="auto"/>
        </w:rPr>
        <w:t>. (a) Except as otherwise provided for herein, the obligations of each Loan Guarantor hereunder are unconditional and absolute and not subject to any reduction, limitation, impairment or termination for any reason (other than Payment in Full of the Guaranteed Obligations), including: (i) any claim of waiver, release, extension, renewal, settlement, surrender, alteration or compromise of any of the Guaranteed Obligations, by operation of law or otherwise; (ii) any change in the corporate existence, structure or ownership of any Borrower or any other Obligated Party liable for any of the Guaranteed Obligations; (iii) any insolvency, bankruptcy, reorganization or other similar proceeding affecting any Obligated Party or their assets or any resulting release or discharge of any obligation of any Obligated Party; or (iv) the existence of any claim, setoff or other rights which any Loan Guarantor may have at any time against any Obligated Party, the Administrative Agent, the Issuing Bank, any Lender or any other Person, whether in connection herewith or in any unrelated transactions.</w:t>
      </w:r>
    </w:p>
    <w:p>
      <w:pPr>
        <w:spacing w:after="0" w:line="178" w:lineRule="exact"/>
        <w:rPr>
          <w:sz w:val="20"/>
          <w:szCs w:val="20"/>
          <w:color w:val="auto"/>
        </w:rPr>
      </w:pPr>
    </w:p>
    <w:p>
      <w:pPr>
        <w:jc w:val="both"/>
        <w:ind w:firstLine="1304"/>
        <w:spacing w:after="0" w:line="286" w:lineRule="auto"/>
        <w:tabs>
          <w:tab w:leader="none" w:pos="2401"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65" w:lineRule="exact"/>
        <w:rPr>
          <w:rFonts w:ascii="Arial" w:cs="Arial" w:eastAsia="Arial" w:hAnsi="Arial"/>
          <w:sz w:val="17"/>
          <w:szCs w:val="17"/>
          <w:color w:val="auto"/>
        </w:rPr>
      </w:pPr>
    </w:p>
    <w:p>
      <w:pPr>
        <w:jc w:val="both"/>
        <w:ind w:firstLine="1304"/>
        <w:spacing w:after="0" w:line="287" w:lineRule="auto"/>
        <w:tabs>
          <w:tab w:leader="none" w:pos="236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Further, the obligations of any Loan Guarantor hereunder are not discharged or impaired or otherwise affected by: (i) the failure of the Administrative Agent, the Issuing Bank or any Lender to assert any claim or demand or to enforce any remedy with respect to all or any part of the Guaranteed Obligations; (ii) any waiver or modification of or supplement to any provision of any agreement relating to the Guaranteed Obligations;</w:t>
      </w:r>
    </w:p>
    <w:p>
      <w:pPr>
        <w:spacing w:after="0" w:line="2" w:lineRule="exact"/>
        <w:rPr>
          <w:rFonts w:ascii="Arial" w:cs="Arial" w:eastAsia="Arial" w:hAnsi="Arial"/>
          <w:sz w:val="16"/>
          <w:szCs w:val="16"/>
          <w:color w:val="auto"/>
        </w:rPr>
      </w:pPr>
    </w:p>
    <w:p>
      <w:pPr>
        <w:jc w:val="both"/>
        <w:ind w:firstLine="8"/>
        <w:spacing w:after="0" w:line="270" w:lineRule="auto"/>
        <w:tabs>
          <w:tab w:leader="none" w:pos="332"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any release, non-perfection or invalidity of any indirect or direct security for the obligations of any Borrower for all or any part of the Guaranteed Obligations or any obligations of any other Obligated Party liable for any of the Guaranteed Obligations; (iv) any action or failure to act by the Administrative Agent, the Issuing Bank or any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Payment in Full of the Guaranteed Obligations).</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SECTION 10.04. </w:t>
      </w:r>
      <w:r>
        <w:rPr>
          <w:rFonts w:ascii="Arial" w:cs="Arial" w:eastAsia="Arial" w:hAnsi="Arial"/>
          <w:sz w:val="17"/>
          <w:szCs w:val="17"/>
          <w:u w:val="single" w:color="auto"/>
          <w:color w:val="auto"/>
        </w:rPr>
        <w:t>Defenses Waived</w:t>
      </w:r>
      <w:r>
        <w:rPr>
          <w:rFonts w:ascii="Arial" w:cs="Arial" w:eastAsia="Arial" w:hAnsi="Arial"/>
          <w:sz w:val="17"/>
          <w:szCs w:val="17"/>
          <w:color w:val="auto"/>
        </w:rPr>
        <w:t>. To the fullest extent permitted by applicable law, each Loan Guarantor hereby waives any defense based on or arising out of any defense of any Borrower or any Loan Guarantor or the unenforceability of all or any part of the Guaranteed Obligations from any cause, or the cessation from any cause of the liability of any Borrower, any Loan Guarantor or any other Obligated Party, other than Payment in Full of the Guaranteed Obligations. Without limiting the generality of the foregoing, each Loan Guarantor irrevocably waives acceptance hereof, presentment, demand, protest and, to the fullest extent permitted by law, any notice not provided for herein, as well as any requirement that at any time any action be taken by any Person against any Obligated Party or any other Person. Each Loan Guarantor confirms that it is not a surety under any state law and shall not raise any such law as a defense to its obligations hereunder. The Administrative Agent may, at its election, foreclose on any Collateral held by it by one or more judicial or non-judicial sales, accept an assignment of any such Collateral in lieu of foreclosure or otherwise act or fail to act with respect to any collateral securing all or a part of the Guaranteed Obligations, compromise or adjust any part of the Guaranteed Obligations, make any other accommodation with any Obligated Party or exercise any other right or remedy available to it against any Obligated Party, without affecting or impairing in any way the liability of such Loan Guarantor under this Loan Guaranty except to the extent the Guaranteed Obligations have been Paid in Full. To the fullest extent permitted by applicable law, each Loan Guarantor waives any defense arising out of any such election even though that election may operate, pursuant to applicable law, to impair or extinguish any right of reimbursement or subrogation or other right or remedy of any Loan Guarantor against any Obligated Party or any security.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8" w:name="page169"/>
    <w:bookmarkEnd w:id="168"/>
    <w:p>
      <w:pPr>
        <w:jc w:val="both"/>
        <w:ind w:firstLine="648"/>
        <w:spacing w:after="0" w:line="263"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Rights of Subrogation</w:t>
      </w:r>
      <w:r>
        <w:rPr>
          <w:rFonts w:ascii="Arial" w:cs="Arial" w:eastAsia="Arial" w:hAnsi="Arial"/>
          <w:sz w:val="18"/>
          <w:szCs w:val="18"/>
          <w:color w:val="auto"/>
        </w:rPr>
        <w:t>. No Loan Guarantor will assert any right, claim or cause of action, including, without limitation, a claim of subrogation, contribution or indemnification, that it has against any Obligated Party or any collateral, until the Loan Parties and the Loan Guarantors have fully performed all their obligations to the Administrative Agent, the Issuing Bank and the Lenders.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Reinstatement; Stay of Acceleration</w:t>
      </w:r>
      <w:r>
        <w:rPr>
          <w:rFonts w:ascii="Arial" w:cs="Arial" w:eastAsia="Arial" w:hAnsi="Arial"/>
          <w:sz w:val="18"/>
          <w:szCs w:val="18"/>
          <w:color w:val="auto"/>
        </w:rPr>
        <w:t>. If at any time any payment of any portion of the Guaranteed Obligations (including a payment effected through exercise of a right of setoff) is rescinded, or must otherwise be restored or returned upon the insolvency, bankruptcy or reorganization of any Borrower or otherwise (including pursuant to any settlement entered into by a Secured Party in its discretion), each Loan Guarantor’s obligations under this Loan Guaranty with respect to that payment shall be reinstated at such time as though the payment had not been made and whether or not the Administrative Agent, the Issuing Bank and the Lenders are in possession of this Loan Guaranty. If acceleration of the time for payment of any of the Guaranteed Obligations is stayed upon the insolvency, bankruptcy or reorganization of any Borrower, all such amounts otherwise subject to acceleration under the terms of any agreement relating to the Guaranteed Obligations shall nonetheless be payable by the Loan Guarantors forthwith on demand by the Administrative Agent.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SECTION 10.07. </w:t>
      </w:r>
      <w:r>
        <w:rPr>
          <w:rFonts w:ascii="Arial" w:cs="Arial" w:eastAsia="Arial" w:hAnsi="Arial"/>
          <w:sz w:val="16"/>
          <w:szCs w:val="16"/>
          <w:u w:val="single" w:color="auto"/>
          <w:color w:val="auto"/>
        </w:rPr>
        <w:t>Information</w:t>
      </w:r>
      <w:r>
        <w:rPr>
          <w:rFonts w:ascii="Arial" w:cs="Arial" w:eastAsia="Arial" w:hAnsi="Arial"/>
          <w:sz w:val="16"/>
          <w:szCs w:val="16"/>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none of the Administrative Agent, the Issuing Bank or any Lender shall have any duty to advise any Loan Guarantor of information known to it regarding those circumstances or risks.</w:t>
      </w:r>
    </w:p>
    <w:p>
      <w:pPr>
        <w:spacing w:after="0" w:line="15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SECTION 10.08. </w:t>
      </w:r>
      <w:r>
        <w:rPr>
          <w:rFonts w:ascii="Arial" w:cs="Arial" w:eastAsia="Arial" w:hAnsi="Arial"/>
          <w:sz w:val="17"/>
          <w:szCs w:val="17"/>
          <w:u w:val="single" w:color="auto"/>
          <w:color w:val="auto"/>
        </w:rPr>
        <w:t>Termination</w:t>
      </w:r>
      <w:r>
        <w:rPr>
          <w:rFonts w:ascii="Arial" w:cs="Arial" w:eastAsia="Arial" w:hAnsi="Arial"/>
          <w:sz w:val="17"/>
          <w:szCs w:val="17"/>
          <w:color w:val="auto"/>
        </w:rPr>
        <w:t>. Each of the Lenders and the Issuing Bank may continue to make loans or extend credit to the Borrowers based on this Loan Guaranty until five (5) days after it receives written notice of termination from any Loan Guarantor. Notwithstanding receipt of any such notice, each Loan Guarantor will continue to be liable to the Lenders for any Guaranteed Obligations created, assumed or committed to prior to the fifth day after receipt of the notice, and all subsequent renewals, extensions, modifications and amendments with respect to, or substitutions for, all or any part of such Guaranteed Obligations. Nothing in this Section 10.08 shall be deemed to constitute a waiver of, or eliminate, limit, reduce or otherwise impair any rights or remedies the Administrative Agent or any Lender may have in respect of, any Default or Event of Default that shall exist under clause (o) of Article VII hereof as a result of any such notice of termination.</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9" w:name="page170"/>
    <w:bookmarkEnd w:id="169"/>
    <w:p>
      <w:pPr>
        <w:jc w:val="both"/>
        <w:ind w:firstLine="648"/>
        <w:spacing w:after="0" w:line="293" w:lineRule="auto"/>
        <w:rPr>
          <w:sz w:val="20"/>
          <w:szCs w:val="20"/>
          <w:color w:val="auto"/>
        </w:rPr>
      </w:pPr>
      <w:r>
        <w:rPr>
          <w:rFonts w:ascii="Arial" w:cs="Arial" w:eastAsia="Arial" w:hAnsi="Arial"/>
          <w:sz w:val="16"/>
          <w:szCs w:val="16"/>
          <w:color w:val="auto"/>
        </w:rPr>
        <w:t xml:space="preserve">SECTION 10.09. </w:t>
      </w:r>
      <w:r>
        <w:rPr>
          <w:rFonts w:ascii="Arial" w:cs="Arial" w:eastAsia="Arial" w:hAnsi="Arial"/>
          <w:sz w:val="16"/>
          <w:szCs w:val="16"/>
          <w:u w:val="single" w:color="auto"/>
          <w:color w:val="auto"/>
        </w:rPr>
        <w:t>Taxes</w:t>
      </w:r>
      <w:r>
        <w:rPr>
          <w:rFonts w:ascii="Arial" w:cs="Arial" w:eastAsia="Arial" w:hAnsi="Arial"/>
          <w:sz w:val="16"/>
          <w:szCs w:val="16"/>
          <w:color w:val="auto"/>
        </w:rPr>
        <w:t>. Each payment of the Guaranteed Obligations will be made by each Loan Guarantor without withholding for any Taxes, unless such withholding is required by law. If any Loan Guarantor determines, in its sole discretion exercised in good faith, that it is so required to withhold Taxes, then such Loan Guarantor may so withhold and shall timely pay the full amount of withheld Taxes to the relevant Governmental Authority in accordance with applicable law. If such Taxes are Indemnified Taxes, then the amount payable by such Loan Guarantor shall be increased as necessary so that, net of such withholding (including such withholding applicable to additional amounts payable under this Section), the Administrative Agent, Lender or Issuing Bank (as the case may be) receives the amount it would have received had no such withholding been made.</w:t>
      </w:r>
    </w:p>
    <w:p>
      <w:pPr>
        <w:spacing w:after="0" w:line="16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SECTION 10.10. </w:t>
      </w:r>
      <w:r>
        <w:rPr>
          <w:rFonts w:ascii="Arial" w:cs="Arial" w:eastAsia="Arial" w:hAnsi="Arial"/>
          <w:sz w:val="17"/>
          <w:szCs w:val="17"/>
          <w:u w:val="single" w:color="auto"/>
          <w:color w:val="auto"/>
        </w:rPr>
        <w:t>Maximum Liability</w:t>
      </w:r>
      <w:r>
        <w:rPr>
          <w:rFonts w:ascii="Arial" w:cs="Arial" w:eastAsia="Arial" w:hAnsi="Arial"/>
          <w:sz w:val="17"/>
          <w:szCs w:val="17"/>
          <w:color w:val="auto"/>
        </w:rPr>
        <w:t>. Notwithstanding any other provision of this Loan Guaranty, the amount guaranteed by each Loan Guarantor hereunder shall be limited to the extent, if any, required so that its obligations hereunder shall not be subject to avoidance under Section 548 of the Bankruptcy Code or under any applicable state Uniform Fraudulent Transfer Act, Uniform Fraudulent Conveyance Act, Uniform Voidable Transactions Act or similar statute or common law. In determining the limitations, if any, on the amount of any Loan Guarantor’s obligations hereunder pursuant to the preceding sentence, it is the intention of the parties hereto that any rights of subrogation, indemnification or contribution which such Loan Guarantor may have under this Loan Guaranty, any other agreement or applicable law shall be taken into account.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10.11. </w:t>
      </w:r>
      <w:r>
        <w:rPr>
          <w:rFonts w:ascii="Arial" w:cs="Arial" w:eastAsia="Arial" w:hAnsi="Arial"/>
          <w:sz w:val="18"/>
          <w:szCs w:val="18"/>
          <w:u w:val="single" w:color="auto"/>
          <w:color w:val="auto"/>
        </w:rPr>
        <w:t>Contribution</w:t>
      </w:r>
      <w:r>
        <w:rPr>
          <w:rFonts w:ascii="Arial" w:cs="Arial" w:eastAsia="Arial" w:hAnsi="Arial"/>
          <w:sz w:val="18"/>
          <w:szCs w:val="18"/>
          <w:color w:val="auto"/>
        </w:rPr>
        <w:t>.</w:t>
      </w:r>
    </w:p>
    <w:p>
      <w:pPr>
        <w:spacing w:after="0" w:line="225" w:lineRule="exact"/>
        <w:rPr>
          <w:sz w:val="20"/>
          <w:szCs w:val="20"/>
          <w:color w:val="auto"/>
        </w:rPr>
      </w:pPr>
    </w:p>
    <w:p>
      <w:pPr>
        <w:jc w:val="both"/>
        <w:ind w:firstLine="1304"/>
        <w:spacing w:after="0" w:line="253" w:lineRule="auto"/>
        <w:tabs>
          <w:tab w:leader="none" w:pos="239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To the extent that any Loan Guarantor shall make a payment under this Loan Guaranty (a “</w:t>
      </w:r>
      <w:r>
        <w:rPr>
          <w:rFonts w:ascii="Arial" w:cs="Arial" w:eastAsia="Arial" w:hAnsi="Arial"/>
          <w:sz w:val="18"/>
          <w:szCs w:val="18"/>
          <w:u w:val="single" w:color="auto"/>
          <w:color w:val="auto"/>
        </w:rPr>
        <w:t>Guarantor Payment</w:t>
      </w:r>
      <w:r>
        <w:rPr>
          <w:rFonts w:ascii="Arial" w:cs="Arial" w:eastAsia="Arial" w:hAnsi="Arial"/>
          <w:sz w:val="18"/>
          <w:szCs w:val="18"/>
          <w:color w:val="auto"/>
        </w:rPr>
        <w:t>”) which, taking into account all other Guarantor Payments then previously or concurrently made by any other Loan Guarantor, exceeds the amount which otherwise would have been paid by or attributable to such Loan Guarantor if each Loan Guarantor had paid the aggregate Guaranteed Obligations satisfied by such Guarantor Payment in the same proportion as such Loan Guarantor’s “Allocable Amount” (as defined below) (as determined immediately prior to such Guarantor Payment) bore to the aggregate Allocable Amounts of each of the Loan Guarantors as determined immediately prior to the making of such Guarantor Payment, then, following indefeasible payment in full in cash of the Guarantor Payment and Payment in Full of the Guaranteed Obligations and the termination of this Agreement, such Loan Guarantor shall be entitled to receive contribution and indemnification payments from, and be reimbursed by, each other Loan Guarantor for the amount of such excess, pro rata based upon their respective Allocable Amounts in effect immediately prior to such Guarantor Payment.</w:t>
      </w:r>
    </w:p>
    <w:p>
      <w:pPr>
        <w:spacing w:after="0" w:line="196" w:lineRule="exact"/>
        <w:rPr>
          <w:rFonts w:ascii="Arial" w:cs="Arial" w:eastAsia="Arial" w:hAnsi="Arial"/>
          <w:sz w:val="18"/>
          <w:szCs w:val="18"/>
          <w:color w:val="auto"/>
        </w:rPr>
      </w:pPr>
    </w:p>
    <w:p>
      <w:pPr>
        <w:jc w:val="both"/>
        <w:ind w:firstLine="1304"/>
        <w:spacing w:after="0" w:line="257" w:lineRule="auto"/>
        <w:tabs>
          <w:tab w:leader="none" w:pos="240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of any date of determination, the “Allocable Amount” of any Loan Guarantor shall be equal to the excess of the fair saleable value of the property of such Loan Guarantor over the total liabilities of such Loan Guarantor (including the maximum amount reasonably expected to become due in respect of contingent liabilities, calculated, without duplication, assuming each other Loan Guarantor that is also liable for such contingent liability pays its ratable share thereof), giving effect to all payments made by other Loan Guarantors as of such date in a manner to maximize the amount of such contributions.</w:t>
      </w:r>
    </w:p>
    <w:p>
      <w:pPr>
        <w:spacing w:after="0" w:line="187" w:lineRule="exact"/>
        <w:rPr>
          <w:rFonts w:ascii="Arial" w:cs="Arial" w:eastAsia="Arial" w:hAnsi="Arial"/>
          <w:sz w:val="18"/>
          <w:szCs w:val="18"/>
          <w:color w:val="auto"/>
        </w:rPr>
      </w:pPr>
    </w:p>
    <w:p>
      <w:pPr>
        <w:jc w:val="both"/>
        <w:ind w:firstLine="1304"/>
        <w:spacing w:after="0" w:line="263" w:lineRule="auto"/>
        <w:tabs>
          <w:tab w:leader="none" w:pos="225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This Section 10.11 is intended only to define the relative rights of the Loan Guarantors, and nothing set forth in this Section 10.11 is intended to or shall impair the obligations of the Loan Guarantors, jointly and severally, to pay any amounts as and when the same shall become due and payable in accordance with the terms of this Loan Guaranty.</w:t>
      </w:r>
    </w:p>
    <w:p>
      <w:pPr>
        <w:spacing w:after="0" w:line="183" w:lineRule="exact"/>
        <w:rPr>
          <w:rFonts w:ascii="Arial" w:cs="Arial" w:eastAsia="Arial" w:hAnsi="Arial"/>
          <w:sz w:val="18"/>
          <w:szCs w:val="18"/>
          <w:color w:val="auto"/>
        </w:rPr>
      </w:pPr>
    </w:p>
    <w:p>
      <w:pPr>
        <w:ind w:firstLine="1304"/>
        <w:spacing w:after="0" w:line="277" w:lineRule="auto"/>
        <w:tabs>
          <w:tab w:leader="none" w:pos="2347"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parties hereto acknowledge that the rights of contribution and indemnification hereunder shall constitute assets of the Loan Guarantor or Loan Guarantors to which such contribution and indemnification is owing.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0" w:name="page171"/>
    <w:bookmarkEnd w:id="170"/>
    <w:p>
      <w:pPr>
        <w:ind w:right="20" w:firstLine="1304"/>
        <w:spacing w:after="0" w:line="277" w:lineRule="auto"/>
        <w:tabs>
          <w:tab w:leader="none" w:pos="2242"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rights of the indemnifying Loan Guarantors against other Loan Guarantors under this Section 10.11 shall be exercisable upon Payment in Full of the Guaranteed Obligations and the termination of this Agreement.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Liability Cumulative</w:t>
      </w:r>
      <w:r>
        <w:rPr>
          <w:rFonts w:ascii="Arial" w:cs="Arial" w:eastAsia="Arial" w:hAnsi="Arial"/>
          <w:sz w:val="17"/>
          <w:szCs w:val="17"/>
          <w:color w:val="auto"/>
        </w:rPr>
        <w:t>. The liability of each Loan Party as a Loan Guarantor under this Article X is in addition to and shall be cumulative with all liabilities of each Loan Party to the Administrative Agent, the Issuing Bank and the Lenders under this Agreement and the other Loan Documents to which such Loan Party is a party or in respect of any obligations or liabilities of the other Loan Parties, without any limitation as to amount, unless the instrument or agreement evidencing or creating such other liability specifically provides to the contrary.</w:t>
      </w:r>
    </w:p>
    <w:p>
      <w:pPr>
        <w:spacing w:after="0" w:line="17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SECTION 10.13. </w:t>
      </w:r>
      <w:r>
        <w:rPr>
          <w:rFonts w:ascii="Arial" w:cs="Arial" w:eastAsia="Arial" w:hAnsi="Arial"/>
          <w:sz w:val="16"/>
          <w:szCs w:val="16"/>
          <w:u w:val="single" w:color="auto"/>
          <w:color w:val="auto"/>
        </w:rPr>
        <w:t>Keepwell</w:t>
      </w:r>
      <w:r>
        <w:rPr>
          <w:rFonts w:ascii="Arial" w:cs="Arial" w:eastAsia="Arial" w:hAnsi="Arial"/>
          <w:sz w:val="16"/>
          <w:szCs w:val="16"/>
          <w:color w:val="auto"/>
        </w:rPr>
        <w:t>. Each Qualified ECP Guarantor hereby jointly and severally absolutely, unconditionally and irrevocably undertakes to provide such funds or other support as may be needed from time to time by each other Loan Party to honor all of its obligations under this Guarantee in respect of a Swap Obligation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Qualified ECP Guarantor shall only be liable under this Section 10.13 for the maximum amount of such liability that can be hereby incurred without rendering its obligations under this Section 10.13 or otherwise under this Loan Guaranty voidable under applicable law relating to fraudulent conveyance or fraudulent transfer, and not for any greater amount). Except as otherwise provided herein, the obligations of each Qualified ECP Guarantor under this Section 10.13 shall remain in full force and effect until the termination of all Swap Obligations. Each Qualified ECP Guarantor intends that this Section 10.13 constitute, and this Section 10.13 shall be deemed to constitute, a “keepwell, support, or other agreement” for the benefit of each other Loan Party for all purposes of Section 1a(18)(A)(v)(II) of the Commodity Exchange Act.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BORROWER REPRESENTATIVE</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SECTION 11.01. </w:t>
      </w:r>
      <w:r>
        <w:rPr>
          <w:rFonts w:ascii="Arial" w:cs="Arial" w:eastAsia="Arial" w:hAnsi="Arial"/>
          <w:sz w:val="17"/>
          <w:szCs w:val="17"/>
          <w:u w:val="single" w:color="auto"/>
          <w:color w:val="auto"/>
        </w:rPr>
        <w:t>Appointment; Nature of Relationship</w:t>
      </w:r>
      <w:r>
        <w:rPr>
          <w:rFonts w:ascii="Arial" w:cs="Arial" w:eastAsia="Arial" w:hAnsi="Arial"/>
          <w:sz w:val="17"/>
          <w:szCs w:val="17"/>
          <w:color w:val="auto"/>
        </w:rPr>
        <w:t>. The Company is hereby appointed by each of the Borrowers as its contractual representative (herein referred to as the “</w:t>
      </w:r>
      <w:r>
        <w:rPr>
          <w:rFonts w:ascii="Arial" w:cs="Arial" w:eastAsia="Arial" w:hAnsi="Arial"/>
          <w:sz w:val="17"/>
          <w:szCs w:val="17"/>
          <w:u w:val="single" w:color="auto"/>
          <w:color w:val="auto"/>
        </w:rPr>
        <w:t>Borrower Representative</w:t>
      </w:r>
      <w:r>
        <w:rPr>
          <w:rFonts w:ascii="Arial" w:cs="Arial" w:eastAsia="Arial" w:hAnsi="Arial"/>
          <w:sz w:val="17"/>
          <w:szCs w:val="17"/>
          <w:color w:val="auto"/>
        </w:rPr>
        <w:t xml:space="preserve">”) hereunder and under each other Loan Document, and each of the Borrowers irrevocably authorizes the Borrower Representative to act as the contractual representative of such Borrower with the rights and duties expressly set forth herein and in the other Loan Documents. The Borrower Representative agrees to act as such contractual representative upon the express conditions contained in this Article XI. Additionally, the Borrowers hereby appoint the Borrower Representative as their agent to receive all of the proceeds of the Loans in the Funding Account, at which time the Borrower Representative shall promptly disburse such Loans to the appropriate Borrower(s),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 Revolving Loan, such amount shall not exceed Availability. The Administrative Agent and the Lenders, and their respective officers, directors, agents or employees, shall not be liable to the Borrower Representative or any Borrower for any action taken or omitted to be taken by the Borrower Representative or the Borrowers pursuant to this Section 11.01.</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Powers</w:t>
      </w:r>
      <w:r>
        <w:rPr>
          <w:rFonts w:ascii="Arial" w:cs="Arial" w:eastAsia="Arial" w:hAnsi="Arial"/>
          <w:sz w:val="18"/>
          <w:szCs w:val="18"/>
          <w:color w:val="auto"/>
        </w:rPr>
        <w:t>. The Borrower Representative shall have and may exercise such powers under the Loan Documents as are specifically delegated to the Borrower Representative by the terms of each thereof, together with such powers as are reasonably incidental thereto. The Borrower Representative shall have no implied duties to the Borrowers, or any obligation to the Lenders to take any action thereunder except any action specifically provided by the Loan Documents to be taken by the Borrower Representative.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Employment of Agents</w:t>
      </w:r>
      <w:r>
        <w:rPr>
          <w:rFonts w:ascii="Arial" w:cs="Arial" w:eastAsia="Arial" w:hAnsi="Arial"/>
          <w:sz w:val="18"/>
          <w:szCs w:val="18"/>
          <w:color w:val="auto"/>
        </w:rPr>
        <w:t>. The Borrower Representative may execute any of its duties as the Borrower Representative hereunder and under any other Loan Document by or through authorized officers.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1" w:name="page172"/>
    <w:bookmarkEnd w:id="171"/>
    <w:p>
      <w:pPr>
        <w:jc w:val="both"/>
        <w:ind w:firstLine="648"/>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Notices</w:t>
      </w:r>
      <w:r>
        <w:rPr>
          <w:rFonts w:ascii="Arial" w:cs="Arial" w:eastAsia="Arial" w:hAnsi="Arial"/>
          <w:sz w:val="18"/>
          <w:szCs w:val="18"/>
          <w:color w:val="auto"/>
        </w:rPr>
        <w:t>. Each Borrower shall immediately notify the Borrower Representative of the occurrence of any Default or Event of Default hereunder referring to this Agreement describing such Default or Event of Default and stating that such notice is a “notice of default”. In the event that the Borrower Representative receives such a notice, the Borrower Representative shall give prompt notice thereof to the Administrative Agent and the Lenders. Any notice provided to the Borrower Representative hereunder shall constitute notice to each Borrower on the date received by the Borrower Representative.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u w:val="single" w:color="auto"/>
          <w:color w:val="auto"/>
        </w:rPr>
        <w:t>Successor Borrower Representative</w:t>
      </w:r>
      <w:r>
        <w:rPr>
          <w:rFonts w:ascii="Arial" w:cs="Arial" w:eastAsia="Arial" w:hAnsi="Arial"/>
          <w:sz w:val="18"/>
          <w:szCs w:val="18"/>
          <w:color w:val="auto"/>
        </w:rPr>
        <w:t>. Upon the prior written consent of the Administrative Agent, the Borrower Representative may resign at any time, such resignation to be effective upon the appointment of a successor Borrower Representative. The Administrative Agent shall give prompt written notice of such resignation to the Lenders.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u w:val="single" w:color="auto"/>
          <w:color w:val="auto"/>
        </w:rPr>
        <w:t>Execution of Loan Documents; Borrowing Base Certificate</w:t>
      </w:r>
      <w:r>
        <w:rPr>
          <w:rFonts w:ascii="Arial" w:cs="Arial" w:eastAsia="Arial" w:hAnsi="Arial"/>
          <w:sz w:val="16"/>
          <w:szCs w:val="16"/>
          <w:color w:val="auto"/>
        </w:rPr>
        <w:t>. The Borrowers hereby empower and authorize the Borrower Representative, on behalf of the Borrowers, to execute and deliver to the Administrative Agent and the Lenders the Loan Documents and all related agreements, certificates, documents, or instruments as shall be necessary or appropriate to effect the purposes of the Loan Documents, including, without limitation, the Borrowing Base Certificates and the Compliance Certificates. Each Borrower agrees that any action taken by the Borrower Representative or the Borrowers in accordance with the terms of this Agreement or the other Loan Documents, and the exercise by the Borrower Representative of its powers set forth therein or herein, together with such other powers that are reasonably incidental thereto, shall be binding upon all of the Borrowers.</w:t>
      </w:r>
    </w:p>
    <w:p>
      <w:pPr>
        <w:spacing w:after="0" w:line="16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Reporting</w:t>
      </w:r>
      <w:r>
        <w:rPr>
          <w:rFonts w:ascii="Arial" w:cs="Arial" w:eastAsia="Arial" w:hAnsi="Arial"/>
          <w:sz w:val="18"/>
          <w:szCs w:val="18"/>
          <w:color w:val="auto"/>
        </w:rPr>
        <w:t>. Each Borrower hereby agrees that such Borrower shall furnish promptly after each fiscal month to the Borrower Representative a copy of its Borrowing Base Certificate and any other certificate or report required hereunder or requested by the Borrower Representative on which the Borrower Representative shall rely to prepare the Borrowing Base Certificates and Compliance Certificate required pursuant to the provisions of this Agreement.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72" w:name="page173"/>
    <w:bookmarkEnd w:id="172"/>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duly executed and delivered by their respective authorized officers as of the day and year first above written.</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By:_____________________________</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OTHER LOAN PARTIES</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 MARKETING SOLUTION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California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By:_____________________________</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GLOBAL PRODUCT MARKETING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 Nevada corporation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By:_____________________________</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3" w:name="page174"/>
    <w:bookmarkEnd w:id="173"/>
    <w:p>
      <w:pPr>
        <w:ind w:left="4500"/>
        <w:spacing w:after="0" w:line="277" w:lineRule="auto"/>
        <w:rPr>
          <w:sz w:val="20"/>
          <w:szCs w:val="20"/>
          <w:color w:val="auto"/>
        </w:rPr>
      </w:pPr>
      <w:r>
        <w:rPr>
          <w:rFonts w:ascii="Arial" w:cs="Arial" w:eastAsia="Arial" w:hAnsi="Arial"/>
          <w:sz w:val="18"/>
          <w:szCs w:val="18"/>
          <w:color w:val="auto"/>
        </w:rPr>
        <w:t>JPMORGAN CHASE BANK, N.A., individually and as Administrative Agent, Issuing Bank and Swingline Lender</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By:_______________________________</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680"/>
          </w:cols>
          <w:pgMar w:left="1440" w:top="1232" w:right="779" w:bottom="1440" w:gutter="0" w:footer="0" w:header="0"/>
        </w:sectPr>
      </w:pPr>
    </w:p>
    <w:bookmarkStart w:id="174" w:name="page175"/>
    <w:bookmarkEnd w:id="174"/>
    <w:tbl>
      <w:tblPr>
        <w:tblLayout w:type="fixed"/>
        <w:tblInd w:w="1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6840" w:type="dxa"/>
            <w:vAlign w:val="bottom"/>
            <w:gridSpan w:val="4"/>
          </w:tcPr>
          <w:p>
            <w:pPr>
              <w:ind w:left="100"/>
              <w:spacing w:after="0"/>
              <w:rPr>
                <w:sz w:val="20"/>
                <w:szCs w:val="20"/>
                <w:color w:val="auto"/>
              </w:rPr>
            </w:pPr>
            <w:r>
              <w:rPr>
                <w:rFonts w:ascii="Arial" w:cs="Arial" w:eastAsia="Arial" w:hAnsi="Arial"/>
                <w:sz w:val="18"/>
                <w:szCs w:val="18"/>
                <w:color w:val="auto"/>
              </w:rPr>
              <w:t>COMMITMENT SCHEDULE</w:t>
            </w:r>
          </w:p>
        </w:tc>
      </w:tr>
      <w:tr>
        <w:trPr>
          <w:trHeight w:val="237"/>
        </w:trPr>
        <w:tc>
          <w:tcPr>
            <w:tcW w:w="4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500" w:type="dxa"/>
            <w:vAlign w:val="bottom"/>
            <w:tcBorders>
              <w:bottom w:val="single" w:sz="8" w:color="auto"/>
            </w:tcBorders>
          </w:tcPr>
          <w:p>
            <w:pPr>
              <w:spacing w:after="0"/>
              <w:rPr>
                <w:sz w:val="20"/>
                <w:szCs w:val="20"/>
                <w:color w:val="auto"/>
              </w:rPr>
            </w:pPr>
          </w:p>
        </w:tc>
      </w:tr>
      <w:tr>
        <w:trPr>
          <w:trHeight w:val="228"/>
        </w:trPr>
        <w:tc>
          <w:tcPr>
            <w:tcW w:w="4400" w:type="dxa"/>
            <w:vAlign w:val="bottom"/>
            <w:tcBorders>
              <w:left w:val="single" w:sz="8" w:color="auto"/>
            </w:tcBorders>
          </w:tcPr>
          <w:p>
            <w:pPr>
              <w:jc w:val="center"/>
              <w:ind w:left="2030"/>
              <w:spacing w:after="0"/>
              <w:rPr>
                <w:sz w:val="20"/>
                <w:szCs w:val="20"/>
                <w:color w:val="auto"/>
              </w:rPr>
            </w:pPr>
            <w:r>
              <w:rPr>
                <w:rFonts w:ascii="Arial" w:cs="Arial" w:eastAsia="Arial" w:hAnsi="Arial"/>
                <w:sz w:val="18"/>
                <w:szCs w:val="18"/>
                <w:b w:val="1"/>
                <w:bCs w:val="1"/>
                <w:color w:val="auto"/>
                <w:w w:val="93"/>
              </w:rPr>
              <w:t>Lender</w:t>
            </w:r>
          </w:p>
        </w:tc>
        <w:tc>
          <w:tcPr>
            <w:tcW w:w="1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50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1"/>
              </w:rPr>
              <w:t>Revolving Commitment</w:t>
            </w:r>
          </w:p>
        </w:tc>
      </w:tr>
      <w:tr>
        <w:trPr>
          <w:trHeight w:val="630"/>
        </w:trPr>
        <w:tc>
          <w:tcPr>
            <w:tcW w:w="4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r>
      <w:tr>
        <w:trPr>
          <w:trHeight w:val="224"/>
        </w:trPr>
        <w:tc>
          <w:tcPr>
            <w:tcW w:w="4400" w:type="dxa"/>
            <w:vAlign w:val="bottom"/>
            <w:tcBorders>
              <w:left w:val="single" w:sz="8" w:color="auto"/>
            </w:tcBorders>
          </w:tcPr>
          <w:p>
            <w:pPr>
              <w:jc w:val="center"/>
              <w:ind w:left="2050"/>
              <w:spacing w:after="0"/>
              <w:rPr>
                <w:sz w:val="20"/>
                <w:szCs w:val="20"/>
                <w:color w:val="auto"/>
              </w:rPr>
            </w:pPr>
            <w:r>
              <w:rPr>
                <w:rFonts w:ascii="Arial" w:cs="Arial" w:eastAsia="Arial" w:hAnsi="Arial"/>
                <w:sz w:val="18"/>
                <w:szCs w:val="18"/>
                <w:color w:val="auto"/>
                <w:w w:val="91"/>
              </w:rPr>
              <w:t>JPMorgan Chase Bank, N.A.</w:t>
            </w:r>
          </w:p>
        </w:tc>
        <w:tc>
          <w:tcPr>
            <w:tcW w:w="1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47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$25,000,000</w:t>
            </w:r>
          </w:p>
        </w:tc>
      </w:tr>
      <w:tr>
        <w:trPr>
          <w:trHeight w:val="634"/>
        </w:trPr>
        <w:tc>
          <w:tcPr>
            <w:tcW w:w="4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r>
      <w:tr>
        <w:trPr>
          <w:trHeight w:val="228"/>
        </w:trPr>
        <w:tc>
          <w:tcPr>
            <w:tcW w:w="4400" w:type="dxa"/>
            <w:vAlign w:val="bottom"/>
            <w:tcBorders>
              <w:left w:val="single" w:sz="8" w:color="auto"/>
            </w:tcBorders>
          </w:tcPr>
          <w:p>
            <w:pPr>
              <w:jc w:val="center"/>
              <w:ind w:left="2050"/>
              <w:spacing w:after="0"/>
              <w:rPr>
                <w:sz w:val="20"/>
                <w:szCs w:val="20"/>
                <w:color w:val="auto"/>
              </w:rPr>
            </w:pPr>
            <w:r>
              <w:rPr>
                <w:rFonts w:ascii="Arial" w:cs="Arial" w:eastAsia="Arial" w:hAnsi="Arial"/>
                <w:sz w:val="18"/>
                <w:szCs w:val="18"/>
                <w:b w:val="1"/>
                <w:bCs w:val="1"/>
                <w:color w:val="auto"/>
                <w:w w:val="88"/>
              </w:rPr>
              <w:t>Total</w:t>
            </w:r>
          </w:p>
        </w:tc>
        <w:tc>
          <w:tcPr>
            <w:tcW w:w="100" w:type="dxa"/>
            <w:vAlign w:val="bottom"/>
          </w:tcPr>
          <w:p>
            <w:pPr>
              <w:spacing w:after="0"/>
              <w:rPr>
                <w:sz w:val="19"/>
                <w:szCs w:val="19"/>
                <w:color w:val="auto"/>
              </w:rPr>
            </w:pPr>
          </w:p>
        </w:tc>
        <w:tc>
          <w:tcPr>
            <w:tcW w:w="2040" w:type="dxa"/>
            <w:vAlign w:val="bottom"/>
            <w:tcBorders>
              <w:right w:val="single" w:sz="8" w:color="auto"/>
            </w:tcBorders>
          </w:tcPr>
          <w:p>
            <w:pPr>
              <w:spacing w:after="0"/>
              <w:rPr>
                <w:sz w:val="19"/>
                <w:szCs w:val="19"/>
                <w:color w:val="auto"/>
              </w:rPr>
            </w:pPr>
          </w:p>
        </w:tc>
        <w:tc>
          <w:tcPr>
            <w:tcW w:w="47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$25,000,000</w:t>
            </w:r>
          </w:p>
        </w:tc>
      </w:tr>
      <w:tr>
        <w:trPr>
          <w:trHeight w:val="630"/>
        </w:trPr>
        <w:tc>
          <w:tcPr>
            <w:tcW w:w="440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00" w:type="dxa"/>
            <w:vAlign w:val="bottom"/>
            <w:tcBorders>
              <w:bottom w:val="single" w:sz="8" w:color="auto"/>
              <w:right w:val="single" w:sz="8" w:color="auto"/>
            </w:tcBorders>
          </w:tcPr>
          <w:p>
            <w:pPr>
              <w:spacing w:after="0"/>
              <w:rPr>
                <w:sz w:val="24"/>
                <w:szCs w:val="24"/>
                <w:color w:val="auto"/>
              </w:rPr>
            </w:pPr>
          </w:p>
        </w:tc>
      </w:tr>
      <w:tr>
        <w:trPr>
          <w:trHeight w:val="749"/>
        </w:trPr>
        <w:tc>
          <w:tcPr>
            <w:tcW w:w="4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83"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Assignment and Assumption (the “</w:t>
      </w:r>
      <w:r>
        <w:rPr>
          <w:rFonts w:ascii="Arial" w:cs="Arial" w:eastAsia="Arial" w:hAnsi="Arial"/>
          <w:sz w:val="16"/>
          <w:szCs w:val="16"/>
          <w:u w:val="single" w:color="auto"/>
          <w:color w:val="auto"/>
        </w:rPr>
        <w:t>Assignment and Assumption</w:t>
      </w:r>
      <w:r>
        <w:rPr>
          <w:rFonts w:ascii="Arial" w:cs="Arial" w:eastAsia="Arial" w:hAnsi="Arial"/>
          <w:sz w:val="16"/>
          <w:szCs w:val="16"/>
          <w:color w:val="auto"/>
        </w:rPr>
        <w:t>”) is dated as of the Effective Date set forth below and is entered into by and between [</w:t>
      </w:r>
      <w:r>
        <w:rPr>
          <w:rFonts w:ascii="Arial" w:cs="Arial" w:eastAsia="Arial" w:hAnsi="Arial"/>
          <w:sz w:val="16"/>
          <w:szCs w:val="16"/>
          <w:i w:val="1"/>
          <w:iCs w:val="1"/>
          <w:color w:val="auto"/>
        </w:rPr>
        <w:t>Insert name of Assignor</w:t>
      </w:r>
      <w:r>
        <w:rPr>
          <w:rFonts w:ascii="Arial" w:cs="Arial" w:eastAsia="Arial" w:hAnsi="Arial"/>
          <w:sz w:val="16"/>
          <w:szCs w:val="16"/>
          <w:color w:val="auto"/>
        </w:rPr>
        <w:t>] (the “</w:t>
      </w:r>
      <w:r>
        <w:rPr>
          <w:rFonts w:ascii="Arial" w:cs="Arial" w:eastAsia="Arial" w:hAnsi="Arial"/>
          <w:sz w:val="16"/>
          <w:szCs w:val="16"/>
          <w:u w:val="single" w:color="auto"/>
          <w:color w:val="auto"/>
        </w:rPr>
        <w:t>Assignor</w:t>
      </w:r>
      <w:r>
        <w:rPr>
          <w:rFonts w:ascii="Arial" w:cs="Arial" w:eastAsia="Arial" w:hAnsi="Arial"/>
          <w:sz w:val="16"/>
          <w:szCs w:val="16"/>
          <w:color w:val="auto"/>
        </w:rPr>
        <w:t>”) and [</w:t>
      </w:r>
      <w:r>
        <w:rPr>
          <w:rFonts w:ascii="Arial" w:cs="Arial" w:eastAsia="Arial" w:hAnsi="Arial"/>
          <w:sz w:val="16"/>
          <w:szCs w:val="16"/>
          <w:i w:val="1"/>
          <w:iCs w:val="1"/>
          <w:color w:val="auto"/>
        </w:rPr>
        <w:t>Insert name of Assignee</w:t>
      </w:r>
      <w:r>
        <w:rPr>
          <w:rFonts w:ascii="Arial" w:cs="Arial" w:eastAsia="Arial" w:hAnsi="Arial"/>
          <w:sz w:val="16"/>
          <w:szCs w:val="16"/>
          <w:color w:val="auto"/>
        </w:rPr>
        <w:t>] (the “</w:t>
      </w:r>
      <w:r>
        <w:rPr>
          <w:rFonts w:ascii="Arial" w:cs="Arial" w:eastAsia="Arial" w:hAnsi="Arial"/>
          <w:sz w:val="16"/>
          <w:szCs w:val="16"/>
          <w:u w:val="single" w:color="auto"/>
          <w:color w:val="auto"/>
        </w:rPr>
        <w:t>Assignee</w:t>
      </w:r>
      <w:r>
        <w:rPr>
          <w:rFonts w:ascii="Arial" w:cs="Arial" w:eastAsia="Arial" w:hAnsi="Arial"/>
          <w:sz w:val="16"/>
          <w:szCs w:val="16"/>
          <w:color w:val="auto"/>
        </w:rPr>
        <w:t>”). Capitalized terms used but not defined herein shall have the meanings given to them in the Credit Agreement identified below (as amended,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6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as contemplated below, (i)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any letters of credit, guarantees and swingline loans included in such facilities) and (ii) to the extent permitted to be assigned under applicable law, all claims, suits, causes of action and other rights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(i) above (the rights and obligations sold and assigned pursuant to clauses (i) and (ii) above being referred to herein collectively as the “Assigned Interest”). Such sale and assignment is without recourse to the Assignor and, except as expressly provided in this Assignment and Assumption, without representation or warranty by the Assignor.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1.</w:t>
            </w:r>
          </w:p>
        </w:tc>
        <w:tc>
          <w:tcPr>
            <w:tcW w:w="2540" w:type="dxa"/>
            <w:vAlign w:val="bottom"/>
          </w:tcPr>
          <w:p>
            <w:pPr>
              <w:ind w:left="320"/>
              <w:spacing w:after="0"/>
              <w:rPr>
                <w:sz w:val="20"/>
                <w:szCs w:val="20"/>
                <w:color w:val="auto"/>
              </w:rPr>
            </w:pPr>
            <w:r>
              <w:rPr>
                <w:rFonts w:ascii="Arial" w:cs="Arial" w:eastAsia="Arial" w:hAnsi="Arial"/>
                <w:sz w:val="18"/>
                <w:szCs w:val="18"/>
                <w:color w:val="auto"/>
              </w:rPr>
              <w:t>Assignor:</w:t>
            </w:r>
          </w:p>
        </w:tc>
        <w:tc>
          <w:tcPr>
            <w:tcW w:w="8220" w:type="dxa"/>
            <w:vAlign w:val="bottom"/>
          </w:tcPr>
          <w:p>
            <w:pPr>
              <w:ind w:left="600"/>
              <w:spacing w:after="0"/>
              <w:rPr>
                <w:sz w:val="20"/>
                <w:szCs w:val="20"/>
                <w:color w:val="auto"/>
              </w:rPr>
            </w:pPr>
            <w:r>
              <w:rPr>
                <w:rFonts w:ascii="Arial" w:cs="Arial" w:eastAsia="Arial" w:hAnsi="Arial"/>
                <w:sz w:val="18"/>
                <w:szCs w:val="18"/>
                <w:color w:val="auto"/>
              </w:rPr>
              <w:t>___________________________________</w:t>
            </w:r>
          </w:p>
        </w:tc>
      </w:tr>
      <w:tr>
        <w:trPr>
          <w:trHeight w:val="421"/>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2.</w:t>
            </w:r>
          </w:p>
        </w:tc>
        <w:tc>
          <w:tcPr>
            <w:tcW w:w="2540" w:type="dxa"/>
            <w:vAlign w:val="bottom"/>
          </w:tcPr>
          <w:p>
            <w:pPr>
              <w:ind w:left="320"/>
              <w:spacing w:after="0"/>
              <w:rPr>
                <w:sz w:val="20"/>
                <w:szCs w:val="20"/>
                <w:color w:val="auto"/>
              </w:rPr>
            </w:pPr>
            <w:r>
              <w:rPr>
                <w:rFonts w:ascii="Arial" w:cs="Arial" w:eastAsia="Arial" w:hAnsi="Arial"/>
                <w:sz w:val="18"/>
                <w:szCs w:val="18"/>
                <w:color w:val="auto"/>
              </w:rPr>
              <w:t>Assignee:</w:t>
            </w:r>
          </w:p>
        </w:tc>
        <w:tc>
          <w:tcPr>
            <w:tcW w:w="8220" w:type="dxa"/>
            <w:vAlign w:val="bottom"/>
          </w:tcPr>
          <w:p>
            <w:pPr>
              <w:ind w:left="600"/>
              <w:spacing w:after="0"/>
              <w:rPr>
                <w:sz w:val="20"/>
                <w:szCs w:val="20"/>
                <w:color w:val="auto"/>
              </w:rPr>
            </w:pPr>
            <w:r>
              <w:rPr>
                <w:rFonts w:ascii="Arial" w:cs="Arial" w:eastAsia="Arial" w:hAnsi="Arial"/>
                <w:sz w:val="18"/>
                <w:szCs w:val="18"/>
                <w:color w:val="auto"/>
              </w:rPr>
              <w:t>___________________________________</w:t>
            </w:r>
          </w:p>
        </w:tc>
      </w:tr>
      <w:tr>
        <w:trPr>
          <w:trHeight w:val="390"/>
        </w:trPr>
        <w:tc>
          <w:tcPr>
            <w:tcW w:w="4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220" w:type="dxa"/>
            <w:vAlign w:val="bottom"/>
          </w:tcPr>
          <w:p>
            <w:pPr>
              <w:ind w:left="600"/>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29"/>
                <w:szCs w:val="29"/>
                <w:color w:val="auto"/>
                <w:vertAlign w:val="superscript"/>
              </w:rPr>
              <w:t>[1]</w:t>
            </w:r>
            <w:r>
              <w:rPr>
                <w:rFonts w:ascii="Arial" w:cs="Arial" w:eastAsia="Arial" w:hAnsi="Arial"/>
                <w:sz w:val="18"/>
                <w:szCs w:val="18"/>
                <w:color w:val="auto"/>
              </w:rPr>
              <w:t>]</w:t>
            </w:r>
          </w:p>
        </w:tc>
      </w:tr>
      <w:tr>
        <w:trPr>
          <w:trHeight w:val="309"/>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3.</w:t>
            </w:r>
          </w:p>
        </w:tc>
        <w:tc>
          <w:tcPr>
            <w:tcW w:w="2540" w:type="dxa"/>
            <w:vAlign w:val="bottom"/>
          </w:tcPr>
          <w:p>
            <w:pPr>
              <w:ind w:left="320"/>
              <w:spacing w:after="0"/>
              <w:rPr>
                <w:sz w:val="20"/>
                <w:szCs w:val="20"/>
                <w:color w:val="auto"/>
              </w:rPr>
            </w:pPr>
            <w:r>
              <w:rPr>
                <w:rFonts w:ascii="Arial" w:cs="Arial" w:eastAsia="Arial" w:hAnsi="Arial"/>
                <w:sz w:val="18"/>
                <w:szCs w:val="18"/>
                <w:color w:val="auto"/>
              </w:rPr>
              <w:t>Borrowers:</w:t>
            </w:r>
          </w:p>
        </w:tc>
        <w:tc>
          <w:tcPr>
            <w:tcW w:w="8220" w:type="dxa"/>
            <w:vAlign w:val="bottom"/>
          </w:tcPr>
          <w:p>
            <w:pPr>
              <w:ind w:left="600"/>
              <w:spacing w:after="0"/>
              <w:rPr>
                <w:sz w:val="20"/>
                <w:szCs w:val="20"/>
                <w:color w:val="auto"/>
              </w:rPr>
            </w:pPr>
            <w:r>
              <w:rPr>
                <w:rFonts w:ascii="Arial" w:cs="Arial" w:eastAsia="Arial" w:hAnsi="Arial"/>
                <w:sz w:val="18"/>
                <w:szCs w:val="18"/>
                <w:color w:val="auto"/>
              </w:rPr>
              <w:t>iPower Inc. (the “Company”) and certain Subsidiaries of the Company party thereto</w:t>
            </w:r>
          </w:p>
        </w:tc>
      </w:tr>
      <w:tr>
        <w:trPr>
          <w:trHeight w:val="432"/>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4.</w:t>
            </w:r>
          </w:p>
        </w:tc>
        <w:tc>
          <w:tcPr>
            <w:tcW w:w="2540" w:type="dxa"/>
            <w:vAlign w:val="bottom"/>
          </w:tcPr>
          <w:p>
            <w:pPr>
              <w:ind w:left="320"/>
              <w:spacing w:after="0"/>
              <w:rPr>
                <w:sz w:val="20"/>
                <w:szCs w:val="20"/>
                <w:color w:val="auto"/>
              </w:rPr>
            </w:pPr>
            <w:r>
              <w:rPr>
                <w:rFonts w:ascii="Arial" w:cs="Arial" w:eastAsia="Arial" w:hAnsi="Arial"/>
                <w:sz w:val="18"/>
                <w:szCs w:val="18"/>
                <w:color w:val="auto"/>
              </w:rPr>
              <w:t>Administrative Agent:</w:t>
            </w:r>
          </w:p>
        </w:tc>
        <w:tc>
          <w:tcPr>
            <w:tcW w:w="8220" w:type="dxa"/>
            <w:vAlign w:val="bottom"/>
          </w:tcPr>
          <w:p>
            <w:pPr>
              <w:ind w:left="600"/>
              <w:spacing w:after="0"/>
              <w:rPr>
                <w:sz w:val="20"/>
                <w:szCs w:val="20"/>
                <w:color w:val="auto"/>
              </w:rPr>
            </w:pPr>
            <w:r>
              <w:rPr>
                <w:rFonts w:ascii="Arial" w:cs="Arial" w:eastAsia="Arial" w:hAnsi="Arial"/>
                <w:sz w:val="18"/>
                <w:szCs w:val="18"/>
                <w:color w:val="auto"/>
              </w:rPr>
              <w:t>JPMorgan Chase Bank, N.A., as the administrative agent under the Credit Agreement</w:t>
            </w:r>
          </w:p>
        </w:tc>
      </w:tr>
      <w:tr>
        <w:trPr>
          <w:trHeight w:val="418"/>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5.</w:t>
            </w:r>
          </w:p>
        </w:tc>
        <w:tc>
          <w:tcPr>
            <w:tcW w:w="2540" w:type="dxa"/>
            <w:vAlign w:val="bottom"/>
          </w:tcPr>
          <w:p>
            <w:pPr>
              <w:ind w:left="320"/>
              <w:spacing w:after="0"/>
              <w:rPr>
                <w:sz w:val="20"/>
                <w:szCs w:val="20"/>
                <w:color w:val="auto"/>
              </w:rPr>
            </w:pPr>
            <w:r>
              <w:rPr>
                <w:rFonts w:ascii="Arial" w:cs="Arial" w:eastAsia="Arial" w:hAnsi="Arial"/>
                <w:sz w:val="18"/>
                <w:szCs w:val="18"/>
                <w:color w:val="auto"/>
              </w:rPr>
              <w:t>Credit Agreement</w:t>
            </w:r>
          </w:p>
        </w:tc>
        <w:tc>
          <w:tcPr>
            <w:tcW w:w="8220" w:type="dxa"/>
            <w:vAlign w:val="bottom"/>
          </w:tcPr>
          <w:p>
            <w:pPr>
              <w:ind w:left="600"/>
              <w:spacing w:after="0"/>
              <w:rPr>
                <w:sz w:val="20"/>
                <w:szCs w:val="20"/>
                <w:color w:val="auto"/>
              </w:rPr>
            </w:pPr>
            <w:r>
              <w:rPr>
                <w:rFonts w:ascii="Arial" w:cs="Arial" w:eastAsia="Arial" w:hAnsi="Arial"/>
                <w:sz w:val="18"/>
                <w:szCs w:val="18"/>
                <w:color w:val="auto"/>
                <w:w w:val="91"/>
              </w:rPr>
              <w:t>[The [</w:t>
            </w:r>
            <w:r>
              <w:rPr>
                <w:rFonts w:ascii="Arial" w:cs="Arial" w:eastAsia="Arial" w:hAnsi="Arial"/>
                <w:sz w:val="18"/>
                <w:szCs w:val="18"/>
                <w:i w:val="1"/>
                <w:iCs w:val="1"/>
                <w:color w:val="auto"/>
                <w:w w:val="91"/>
              </w:rPr>
              <w:t>amount</w:t>
            </w:r>
            <w:r>
              <w:rPr>
                <w:rFonts w:ascii="Arial" w:cs="Arial" w:eastAsia="Arial" w:hAnsi="Arial"/>
                <w:sz w:val="18"/>
                <w:szCs w:val="18"/>
                <w:color w:val="auto"/>
                <w:w w:val="91"/>
              </w:rPr>
              <w:t>] Credit Agreement dated as of November 12, 2021 among the Borrowers identified above,</w:t>
            </w:r>
          </w:p>
        </w:tc>
      </w:tr>
      <w:tr>
        <w:trPr>
          <w:trHeight w:val="216"/>
        </w:trPr>
        <w:tc>
          <w:tcPr>
            <w:tcW w:w="4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8220" w:type="dxa"/>
            <w:vAlign w:val="bottom"/>
          </w:tcPr>
          <w:p>
            <w:pPr>
              <w:ind w:left="600"/>
              <w:spacing w:after="0"/>
              <w:rPr>
                <w:sz w:val="20"/>
                <w:szCs w:val="20"/>
                <w:color w:val="auto"/>
              </w:rPr>
            </w:pPr>
            <w:r>
              <w:rPr>
                <w:rFonts w:ascii="Arial" w:cs="Arial" w:eastAsia="Arial" w:hAnsi="Arial"/>
                <w:sz w:val="18"/>
                <w:szCs w:val="18"/>
                <w:color w:val="auto"/>
                <w:w w:val="97"/>
              </w:rPr>
              <w:t>the other Loan Parties party thereto, the Lenders parties thereto, JPMorgan Chase Bank, N.A., as</w:t>
            </w:r>
          </w:p>
        </w:tc>
      </w:tr>
      <w:tr>
        <w:trPr>
          <w:trHeight w:val="230"/>
        </w:trPr>
        <w:tc>
          <w:tcPr>
            <w:tcW w:w="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8220" w:type="dxa"/>
            <w:vAlign w:val="bottom"/>
          </w:tcPr>
          <w:p>
            <w:pPr>
              <w:ind w:left="600"/>
              <w:spacing w:after="0"/>
              <w:rPr>
                <w:sz w:val="20"/>
                <w:szCs w:val="20"/>
                <w:color w:val="auto"/>
              </w:rPr>
            </w:pPr>
            <w:r>
              <w:rPr>
                <w:rFonts w:ascii="Arial" w:cs="Arial" w:eastAsia="Arial" w:hAnsi="Arial"/>
                <w:sz w:val="18"/>
                <w:szCs w:val="18"/>
                <w:color w:val="auto"/>
              </w:rPr>
              <w:t>Administrative Agent, and the other agents parties thereto]</w:t>
            </w:r>
          </w:p>
        </w:tc>
      </w:tr>
      <w:tr>
        <w:trPr>
          <w:trHeight w:val="432"/>
        </w:trPr>
        <w:tc>
          <w:tcPr>
            <w:tcW w:w="480" w:type="dxa"/>
            <w:vAlign w:val="bottom"/>
          </w:tcPr>
          <w:p>
            <w:pPr>
              <w:jc w:val="right"/>
              <w:ind w:right="250"/>
              <w:spacing w:after="0"/>
              <w:rPr>
                <w:sz w:val="20"/>
                <w:szCs w:val="20"/>
                <w:color w:val="auto"/>
              </w:rPr>
            </w:pPr>
            <w:r>
              <w:rPr>
                <w:rFonts w:ascii="Arial" w:cs="Arial" w:eastAsia="Arial" w:hAnsi="Arial"/>
                <w:sz w:val="18"/>
                <w:szCs w:val="18"/>
                <w:color w:val="auto"/>
                <w:w w:val="79"/>
              </w:rPr>
              <w:t>6.</w:t>
            </w:r>
          </w:p>
        </w:tc>
        <w:tc>
          <w:tcPr>
            <w:tcW w:w="2540" w:type="dxa"/>
            <w:vAlign w:val="bottom"/>
          </w:tcPr>
          <w:p>
            <w:pPr>
              <w:ind w:left="320"/>
              <w:spacing w:after="0"/>
              <w:rPr>
                <w:sz w:val="20"/>
                <w:szCs w:val="20"/>
                <w:color w:val="auto"/>
              </w:rPr>
            </w:pPr>
            <w:r>
              <w:rPr>
                <w:rFonts w:ascii="Arial" w:cs="Arial" w:eastAsia="Arial" w:hAnsi="Arial"/>
                <w:sz w:val="18"/>
                <w:szCs w:val="18"/>
                <w:color w:val="auto"/>
              </w:rPr>
              <w:t>Assigned Interest:</w:t>
            </w:r>
          </w:p>
        </w:tc>
        <w:tc>
          <w:tcPr>
            <w:tcW w:w="8220" w:type="dxa"/>
            <w:vAlign w:val="bottom"/>
          </w:tcPr>
          <w:p>
            <w:pPr>
              <w:ind w:left="600"/>
              <w:spacing w:after="0"/>
              <w:rPr>
                <w:sz w:val="20"/>
                <w:szCs w:val="20"/>
                <w:color w:val="auto"/>
              </w:rPr>
            </w:pPr>
            <w:r>
              <w:rPr>
                <w:rFonts w:ascii="Arial" w:cs="Arial" w:eastAsia="Arial" w:hAnsi="Arial"/>
                <w:sz w:val="18"/>
                <w:szCs w:val="18"/>
                <w:color w:val="auto"/>
              </w:rPr>
              <w:t>______________________________</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ind w:left="220" w:hanging="212"/>
        <w:spacing w:after="0" w:line="208" w:lineRule="auto"/>
        <w:tabs>
          <w:tab w:leader="none" w:pos="220" w:val="left"/>
        </w:tabs>
        <w:numPr>
          <w:ilvl w:val="0"/>
          <w:numId w:val="187"/>
        </w:numPr>
        <w:rPr>
          <w:rFonts w:ascii="Arial" w:cs="Arial" w:eastAsia="Arial" w:hAnsi="Arial"/>
          <w:sz w:val="28"/>
          <w:szCs w:val="28"/>
          <w:color w:val="auto"/>
          <w:vertAlign w:val="superscript"/>
        </w:rPr>
      </w:pPr>
      <w:r>
        <w:rPr>
          <w:rFonts w:ascii="Arial" w:cs="Arial" w:eastAsia="Arial" w:hAnsi="Arial"/>
          <w:sz w:val="17"/>
          <w:szCs w:val="17"/>
          <w:color w:val="auto"/>
        </w:rPr>
        <w:t>Select as applicable.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6" w:name="page177"/>
    <w:bookmarkEnd w:id="176"/>
    <w:tbl>
      <w:tblPr>
        <w:tblLayout w:type="fixed"/>
        <w:tblInd w:w="10" w:type="dxa"/>
        <w:tblCellMar>
          <w:top w:w="0" w:type="dxa"/>
          <w:left w:w="0" w:type="dxa"/>
          <w:bottom w:w="0" w:type="dxa"/>
          <w:right w:w="0" w:type="dxa"/>
        </w:tblCellMar>
      </w:tblPr>
      <w:tr>
        <w:trPr>
          <w:trHeight w:val="215"/>
        </w:trPr>
        <w:tc>
          <w:tcPr>
            <w:tcW w:w="272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8"/>
                <w:szCs w:val="18"/>
                <w:color w:val="auto"/>
              </w:rPr>
              <w:t>Facility Assigned</w:t>
            </w:r>
          </w:p>
        </w:tc>
        <w:tc>
          <w:tcPr>
            <w:tcW w:w="3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Aggregate Amount of Revolving</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Amount of Revolving</w:t>
            </w:r>
          </w:p>
        </w:tc>
        <w:tc>
          <w:tcPr>
            <w:tcW w:w="26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Percentage Assigned of Revolving</w:t>
            </w:r>
          </w:p>
        </w:tc>
      </w:tr>
      <w:tr>
        <w:trPr>
          <w:trHeight w:val="271"/>
        </w:trPr>
        <w:tc>
          <w:tcPr>
            <w:tcW w:w="2720" w:type="dxa"/>
            <w:vAlign w:val="bottom"/>
            <w:tcBorders>
              <w:left w:val="single" w:sz="8" w:color="auto"/>
              <w:bottom w:val="single" w:sz="8" w:color="auto"/>
              <w:right w:val="single" w:sz="8" w:color="auto"/>
            </w:tcBorders>
          </w:tcPr>
          <w:p>
            <w:pPr>
              <w:spacing w:after="0"/>
              <w:rPr>
                <w:sz w:val="23"/>
                <w:szCs w:val="23"/>
                <w:color w:val="auto"/>
              </w:rPr>
            </w:pPr>
          </w:p>
        </w:tc>
        <w:tc>
          <w:tcPr>
            <w:tcW w:w="3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Commitment/Loans for all Lenders</w:t>
            </w:r>
          </w:p>
        </w:tc>
        <w:tc>
          <w:tcPr>
            <w:tcW w:w="2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Commitment/Loans Assigned</w:t>
            </w:r>
          </w:p>
        </w:tc>
        <w:tc>
          <w:tcPr>
            <w:tcW w:w="2680" w:type="dxa"/>
            <w:vAlign w:val="bottom"/>
            <w:tcBorders>
              <w:bottom w:val="single" w:sz="8" w:color="auto"/>
              <w:right w:val="single" w:sz="8" w:color="auto"/>
            </w:tcBorders>
          </w:tcPr>
          <w:p>
            <w:pPr>
              <w:jc w:val="center"/>
              <w:spacing w:after="0" w:line="270" w:lineRule="exact"/>
              <w:rPr>
                <w:sz w:val="20"/>
                <w:szCs w:val="20"/>
                <w:color w:val="auto"/>
              </w:rPr>
            </w:pPr>
            <w:r>
              <w:rPr>
                <w:rFonts w:ascii="Arial" w:cs="Arial" w:eastAsia="Arial" w:hAnsi="Arial"/>
                <w:sz w:val="18"/>
                <w:szCs w:val="18"/>
                <w:color w:val="auto"/>
                <w:w w:val="91"/>
              </w:rPr>
              <w:t>Commitment/Loans</w:t>
            </w:r>
            <w:r>
              <w:rPr>
                <w:rFonts w:ascii="Arial" w:cs="Arial" w:eastAsia="Arial" w:hAnsi="Arial"/>
                <w:sz w:val="29"/>
                <w:szCs w:val="29"/>
                <w:color w:val="auto"/>
                <w:w w:val="91"/>
                <w:vertAlign w:val="superscript"/>
              </w:rPr>
              <w:t>[2]</w:t>
            </w:r>
          </w:p>
        </w:tc>
      </w:tr>
      <w:tr>
        <w:trPr>
          <w:trHeight w:val="209"/>
        </w:trPr>
        <w:tc>
          <w:tcPr>
            <w:tcW w:w="2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Revolving Commitment</w:t>
            </w:r>
          </w:p>
        </w:tc>
        <w:tc>
          <w:tcPr>
            <w:tcW w:w="3040" w:type="dxa"/>
            <w:vAlign w:val="bottom"/>
            <w:tcBorders>
              <w:bottom w:val="single" w:sz="8" w:color="auto"/>
              <w:right w:val="single" w:sz="8" w:color="auto"/>
            </w:tcBorders>
          </w:tcPr>
          <w:p>
            <w:pPr>
              <w:jc w:val="right"/>
              <w:ind w:right="2850"/>
              <w:spacing w:after="0"/>
              <w:rPr>
                <w:sz w:val="20"/>
                <w:szCs w:val="20"/>
                <w:color w:val="auto"/>
              </w:rPr>
            </w:pPr>
            <w:r>
              <w:rPr>
                <w:rFonts w:ascii="Arial" w:cs="Arial" w:eastAsia="Arial" w:hAnsi="Arial"/>
                <w:sz w:val="18"/>
                <w:szCs w:val="18"/>
                <w:color w:val="auto"/>
                <w:w w:val="79"/>
              </w:rPr>
              <w:t>$</w:t>
            </w:r>
          </w:p>
        </w:tc>
        <w:tc>
          <w:tcPr>
            <w:tcW w:w="2800" w:type="dxa"/>
            <w:vAlign w:val="bottom"/>
            <w:tcBorders>
              <w:bottom w:val="single" w:sz="8" w:color="auto"/>
              <w:right w:val="single" w:sz="8" w:color="auto"/>
            </w:tcBorders>
          </w:tcPr>
          <w:p>
            <w:pPr>
              <w:jc w:val="right"/>
              <w:ind w:right="2636"/>
              <w:spacing w:after="0"/>
              <w:rPr>
                <w:sz w:val="20"/>
                <w:szCs w:val="20"/>
                <w:color w:val="auto"/>
              </w:rPr>
            </w:pPr>
            <w:r>
              <w:rPr>
                <w:rFonts w:ascii="Arial" w:cs="Arial" w:eastAsia="Arial" w:hAnsi="Arial"/>
                <w:sz w:val="15"/>
                <w:szCs w:val="15"/>
                <w:color w:val="auto"/>
                <w:w w:val="71"/>
              </w:rPr>
              <w:t>$</w:t>
            </w:r>
          </w:p>
        </w:tc>
        <w:tc>
          <w:tcPr>
            <w:tcW w:w="2680" w:type="dxa"/>
            <w:vAlign w:val="bottom"/>
            <w:tcBorders>
              <w:bottom w:val="single" w:sz="8" w:color="auto"/>
              <w:right w:val="single" w:sz="8" w:color="auto"/>
            </w:tcBorders>
          </w:tcPr>
          <w:p>
            <w:pPr>
              <w:jc w:val="right"/>
              <w:ind w:right="179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_____________ ___, 20___ [TO BE INSERTED BY ADMINISTRATIVE AGENT AND WHICH SHALL BE THE EFFECTIVE DATE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OF RECORDATION OF TRANSFER IN THE REGISTER THEREFOR.]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other Loan Parties and their Related Parties or their respective securities) will be made available and who may receive such information in accordance with the Assignee’s compliance procedures and applicable laws, including Federal and state securities laws.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terms set forth in this Assignment and Assumption are hereby agreed to:</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ASSIGNOR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ASSIGNOR]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ASSIGNEE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OF ASSIGNEE]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By:______________________________</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220" w:hanging="212"/>
        <w:spacing w:after="0" w:line="208" w:lineRule="auto"/>
        <w:tabs>
          <w:tab w:leader="none" w:pos="220" w:val="left"/>
        </w:tabs>
        <w:numPr>
          <w:ilvl w:val="0"/>
          <w:numId w:val="188"/>
        </w:numPr>
        <w:rPr>
          <w:rFonts w:ascii="Arial" w:cs="Arial" w:eastAsia="Arial" w:hAnsi="Arial"/>
          <w:sz w:val="28"/>
          <w:szCs w:val="28"/>
          <w:color w:val="auto"/>
          <w:vertAlign w:val="superscript"/>
        </w:rPr>
      </w:pPr>
      <w:r>
        <w:rPr>
          <w:rFonts w:ascii="Arial" w:cs="Arial" w:eastAsia="Arial" w:hAnsi="Arial"/>
          <w:sz w:val="17"/>
          <w:szCs w:val="17"/>
          <w:color w:val="auto"/>
        </w:rPr>
        <w:t>Select as applicable.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t>[Consented to and]</w:t>
      </w:r>
      <w:r>
        <w:rPr>
          <w:rFonts w:ascii="Arial" w:cs="Arial" w:eastAsia="Arial" w:hAnsi="Arial"/>
          <w:sz w:val="29"/>
          <w:szCs w:val="29"/>
          <w:color w:val="auto"/>
          <w:vertAlign w:val="superscript"/>
        </w:rPr>
        <w:t>[3]</w:t>
      </w:r>
      <w:r>
        <w:rPr>
          <w:rFonts w:ascii="Arial" w:cs="Arial" w:eastAsia="Arial" w:hAnsi="Arial"/>
          <w:sz w:val="18"/>
          <w:szCs w:val="18"/>
          <w:color w:val="auto"/>
        </w:rPr>
        <w:t xml:space="preserve"> Accepted: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Issuing Bank and Swingline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[Consented to:]</w:t>
      </w:r>
      <w:r>
        <w:rPr>
          <w:rFonts w:ascii="Arial" w:cs="Arial" w:eastAsia="Arial" w:hAnsi="Arial"/>
          <w:sz w:val="29"/>
          <w:szCs w:val="29"/>
          <w:color w:val="auto"/>
          <w:vertAlign w:val="superscript"/>
        </w:rPr>
        <w:t>[4]</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[NAME OF RELEVANT PARTY]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By:____________________________________</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50" w:lineRule="exact"/>
        <w:rPr>
          <w:sz w:val="20"/>
          <w:szCs w:val="20"/>
          <w:color w:val="auto"/>
        </w:rPr>
      </w:pPr>
    </w:p>
    <w:p>
      <w:pPr>
        <w:ind w:firstLine="8"/>
        <w:spacing w:after="0" w:line="216" w:lineRule="auto"/>
        <w:tabs>
          <w:tab w:leader="none" w:pos="212" w:val="left"/>
        </w:tabs>
        <w:numPr>
          <w:ilvl w:val="0"/>
          <w:numId w:val="189"/>
        </w:numPr>
        <w:rPr>
          <w:rFonts w:ascii="Arial" w:cs="Arial" w:eastAsia="Arial" w:hAnsi="Arial"/>
          <w:sz w:val="27"/>
          <w:szCs w:val="27"/>
          <w:color w:val="auto"/>
          <w:vertAlign w:val="superscript"/>
        </w:rPr>
      </w:pPr>
      <w:r>
        <w:rPr>
          <w:rFonts w:ascii="Arial" w:cs="Arial" w:eastAsia="Arial" w:hAnsi="Arial"/>
          <w:sz w:val="16"/>
          <w:szCs w:val="16"/>
          <w:color w:val="auto"/>
        </w:rPr>
        <w:t>To be added only if the consent of the Administrative Agent, Issuing Bank and/or Swingline Lender, as applicable, is required by the terms of the Credit Agreement.</w:t>
      </w:r>
    </w:p>
    <w:p>
      <w:pPr>
        <w:spacing w:after="0" w:line="27" w:lineRule="exact"/>
        <w:rPr>
          <w:rFonts w:ascii="Arial" w:cs="Arial" w:eastAsia="Arial" w:hAnsi="Arial"/>
          <w:sz w:val="27"/>
          <w:szCs w:val="27"/>
          <w:color w:val="auto"/>
          <w:vertAlign w:val="superscript"/>
        </w:rPr>
      </w:pPr>
    </w:p>
    <w:p>
      <w:pPr>
        <w:ind w:right="540" w:firstLine="8"/>
        <w:spacing w:after="0" w:line="207" w:lineRule="auto"/>
        <w:tabs>
          <w:tab w:leader="none" w:pos="220" w:val="left"/>
        </w:tabs>
        <w:numPr>
          <w:ilvl w:val="0"/>
          <w:numId w:val="189"/>
        </w:numPr>
        <w:rPr>
          <w:rFonts w:ascii="Arial" w:cs="Arial" w:eastAsia="Arial" w:hAnsi="Arial"/>
          <w:sz w:val="28"/>
          <w:szCs w:val="28"/>
          <w:color w:val="auto"/>
          <w:vertAlign w:val="superscript"/>
        </w:rPr>
      </w:pPr>
      <w:r>
        <w:rPr>
          <w:rFonts w:ascii="Arial" w:cs="Arial" w:eastAsia="Arial" w:hAnsi="Arial"/>
          <w:sz w:val="17"/>
          <w:szCs w:val="17"/>
          <w:color w:val="auto"/>
        </w:rPr>
        <w:t>To be added only if the consent of the Borrowers and/or other parties (e.g. Swingline Lender, Issuing Bank) is required by the terms of the Credit Agreement.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36" w:right="35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color w:val="auto"/>
        </w:rPr>
        <w:t>ANNEX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[__________________]1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TERMS AND CONDITIONS FOR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1100" w:hanging="444"/>
        <w:spacing w:after="0"/>
        <w:tabs>
          <w:tab w:leader="none" w:pos="110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Assignor</w:t>
      </w:r>
      <w:r>
        <w:rPr>
          <w:rFonts w:ascii="Arial" w:cs="Arial" w:eastAsia="Arial" w:hAnsi="Arial"/>
          <w:sz w:val="18"/>
          <w:szCs w:val="18"/>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any Borrower, any of its Subsidiaries or Affiliates or any other Person obligated in respect of any Loan Document, (iv) any requirements under applicable law for the Assignee to become a lender under the Credit Agreement or to charge interest at the rate set forth therein from time to time, or (v) the performance or observance by any Borrower, any of its Subsidiaries or Affiliates or any other Person of any of their respective obligations under any Loan Document.</w:t>
      </w:r>
    </w:p>
    <w:p>
      <w:pPr>
        <w:spacing w:after="0" w:line="196"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satisfies the requirements, if any, specified in the Credit Agreement and under applicable law that are required to be satisfied by it in order to acquire the Assigned Interest and become a Lender, (iii) from and after the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this type, (v) it has received a copy of the Credit Agreement, together with copies of the most recent financial statements delivered pursuant to Section 5.01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Assignor or any other Lender or any of their respective Related Parties, and (vi) attached to the Assignment and Assumption is any documentation required to be delivered by it pursuant to the terms of the Credit Agreement, duly completed and executed by the Assignee; and (b) agrees that (i) it will, independently and without reliance on the Administrative Agent, any Arranger, the Assignor or any other Lender or any of their respective Related Parties,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80" w:lineRule="exact"/>
        <w:rPr>
          <w:sz w:val="20"/>
          <w:szCs w:val="20"/>
          <w:color w:val="auto"/>
        </w:rPr>
      </w:pPr>
    </w:p>
    <w:p>
      <w:pPr>
        <w:jc w:val="both"/>
        <w:ind w:firstLine="656"/>
        <w:spacing w:after="0" w:line="263" w:lineRule="auto"/>
        <w:tabs>
          <w:tab w:leader="none" w:pos="1287"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83" w:lineRule="exact"/>
        <w:rPr>
          <w:rFonts w:ascii="Arial" w:cs="Arial" w:eastAsia="Arial" w:hAnsi="Arial"/>
          <w:sz w:val="18"/>
          <w:szCs w:val="18"/>
          <w:color w:val="auto"/>
        </w:rPr>
      </w:pPr>
    </w:p>
    <w:p>
      <w:pPr>
        <w:jc w:val="both"/>
        <w:ind w:firstLine="656"/>
        <w:spacing w:after="0" w:line="255" w:lineRule="auto"/>
        <w:tabs>
          <w:tab w:leader="none" w:pos="1260"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 This Assignment and Assumption shall be binding upon, and inure to the benefit of, the parties hereto and their respective successors and assigns. This Assignment and Assumption may be executed in any number of counterparts, which together shall constitute one instrument. Acceptance and adoption of the terms of this Assignment and Assumption by the Assignee and the Assignor by Electronic Signature or delivery of an executed counterpart of a signature page of this Assignment and Assumption by any Approved Electronic Platform shall be effective as delivery of a manually executed counterpart of this Assignment and Assumption. This Assignment and Assumption shall be governed by, and construed in accordance with, the law of the State of California.</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79" w:name="page180"/>
    <w:bookmarkEnd w:id="179"/>
    <w:tbl>
      <w:tblPr>
        <w:tblLayout w:type="fixed"/>
        <w:tblInd w:w="1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ind w:left="330"/>
              <w:spacing w:after="0"/>
              <w:rPr>
                <w:sz w:val="20"/>
                <w:szCs w:val="20"/>
                <w:color w:val="auto"/>
              </w:rPr>
            </w:pPr>
            <w:r>
              <w:rPr>
                <w:rFonts w:ascii="Arial" w:cs="Arial" w:eastAsia="Arial" w:hAnsi="Arial"/>
                <w:sz w:val="18"/>
                <w:szCs w:val="18"/>
                <w:color w:val="auto"/>
              </w:rPr>
              <w:t>EXHIBIT B</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000" w:type="dxa"/>
            <w:vAlign w:val="bottom"/>
            <w:gridSpan w:val="7"/>
          </w:tcPr>
          <w:p>
            <w:pPr>
              <w:jc w:val="center"/>
              <w:ind w:right="4220"/>
              <w:spacing w:after="0" w:line="190" w:lineRule="exact"/>
              <w:rPr>
                <w:sz w:val="20"/>
                <w:szCs w:val="20"/>
                <w:color w:val="auto"/>
              </w:rPr>
            </w:pPr>
            <w:r>
              <w:rPr>
                <w:rFonts w:ascii="Arial" w:cs="Arial" w:eastAsia="Arial" w:hAnsi="Arial"/>
                <w:sz w:val="18"/>
                <w:szCs w:val="18"/>
                <w:color w:val="auto"/>
                <w:w w:val="95"/>
              </w:rPr>
              <w:t>BORROWING BASE CERTIFICATE</w:t>
            </w:r>
          </w:p>
        </w:tc>
        <w:tc>
          <w:tcPr>
            <w:tcW w:w="0" w:type="dxa"/>
            <w:vAlign w:val="bottom"/>
          </w:tcPr>
          <w:p>
            <w:pPr>
              <w:spacing w:after="0"/>
              <w:rPr>
                <w:sz w:val="1"/>
                <w:szCs w:val="1"/>
                <w:color w:val="auto"/>
              </w:rPr>
            </w:pPr>
          </w:p>
        </w:tc>
      </w:tr>
      <w:tr>
        <w:trPr>
          <w:trHeight w:val="237"/>
        </w:trPr>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98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90"/>
        </w:trPr>
        <w:tc>
          <w:tcPr>
            <w:tcW w:w="220" w:type="dxa"/>
            <w:vAlign w:val="bottom"/>
            <w:tcBorders>
              <w:left w:val="single" w:sz="8" w:color="auto"/>
              <w:bottom w:val="single" w:sz="8" w:color="auto"/>
            </w:tcBorders>
          </w:tcPr>
          <w:p>
            <w:pPr>
              <w:spacing w:after="0"/>
              <w:rPr>
                <w:sz w:val="24"/>
                <w:szCs w:val="24"/>
                <w:color w:val="auto"/>
              </w:rPr>
            </w:pPr>
          </w:p>
        </w:tc>
        <w:tc>
          <w:tcPr>
            <w:tcW w:w="3460" w:type="dxa"/>
            <w:vAlign w:val="bottom"/>
            <w:tcBorders>
              <w:bottom w:val="single" w:sz="8" w:color="auto"/>
              <w:right w:val="single" w:sz="8" w:color="auto"/>
            </w:tcBorders>
          </w:tcPr>
          <w:p>
            <w:pPr>
              <w:spacing w:after="0"/>
              <w:rPr>
                <w:sz w:val="24"/>
                <w:szCs w:val="24"/>
                <w:color w:val="auto"/>
              </w:rPr>
            </w:pPr>
          </w:p>
        </w:tc>
        <w:tc>
          <w:tcPr>
            <w:tcW w:w="272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BORROWING BASE REPORT</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20" w:type="dxa"/>
            <w:vAlign w:val="bottom"/>
            <w:tcBorders>
              <w:left w:val="single" w:sz="8" w:color="auto"/>
              <w:bottom w:val="single" w:sz="8" w:color="auto"/>
            </w:tcBorders>
          </w:tcPr>
          <w:p>
            <w:pPr>
              <w:spacing w:after="0"/>
              <w:rPr>
                <w:sz w:val="18"/>
                <w:szCs w:val="18"/>
                <w:color w:val="auto"/>
              </w:rPr>
            </w:pPr>
          </w:p>
        </w:tc>
        <w:tc>
          <w:tcPr>
            <w:tcW w:w="346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Rpt #</w:t>
            </w: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Obligor Number:</w:t>
            </w:r>
          </w:p>
        </w:tc>
        <w:tc>
          <w:tcPr>
            <w:tcW w:w="1980" w:type="dxa"/>
            <w:vAlign w:val="bottom"/>
            <w:tcBorders>
              <w:right w:val="single" w:sz="8" w:color="auto"/>
            </w:tcBorders>
          </w:tcPr>
          <w:p>
            <w:pPr>
              <w:spacing w:after="0"/>
              <w:rPr>
                <w:sz w:val="18"/>
                <w:szCs w:val="18"/>
                <w:color w:val="auto"/>
              </w:rPr>
            </w:pPr>
          </w:p>
        </w:tc>
        <w:tc>
          <w:tcPr>
            <w:tcW w:w="4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3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Date:</w:t>
            </w: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Loan Number:</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3"/>
              </w:rPr>
              <w:t>Period Covered:___________ to ____________</w:t>
            </w:r>
          </w:p>
        </w:tc>
        <w:tc>
          <w:tcPr>
            <w:tcW w:w="0" w:type="dxa"/>
            <w:vAlign w:val="bottom"/>
          </w:tcPr>
          <w:p>
            <w:pPr>
              <w:spacing w:after="0"/>
              <w:rPr>
                <w:sz w:val="1"/>
                <w:szCs w:val="1"/>
                <w:color w:val="auto"/>
              </w:rPr>
            </w:pPr>
          </w:p>
        </w:tc>
      </w:tr>
      <w:tr>
        <w:trPr>
          <w:trHeight w:val="228"/>
        </w:trPr>
        <w:tc>
          <w:tcPr>
            <w:tcW w:w="220" w:type="dxa"/>
            <w:vAlign w:val="bottom"/>
            <w:tcBorders>
              <w:left w:val="single" w:sz="8" w:color="auto"/>
            </w:tcBorders>
          </w:tcPr>
          <w:p>
            <w:pPr>
              <w:spacing w:after="0"/>
              <w:rPr>
                <w:sz w:val="19"/>
                <w:szCs w:val="19"/>
                <w:color w:val="auto"/>
              </w:rPr>
            </w:pPr>
          </w:p>
        </w:tc>
        <w:tc>
          <w:tcPr>
            <w:tcW w:w="4200" w:type="dxa"/>
            <w:vAlign w:val="bottom"/>
            <w:tcBorders>
              <w:right w:val="single" w:sz="8" w:color="auto"/>
            </w:tcBorders>
            <w:gridSpan w:val="3"/>
            <w:vMerge w:val="restart"/>
          </w:tcPr>
          <w:p>
            <w:pPr>
              <w:jc w:val="right"/>
              <w:ind w:right="970"/>
              <w:spacing w:after="0"/>
              <w:rPr>
                <w:sz w:val="20"/>
                <w:szCs w:val="20"/>
                <w:color w:val="auto"/>
              </w:rPr>
            </w:pPr>
            <w:r>
              <w:rPr>
                <w:rFonts w:ascii="Arial" w:cs="Arial" w:eastAsia="Arial" w:hAnsi="Arial"/>
                <w:sz w:val="18"/>
                <w:szCs w:val="18"/>
                <w:b w:val="1"/>
                <w:bCs w:val="1"/>
                <w:color w:val="auto"/>
              </w:rPr>
              <w:t>COLLATERAL CATEGORY</w:t>
            </w: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auto"/>
                <w:w w:val="91"/>
              </w:rPr>
              <w:t>Credit Card Receivables</w:t>
            </w:r>
          </w:p>
        </w:tc>
        <w:tc>
          <w:tcPr>
            <w:tcW w:w="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A/R</w:t>
            </w:r>
          </w:p>
        </w:tc>
        <w:tc>
          <w:tcPr>
            <w:tcW w:w="80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w w:val="93"/>
              </w:rPr>
              <w:t>Inventory</w:t>
            </w:r>
          </w:p>
        </w:tc>
        <w:tc>
          <w:tcPr>
            <w:tcW w:w="3640" w:type="dxa"/>
            <w:vAlign w:val="bottom"/>
            <w:tcBorders>
              <w:right w:val="single" w:sz="8" w:color="auto"/>
            </w:tcBorders>
            <w:gridSpan w:val="2"/>
            <w:vMerge w:val="restart"/>
          </w:tcPr>
          <w:p>
            <w:pPr>
              <w:spacing w:after="0"/>
              <w:rPr>
                <w:sz w:val="20"/>
                <w:szCs w:val="20"/>
                <w:color w:val="auto"/>
              </w:rPr>
            </w:pPr>
            <w:r>
              <w:rPr>
                <w:rFonts w:ascii="Arial" w:cs="Arial" w:eastAsia="Arial" w:hAnsi="Arial"/>
                <w:sz w:val="18"/>
                <w:szCs w:val="18"/>
                <w:b w:val="1"/>
                <w:bCs w:val="1"/>
                <w:color w:val="auto"/>
              </w:rPr>
              <w:t>Total Eligible Collateral</w:t>
            </w:r>
          </w:p>
        </w:tc>
        <w:tc>
          <w:tcPr>
            <w:tcW w:w="0" w:type="dxa"/>
            <w:vAlign w:val="bottom"/>
          </w:tcPr>
          <w:p>
            <w:pPr>
              <w:spacing w:after="0"/>
              <w:rPr>
                <w:sz w:val="1"/>
                <w:szCs w:val="1"/>
                <w:color w:val="auto"/>
              </w:rPr>
            </w:pPr>
          </w:p>
        </w:tc>
      </w:tr>
      <w:tr>
        <w:trPr>
          <w:trHeight w:val="198"/>
        </w:trPr>
        <w:tc>
          <w:tcPr>
            <w:tcW w:w="220" w:type="dxa"/>
            <w:vAlign w:val="bottom"/>
            <w:tcBorders>
              <w:left w:val="single" w:sz="8" w:color="auto"/>
            </w:tcBorders>
          </w:tcPr>
          <w:p>
            <w:pPr>
              <w:spacing w:after="0"/>
              <w:rPr>
                <w:sz w:val="17"/>
                <w:szCs w:val="17"/>
                <w:color w:val="auto"/>
              </w:rPr>
            </w:pPr>
          </w:p>
        </w:tc>
        <w:tc>
          <w:tcPr>
            <w:tcW w:w="4200" w:type="dxa"/>
            <w:vAlign w:val="bottom"/>
            <w:tcBorders>
              <w:right w:val="single" w:sz="8" w:color="auto"/>
            </w:tcBorders>
            <w:gridSpan w:val="3"/>
            <w:vMerge w:val="continue"/>
          </w:tcPr>
          <w:p>
            <w:pPr>
              <w:spacing w:after="0"/>
              <w:rPr>
                <w:sz w:val="17"/>
                <w:szCs w:val="17"/>
                <w:color w:val="auto"/>
              </w:rPr>
            </w:pPr>
          </w:p>
        </w:tc>
        <w:tc>
          <w:tcPr>
            <w:tcW w:w="1980" w:type="dxa"/>
            <w:vAlign w:val="bottom"/>
            <w:tcBorders>
              <w:right w:val="single" w:sz="8" w:color="auto"/>
            </w:tcBorders>
          </w:tcPr>
          <w:p>
            <w:pPr>
              <w:spacing w:after="0"/>
              <w:rPr>
                <w:sz w:val="17"/>
                <w:szCs w:val="17"/>
                <w:color w:val="auto"/>
              </w:rPr>
            </w:pPr>
          </w:p>
        </w:tc>
        <w:tc>
          <w:tcPr>
            <w:tcW w:w="400" w:type="dxa"/>
            <w:vAlign w:val="bottom"/>
            <w:tcBorders>
              <w:right w:val="single" w:sz="8" w:color="auto"/>
            </w:tcBorders>
            <w:vMerge w:val="continue"/>
          </w:tcPr>
          <w:p>
            <w:pPr>
              <w:spacing w:after="0"/>
              <w:rPr>
                <w:sz w:val="17"/>
                <w:szCs w:val="17"/>
                <w:color w:val="auto"/>
              </w:rPr>
            </w:pPr>
          </w:p>
        </w:tc>
        <w:tc>
          <w:tcPr>
            <w:tcW w:w="800" w:type="dxa"/>
            <w:vAlign w:val="bottom"/>
            <w:tcBorders>
              <w:right w:val="single" w:sz="8" w:color="auto"/>
            </w:tcBorders>
            <w:gridSpan w:val="2"/>
            <w:vMerge w:val="continue"/>
          </w:tcPr>
          <w:p>
            <w:pPr>
              <w:spacing w:after="0"/>
              <w:rPr>
                <w:sz w:val="17"/>
                <w:szCs w:val="17"/>
                <w:color w:val="auto"/>
              </w:rPr>
            </w:pPr>
          </w:p>
        </w:tc>
        <w:tc>
          <w:tcPr>
            <w:tcW w:w="3640" w:type="dxa"/>
            <w:vAlign w:val="bottom"/>
            <w:tcBorders>
              <w:right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 w:type="dxa"/>
            <w:vAlign w:val="bottom"/>
            <w:tcBorders>
              <w:left w:val="single" w:sz="8" w:color="auto"/>
              <w:bottom w:val="single" w:sz="8" w:color="auto"/>
            </w:tcBorders>
          </w:tcPr>
          <w:p>
            <w:pPr>
              <w:spacing w:after="0"/>
              <w:rPr>
                <w:sz w:val="18"/>
                <w:szCs w:val="18"/>
                <w:color w:val="auto"/>
              </w:rPr>
            </w:pPr>
          </w:p>
        </w:tc>
        <w:tc>
          <w:tcPr>
            <w:tcW w:w="34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auto"/>
              <w:bottom w:val="single" w:sz="8" w:color="auto"/>
            </w:tcBorders>
          </w:tcPr>
          <w:p>
            <w:pPr>
              <w:spacing w:after="0"/>
              <w:rPr>
                <w:sz w:val="18"/>
                <w:szCs w:val="18"/>
                <w:color w:val="auto"/>
              </w:rPr>
            </w:pPr>
          </w:p>
        </w:tc>
        <w:tc>
          <w:tcPr>
            <w:tcW w:w="4200" w:type="dxa"/>
            <w:vAlign w:val="bottom"/>
            <w:tcBorders>
              <w:bottom w:val="single" w:sz="8" w:color="auto"/>
              <w:right w:val="single" w:sz="8" w:color="auto"/>
            </w:tcBorders>
            <w:gridSpan w:val="3"/>
          </w:tcPr>
          <w:p>
            <w:pPr>
              <w:ind w:left="1560"/>
              <w:spacing w:after="0"/>
              <w:rPr>
                <w:sz w:val="20"/>
                <w:szCs w:val="20"/>
                <w:color w:val="auto"/>
              </w:rPr>
            </w:pPr>
            <w:r>
              <w:rPr>
                <w:rFonts w:ascii="Arial" w:cs="Arial" w:eastAsia="Arial" w:hAnsi="Arial"/>
                <w:sz w:val="18"/>
                <w:szCs w:val="18"/>
                <w:b w:val="1"/>
                <w:bCs w:val="1"/>
                <w:i w:val="1"/>
                <w:iCs w:val="1"/>
                <w:color w:val="auto"/>
              </w:rPr>
              <w:t>Description</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Beginning Balance (Previous report - Line 8)</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Additions to Collateral (Gross Sales or Purchases)</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w w:val="96"/>
              </w:rPr>
              <w:t>Other Additions (Add back any non-A/R cash in line 3)</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Deductions to Collateral (Cash Received)</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Deductions to Collateral (Discounts, other)</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Deductions to Collateral (Credit Memos, all)</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8"/>
                <w:szCs w:val="18"/>
                <w:b w:val="1"/>
                <w:bCs w:val="1"/>
                <w:color w:val="auto"/>
              </w:rPr>
              <w:t>non-cash</w:t>
            </w:r>
            <w:r>
              <w:rPr>
                <w:rFonts w:ascii="Arial" w:cs="Arial" w:eastAsia="Arial" w:hAnsi="Arial"/>
                <w:sz w:val="18"/>
                <w:szCs w:val="18"/>
                <w:color w:val="auto"/>
              </w:rPr>
              <w:t xml:space="preserve"> credits to A/R</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Total Ending Collateral Balance</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420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Less Ineligible - Past Due</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10  Less Ineligible - Title</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11  Less Ineligible - Lien</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12  Less Ineligible - Contra</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13</w:t>
            </w:r>
          </w:p>
        </w:tc>
        <w:tc>
          <w:tcPr>
            <w:tcW w:w="4200" w:type="dxa"/>
            <w:vAlign w:val="bottom"/>
            <w:tcBorders>
              <w:bottom w:val="single" w:sz="8" w:color="auto"/>
              <w:right w:val="single" w:sz="8" w:color="auto"/>
            </w:tcBorders>
            <w:gridSpan w:val="3"/>
          </w:tcPr>
          <w:p>
            <w:pPr>
              <w:jc w:val="right"/>
              <w:ind w:right="970"/>
              <w:spacing w:after="0"/>
              <w:rPr>
                <w:sz w:val="20"/>
                <w:szCs w:val="20"/>
                <w:color w:val="auto"/>
              </w:rPr>
            </w:pPr>
            <w:r>
              <w:rPr>
                <w:rFonts w:ascii="Arial" w:cs="Arial" w:eastAsia="Arial" w:hAnsi="Arial"/>
                <w:sz w:val="18"/>
                <w:szCs w:val="18"/>
                <w:color w:val="auto"/>
                <w:w w:val="92"/>
              </w:rPr>
              <w:t>Less Ineligible - Other (attached schedule)</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Borders>
              <w:left w:val="single" w:sz="8" w:color="auto"/>
              <w:bottom w:val="single" w:sz="8" w:color="auto"/>
              <w:right w:val="single" w:sz="8" w:color="auto"/>
            </w:tcBorders>
            <w:gridSpan w:val="4"/>
          </w:tcPr>
          <w:p>
            <w:pPr>
              <w:ind w:left="20"/>
              <w:spacing w:after="0"/>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color w:val="auto"/>
              </w:rPr>
              <w:t>Total Ineligibles – Credit Card Receivable</w:t>
            </w:r>
          </w:p>
        </w:tc>
        <w:tc>
          <w:tcPr>
            <w:tcW w:w="198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right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right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c>
          <w:tcPr>
            <w:tcW w:w="5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60"/>
        </w:trPr>
        <w:tc>
          <w:tcPr>
            <w:tcW w:w="22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2"/>
              </w:rPr>
              <w:t>B-1</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-3925570</wp:posOffset>
            </wp:positionV>
            <wp:extent cx="1688465" cy="3683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88465" cy="368300"/>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0" w:name="page181"/>
    <w:bookmarkEnd w:id="180"/>
    <w:p>
      <w:pPr>
        <w:ind w:left="340" w:hanging="319"/>
        <w:spacing w:after="0"/>
        <w:tabs>
          <w:tab w:leader="none" w:pos="3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Past Due</w:t>
      </w:r>
    </w:p>
    <w:p>
      <w:pPr>
        <w:spacing w:after="0" w:line="23"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Cross-age (___%)</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Foreign</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Contra</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Other (attached schedule)</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Total Ineligibles - Accounts Receivable</w:t>
      </w:r>
    </w:p>
    <w:p>
      <w:pPr>
        <w:spacing w:after="0" w:line="251"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Inventory Slow-moving</w:t>
      </w:r>
    </w:p>
    <w:p>
      <w:pPr>
        <w:spacing w:after="0" w:line="23"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Inventory Offsite not covered</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Inventory WIP</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Consigned</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Less Ineligible -- Other (attached schedule)</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Total Ineligible Inventory</w:t>
      </w:r>
    </w:p>
    <w:p>
      <w:pPr>
        <w:spacing w:after="0" w:line="247" w:lineRule="exact"/>
        <w:rPr>
          <w:rFonts w:ascii="Arial" w:cs="Arial" w:eastAsia="Arial" w:hAnsi="Arial"/>
          <w:sz w:val="18"/>
          <w:szCs w:val="18"/>
          <w:color w:val="auto"/>
        </w:rPr>
      </w:pPr>
    </w:p>
    <w:p>
      <w:pPr>
        <w:ind w:left="300" w:hanging="279"/>
        <w:spacing w:after="0"/>
        <w:tabs>
          <w:tab w:leader="none" w:pos="300"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Total Eligible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-2167890</wp:posOffset>
            </wp:positionV>
            <wp:extent cx="5246370" cy="33686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46370" cy="3368675"/>
                    </a:xfrm>
                    <a:prstGeom prst="rect">
                      <a:avLst/>
                    </a:prstGeom>
                    <a:noFill/>
                  </pic:spPr>
                </pic:pic>
              </a:graphicData>
            </a:graphic>
          </wp:anchor>
        </w:drawing>
      </w:r>
    </w:p>
    <w:p>
      <w:pPr>
        <w:spacing w:after="0" w:line="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28 Advance Rate Percentage</w:t>
            </w:r>
          </w:p>
        </w:tc>
        <w:tc>
          <w:tcPr>
            <w:tcW w:w="3260" w:type="dxa"/>
            <w:vAlign w:val="bottom"/>
          </w:tcPr>
          <w:p>
            <w:pPr>
              <w:jc w:val="right"/>
              <w:spacing w:after="0"/>
              <w:rPr>
                <w:sz w:val="20"/>
                <w:szCs w:val="20"/>
                <w:color w:val="auto"/>
              </w:rPr>
            </w:pPr>
            <w:r>
              <w:rPr>
                <w:rFonts w:ascii="Arial" w:cs="Arial" w:eastAsia="Arial" w:hAnsi="Arial"/>
                <w:sz w:val="18"/>
                <w:szCs w:val="18"/>
                <w:color w:val="auto"/>
              </w:rPr>
              <w:t>%  %</w:t>
            </w:r>
          </w:p>
        </w:tc>
      </w:tr>
    </w:tbl>
    <w:p>
      <w:pPr>
        <w:ind w:left="300" w:hanging="279"/>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Net Available - Borrowing Base Value</w:t>
      </w:r>
    </w:p>
    <w:p>
      <w:pPr>
        <w:spacing w:after="0" w:line="21" w:lineRule="exact"/>
        <w:rPr>
          <w:rFonts w:ascii="Arial" w:cs="Arial" w:eastAsia="Arial" w:hAnsi="Arial"/>
          <w:sz w:val="18"/>
          <w:szCs w:val="18"/>
          <w:color w:val="auto"/>
        </w:rPr>
      </w:pPr>
    </w:p>
    <w:p>
      <w:pPr>
        <w:ind w:left="300" w:hanging="279"/>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Reserves (other)</w:t>
      </w:r>
    </w:p>
    <w:p>
      <w:pPr>
        <w:spacing w:after="0" w:line="22" w:lineRule="exact"/>
        <w:rPr>
          <w:rFonts w:ascii="Arial" w:cs="Arial" w:eastAsia="Arial" w:hAnsi="Arial"/>
          <w:sz w:val="18"/>
          <w:szCs w:val="18"/>
          <w:color w:val="auto"/>
        </w:rPr>
      </w:pPr>
    </w:p>
    <w:p>
      <w:pPr>
        <w:ind w:left="300" w:hanging="279"/>
        <w:spacing w:after="0"/>
        <w:tabs>
          <w:tab w:leader="none" w:pos="300"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Total Borrowing Base Value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31A </w:t>
            </w:r>
            <w:r>
              <w:rPr>
                <w:rFonts w:ascii="Arial" w:cs="Arial" w:eastAsia="Arial" w:hAnsi="Arial"/>
                <w:sz w:val="18"/>
                <w:szCs w:val="18"/>
                <w:b w:val="1"/>
                <w:bCs w:val="1"/>
                <w:color w:val="auto"/>
              </w:rPr>
              <w:t>Total Availability/CAPS</w:t>
            </w:r>
          </w:p>
        </w:tc>
        <w:tc>
          <w:tcPr>
            <w:tcW w:w="3480" w:type="dxa"/>
            <w:vAlign w:val="bottom"/>
            <w:tcBorders>
              <w:bottom w:val="single" w:sz="8" w:color="auto"/>
            </w:tcBorders>
          </w:tcPr>
          <w:p>
            <w:pPr>
              <w:spacing w:after="0"/>
              <w:rPr>
                <w:sz w:val="19"/>
                <w:szCs w:val="19"/>
                <w:color w:val="auto"/>
              </w:rPr>
            </w:pPr>
          </w:p>
        </w:tc>
        <w:tc>
          <w:tcPr>
            <w:tcW w:w="28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Total Revolver Line</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32</w:t>
            </w:r>
          </w:p>
        </w:tc>
        <w:tc>
          <w:tcPr>
            <w:tcW w:w="4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Revolver Line</w:t>
            </w:r>
          </w:p>
        </w:tc>
        <w:tc>
          <w:tcPr>
            <w:tcW w:w="34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vMerge w:val="continue"/>
          </w:tcPr>
          <w:p>
            <w:pPr>
              <w:spacing w:after="0"/>
              <w:rPr>
                <w:sz w:val="18"/>
                <w:szCs w:val="18"/>
                <w:color w:val="auto"/>
              </w:rPr>
            </w:pPr>
          </w:p>
        </w:tc>
        <w:tc>
          <w:tcPr>
            <w:tcW w:w="140" w:type="dxa"/>
            <w:vAlign w:val="bottom"/>
            <w:tcBorders>
              <w:left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33</w:t>
            </w:r>
          </w:p>
        </w:tc>
        <w:tc>
          <w:tcPr>
            <w:tcW w:w="45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Maximum Borrowing Limit (Lesser of 31 or 32)*</w:t>
            </w:r>
          </w:p>
        </w:tc>
        <w:tc>
          <w:tcPr>
            <w:tcW w:w="34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Available</w:t>
            </w:r>
          </w:p>
        </w:tc>
        <w:tc>
          <w:tcPr>
            <w:tcW w:w="140" w:type="dxa"/>
            <w:vAlign w:val="bottom"/>
            <w:tcBorders>
              <w:left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 xml:space="preserve">33A </w:t>
            </w:r>
            <w:r>
              <w:rPr>
                <w:rFonts w:ascii="Arial" w:cs="Arial" w:eastAsia="Arial" w:hAnsi="Arial"/>
                <w:sz w:val="18"/>
                <w:szCs w:val="18"/>
                <w:b w:val="1"/>
                <w:bCs w:val="1"/>
                <w:color w:val="auto"/>
              </w:rPr>
              <w:t>Suppressed Availability</w:t>
            </w:r>
          </w:p>
        </w:tc>
        <w:tc>
          <w:tcPr>
            <w:tcW w:w="34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tcPr>
          <w:p>
            <w:pPr>
              <w:spacing w:after="0"/>
              <w:rPr>
                <w:sz w:val="18"/>
                <w:szCs w:val="18"/>
                <w:color w:val="auto"/>
              </w:rPr>
            </w:pPr>
          </w:p>
        </w:tc>
        <w:tc>
          <w:tcPr>
            <w:tcW w:w="1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10"/>
        </w:trPr>
        <w:tc>
          <w:tcPr>
            <w:tcW w:w="24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gridSpan w:val="3"/>
          </w:tcPr>
          <w:p>
            <w:pPr>
              <w:ind w:left="720"/>
              <w:spacing w:after="0"/>
              <w:rPr>
                <w:sz w:val="20"/>
                <w:szCs w:val="20"/>
                <w:color w:val="auto"/>
              </w:rPr>
            </w:pPr>
            <w:r>
              <w:rPr>
                <w:rFonts w:ascii="Arial" w:cs="Arial" w:eastAsia="Arial" w:hAnsi="Arial"/>
                <w:sz w:val="18"/>
                <w:szCs w:val="18"/>
                <w:color w:val="auto"/>
              </w:rPr>
              <w:t>B-2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4" w:right="339" w:bottom="1440" w:gutter="0" w:footer="0" w:header="0"/>
        </w:sectPr>
      </w:pPr>
    </w:p>
    <w:bookmarkStart w:id="181" w:name="page182"/>
    <w:bookmarkEnd w:id="1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0" w:type="dxa"/>
            <w:vAlign w:val="bottom"/>
            <w:tcBorders>
              <w:top w:val="single" w:sz="8" w:color="auto"/>
              <w:left w:val="single" w:sz="8" w:color="auto"/>
              <w:bottom w:val="single" w:sz="8" w:color="auto"/>
            </w:tcBorders>
          </w:tcPr>
          <w:p>
            <w:pPr>
              <w:spacing w:after="0"/>
              <w:rPr>
                <w:sz w:val="19"/>
                <w:szCs w:val="19"/>
                <w:color w:val="auto"/>
              </w:rPr>
            </w:pPr>
          </w:p>
        </w:tc>
        <w:tc>
          <w:tcPr>
            <w:tcW w:w="4540" w:type="dxa"/>
            <w:vAlign w:val="bottom"/>
            <w:tcBorders>
              <w:top w:val="single" w:sz="8" w:color="auto"/>
              <w:bottom w:val="single" w:sz="8" w:color="auto"/>
              <w:right w:val="single" w:sz="8" w:color="auto"/>
            </w:tcBorders>
            <w:gridSpan w:val="2"/>
          </w:tcPr>
          <w:p>
            <w:pPr>
              <w:ind w:left="660"/>
              <w:spacing w:after="0"/>
              <w:rPr>
                <w:sz w:val="20"/>
                <w:szCs w:val="20"/>
                <w:color w:val="auto"/>
              </w:rPr>
            </w:pPr>
            <w:r>
              <w:rPr>
                <w:rFonts w:ascii="Arial" w:cs="Arial" w:eastAsia="Arial" w:hAnsi="Arial"/>
                <w:sz w:val="18"/>
                <w:szCs w:val="18"/>
                <w:b w:val="1"/>
                <w:bCs w:val="1"/>
                <w:color w:val="auto"/>
              </w:rPr>
              <w:t>LOAN STATUS</w:t>
            </w: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120" w:type="dxa"/>
            <w:vAlign w:val="bottom"/>
            <w:tcBorders>
              <w:top w:val="single" w:sz="8" w:color="auto"/>
              <w:bottom w:val="single" w:sz="8" w:color="auto"/>
              <w:right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3260" w:type="dxa"/>
            <w:vAlign w:val="bottom"/>
            <w:tcBorders>
              <w:top w:val="single" w:sz="8" w:color="auto"/>
              <w:right w:val="single" w:sz="8" w:color="auto"/>
            </w:tcBorders>
          </w:tcPr>
          <w:p>
            <w:pPr>
              <w:spacing w:after="0"/>
              <w:rPr>
                <w:sz w:val="19"/>
                <w:szCs w:val="19"/>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34</w:t>
            </w:r>
          </w:p>
        </w:tc>
        <w:tc>
          <w:tcPr>
            <w:tcW w:w="45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Previous Loan Balance (Previous Report Line 37)</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r>
      <w:tr>
        <w:trPr>
          <w:trHeight w:val="224"/>
        </w:trPr>
        <w:tc>
          <w:tcPr>
            <w:tcW w:w="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89"/>
              </w:rPr>
              <w:t>35</w:t>
            </w:r>
          </w:p>
        </w:tc>
        <w:tc>
          <w:tcPr>
            <w:tcW w:w="45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Less: A. Net Collections (Same as line 4)</w:t>
            </w: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tcPr>
          <w:p>
            <w:pPr>
              <w:spacing w:after="0"/>
              <w:rPr>
                <w:sz w:val="19"/>
                <w:szCs w:val="19"/>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B. Adjustments/Other _______________</w:t>
            </w:r>
          </w:p>
        </w:tc>
        <w:tc>
          <w:tcPr>
            <w:tcW w:w="11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spacing w:after="0"/>
              <w:rPr>
                <w:sz w:val="24"/>
                <w:szCs w:val="24"/>
                <w:color w:val="auto"/>
              </w:rPr>
            </w:pPr>
          </w:p>
        </w:tc>
      </w:tr>
      <w:tr>
        <w:trPr>
          <w:trHeight w:val="216"/>
        </w:trPr>
        <w:tc>
          <w:tcPr>
            <w:tcW w:w="220" w:type="dxa"/>
            <w:vAlign w:val="bottom"/>
            <w:tcBorders>
              <w:left w:val="single" w:sz="8" w:color="auto"/>
              <w:bottom w:val="single" w:sz="8" w:color="auto"/>
            </w:tcBorders>
          </w:tcPr>
          <w:p>
            <w:pPr>
              <w:spacing w:after="0"/>
              <w:rPr>
                <w:sz w:val="18"/>
                <w:szCs w:val="18"/>
                <w:color w:val="auto"/>
              </w:rPr>
            </w:pPr>
          </w:p>
        </w:tc>
        <w:tc>
          <w:tcPr>
            <w:tcW w:w="4540" w:type="dxa"/>
            <w:vAlign w:val="bottom"/>
            <w:tcBorders>
              <w:bottom w:val="single" w:sz="8" w:color="auto"/>
              <w:right w:val="single" w:sz="8" w:color="auto"/>
            </w:tcBorders>
            <w:gridSpan w:val="2"/>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r>
      <w:tr>
        <w:trPr>
          <w:trHeight w:val="224"/>
        </w:trPr>
        <w:tc>
          <w:tcPr>
            <w:tcW w:w="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w w:val="89"/>
              </w:rPr>
              <w:t>36</w:t>
            </w:r>
          </w:p>
        </w:tc>
        <w:tc>
          <w:tcPr>
            <w:tcW w:w="45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Add: A. Request for Funds</w:t>
            </w:r>
          </w:p>
        </w:tc>
        <w:tc>
          <w:tcPr>
            <w:tcW w:w="112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1000" w:type="dxa"/>
            <w:vAlign w:val="bottom"/>
            <w:tcBorders>
              <w:right w:val="single" w:sz="8" w:color="auto"/>
            </w:tcBorders>
          </w:tcPr>
          <w:p>
            <w:pPr>
              <w:spacing w:after="0"/>
              <w:rPr>
                <w:sz w:val="19"/>
                <w:szCs w:val="19"/>
                <w:color w:val="auto"/>
              </w:rPr>
            </w:pPr>
          </w:p>
        </w:tc>
        <w:tc>
          <w:tcPr>
            <w:tcW w:w="3260" w:type="dxa"/>
            <w:vAlign w:val="bottom"/>
            <w:tcBorders>
              <w:right w:val="single" w:sz="8" w:color="auto"/>
            </w:tcBorders>
          </w:tcPr>
          <w:p>
            <w:pPr>
              <w:spacing w:after="0"/>
              <w:rPr>
                <w:sz w:val="19"/>
                <w:szCs w:val="19"/>
                <w:color w:val="auto"/>
              </w:rPr>
            </w:pPr>
          </w:p>
        </w:tc>
      </w:tr>
      <w:tr>
        <w:trPr>
          <w:trHeight w:val="418"/>
        </w:trPr>
        <w:tc>
          <w:tcPr>
            <w:tcW w:w="220" w:type="dxa"/>
            <w:vAlign w:val="bottom"/>
            <w:tcBorders>
              <w:left w:val="single" w:sz="8" w:color="auto"/>
            </w:tcBorders>
          </w:tcPr>
          <w:p>
            <w:pPr>
              <w:spacing w:after="0"/>
              <w:rPr>
                <w:sz w:val="24"/>
                <w:szCs w:val="24"/>
                <w:color w:val="auto"/>
              </w:rPr>
            </w:pPr>
          </w:p>
        </w:tc>
        <w:tc>
          <w:tcPr>
            <w:tcW w:w="4540" w:type="dxa"/>
            <w:vAlign w:val="bottom"/>
            <w:tcBorders>
              <w:right w:val="single" w:sz="8" w:color="auto"/>
            </w:tcBorders>
            <w:gridSpan w:val="2"/>
          </w:tcPr>
          <w:p>
            <w:pPr>
              <w:ind w:left="780"/>
              <w:spacing w:after="0"/>
              <w:rPr>
                <w:sz w:val="20"/>
                <w:szCs w:val="20"/>
                <w:color w:val="auto"/>
              </w:rPr>
            </w:pPr>
            <w:r>
              <w:rPr>
                <w:rFonts w:ascii="Arial" w:cs="Arial" w:eastAsia="Arial" w:hAnsi="Arial"/>
                <w:sz w:val="18"/>
                <w:szCs w:val="18"/>
                <w:color w:val="auto"/>
              </w:rPr>
              <w:t>B. Adjustments/Other _______________</w:t>
            </w:r>
          </w:p>
        </w:tc>
        <w:tc>
          <w:tcPr>
            <w:tcW w:w="1120" w:type="dxa"/>
            <w:vAlign w:val="bottom"/>
            <w:tcBorders>
              <w:right w:val="single" w:sz="8" w:color="auto"/>
            </w:tcBorders>
          </w:tcPr>
          <w:p>
            <w:pPr>
              <w:spacing w:after="0"/>
              <w:rPr>
                <w:sz w:val="24"/>
                <w:szCs w:val="24"/>
                <w:color w:val="auto"/>
              </w:rPr>
            </w:pPr>
          </w:p>
        </w:tc>
        <w:tc>
          <w:tcPr>
            <w:tcW w:w="1120" w:type="dxa"/>
            <w:vAlign w:val="bottom"/>
            <w:tcBorders>
              <w:right w:val="single" w:sz="8" w:color="auto"/>
            </w:tcBorders>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3260" w:type="dxa"/>
            <w:vAlign w:val="bottom"/>
            <w:tcBorders>
              <w:right w:val="single" w:sz="8" w:color="auto"/>
            </w:tcBorders>
          </w:tcPr>
          <w:p>
            <w:pPr>
              <w:spacing w:after="0"/>
              <w:rPr>
                <w:sz w:val="24"/>
                <w:szCs w:val="24"/>
                <w:color w:val="auto"/>
              </w:rPr>
            </w:pPr>
          </w:p>
        </w:tc>
      </w:tr>
      <w:tr>
        <w:trPr>
          <w:trHeight w:val="216"/>
        </w:trPr>
        <w:tc>
          <w:tcPr>
            <w:tcW w:w="4760" w:type="dxa"/>
            <w:vAlign w:val="bottom"/>
            <w:tcBorders>
              <w:left w:val="single" w:sz="8" w:color="auto"/>
              <w:bottom w:val="single" w:sz="8" w:color="auto"/>
              <w:right w:val="single" w:sz="8" w:color="auto"/>
            </w:tcBorders>
            <w:gridSpan w:val="3"/>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r>
      <w:tr>
        <w:trPr>
          <w:trHeight w:val="209"/>
        </w:trPr>
        <w:tc>
          <w:tcPr>
            <w:tcW w:w="476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37 New Loan Balance</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r>
      <w:tr>
        <w:trPr>
          <w:trHeight w:val="210"/>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38</w:t>
            </w:r>
          </w:p>
        </w:tc>
        <w:tc>
          <w:tcPr>
            <w:tcW w:w="45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rPr>
              <w:t>Letter of Credit/BA’s outstanding</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39</w:t>
            </w:r>
          </w:p>
        </w:tc>
        <w:tc>
          <w:tcPr>
            <w:tcW w:w="45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Availability Not Borrowed (Lines 33 less 37 &amp; 38)</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210"/>
        </w:trPr>
        <w:tc>
          <w:tcPr>
            <w:tcW w:w="2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Total New Loan Balance:</w:t>
            </w:r>
          </w:p>
        </w:tc>
      </w:tr>
      <w:tr>
        <w:trPr>
          <w:trHeight w:val="209"/>
        </w:trPr>
        <w:tc>
          <w:tcPr>
            <w:tcW w:w="2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89"/>
              </w:rPr>
              <w:t>40</w:t>
            </w:r>
          </w:p>
        </w:tc>
        <w:tc>
          <w:tcPr>
            <w:tcW w:w="454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OVERALL EXPOSURE (lines 37 &amp; 38)</w:t>
            </w: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60" w:type="dxa"/>
            <w:vAlign w:val="bottom"/>
            <w:tcBorders>
              <w:right w:val="single" w:sz="8" w:color="auto"/>
            </w:tcBorders>
          </w:tcPr>
          <w:p>
            <w:pPr>
              <w:spacing w:after="0"/>
              <w:rPr>
                <w:sz w:val="18"/>
                <w:szCs w:val="18"/>
                <w:color w:val="auto"/>
              </w:rPr>
            </w:pPr>
          </w:p>
        </w:tc>
      </w:tr>
      <w:tr>
        <w:trPr>
          <w:trHeight w:val="217"/>
        </w:trPr>
        <w:tc>
          <w:tcPr>
            <w:tcW w:w="22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r>
      <w:tr>
        <w:trPr>
          <w:trHeight w:val="202"/>
        </w:trPr>
        <w:tc>
          <w:tcPr>
            <w:tcW w:w="220" w:type="dxa"/>
            <w:vAlign w:val="bottom"/>
            <w:tcBorders>
              <w:lef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10100" w:type="dxa"/>
            <w:vAlign w:val="bottom"/>
            <w:tcBorders>
              <w:right w:val="single" w:sz="8" w:color="auto"/>
            </w:tcBorders>
            <w:gridSpan w:val="5"/>
          </w:tcPr>
          <w:p>
            <w:pPr>
              <w:spacing w:after="0" w:line="201" w:lineRule="exact"/>
              <w:rPr>
                <w:sz w:val="20"/>
                <w:szCs w:val="20"/>
                <w:color w:val="auto"/>
              </w:rPr>
            </w:pPr>
            <w:r>
              <w:rPr>
                <w:rFonts w:ascii="Arial" w:cs="Arial" w:eastAsia="Arial" w:hAnsi="Arial"/>
                <w:sz w:val="18"/>
                <w:szCs w:val="18"/>
                <w:color w:val="auto"/>
                <w:w w:val="92"/>
              </w:rPr>
              <w:t>Pursuant to, and in accordance with, the terms and provisions of that certain Credit Agreement dated as of November 12, 2021 (as it may</w:t>
            </w:r>
          </w:p>
        </w:tc>
      </w:tr>
      <w:tr>
        <w:trPr>
          <w:trHeight w:val="216"/>
        </w:trPr>
        <w:tc>
          <w:tcPr>
            <w:tcW w:w="220" w:type="dxa"/>
            <w:vAlign w:val="bottom"/>
            <w:tcBorders>
              <w:lef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8"/>
              </w:rPr>
              <w:t>be amended or modified from time to time, the “Agreement”) among iPower Inc. (the “Company”) and certain Subsidiaries of the</w:t>
            </w:r>
          </w:p>
        </w:tc>
      </w:tr>
      <w:tr>
        <w:trPr>
          <w:trHeight w:val="216"/>
        </w:trPr>
        <w:tc>
          <w:tcPr>
            <w:tcW w:w="220" w:type="dxa"/>
            <w:vAlign w:val="bottom"/>
            <w:tcBorders>
              <w:lef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1"/>
              </w:rPr>
              <w:t>Company party thereto (together, the “Borrowers”), the other Loan Parties, the Lenders party thereto and JPMorgan Chase Bank, N.A., as</w:t>
            </w:r>
          </w:p>
        </w:tc>
      </w:tr>
      <w:tr>
        <w:trPr>
          <w:trHeight w:val="216"/>
        </w:trPr>
        <w:tc>
          <w:tcPr>
            <w:tcW w:w="220" w:type="dxa"/>
            <w:vAlign w:val="bottom"/>
            <w:tcBorders>
              <w:lef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Administrative Agent for the Lenders, the Borrower is executing and delivering to the Administrative Agent this Borrowing Base Report</w:t>
            </w:r>
          </w:p>
        </w:tc>
      </w:tr>
      <w:tr>
        <w:trPr>
          <w:trHeight w:val="216"/>
        </w:trPr>
        <w:tc>
          <w:tcPr>
            <w:tcW w:w="220" w:type="dxa"/>
            <w:vAlign w:val="bottom"/>
            <w:tcBorders>
              <w:lef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accompanied by supporting data (collectively referred to as the “Report”). The Borrower represents and warrants to the Administrative</w:t>
            </w:r>
          </w:p>
        </w:tc>
      </w:tr>
      <w:tr>
        <w:trPr>
          <w:trHeight w:val="216"/>
        </w:trPr>
        <w:tc>
          <w:tcPr>
            <w:tcW w:w="220" w:type="dxa"/>
            <w:vAlign w:val="bottom"/>
            <w:tcBorders>
              <w:lef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5"/>
              </w:rPr>
              <w:t>Agent that this Report is true and correct, and is based on information contained in Borrower’s own financial accounting records. The</w:t>
            </w:r>
          </w:p>
        </w:tc>
      </w:tr>
      <w:tr>
        <w:trPr>
          <w:trHeight w:val="216"/>
        </w:trPr>
        <w:tc>
          <w:tcPr>
            <w:tcW w:w="220" w:type="dxa"/>
            <w:vAlign w:val="bottom"/>
            <w:tcBorders>
              <w:lef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9"/>
              </w:rPr>
              <w:t>Borrower, by the execution of this Report, hereby ratifies, confirms and affirms all of the terms, conditions and provisions of the</w:t>
            </w:r>
          </w:p>
        </w:tc>
      </w:tr>
      <w:tr>
        <w:trPr>
          <w:trHeight w:val="216"/>
        </w:trPr>
        <w:tc>
          <w:tcPr>
            <w:tcW w:w="220" w:type="dxa"/>
            <w:vAlign w:val="bottom"/>
            <w:tcBorders>
              <w:lef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1010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4"/>
              </w:rPr>
              <w:t>Agreement, and certifies on this ___ day of ________________, 20__, that the Borrower is in compliance with the Agreement. Unless</w:t>
            </w:r>
          </w:p>
        </w:tc>
      </w:tr>
      <w:tr>
        <w:trPr>
          <w:trHeight w:val="237"/>
        </w:trPr>
        <w:tc>
          <w:tcPr>
            <w:tcW w:w="220" w:type="dxa"/>
            <w:vAlign w:val="bottom"/>
            <w:tcBorders>
              <w:left w:val="single" w:sz="8" w:color="auto"/>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1010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otherwise defined herein, capitalized terms used herein have the meanings ascribed thereto in the Agreement.</w:t>
            </w:r>
          </w:p>
        </w:tc>
      </w:tr>
      <w:tr>
        <w:trPr>
          <w:trHeight w:val="230"/>
        </w:trPr>
        <w:tc>
          <w:tcPr>
            <w:tcW w:w="220" w:type="dxa"/>
            <w:vAlign w:val="bottom"/>
            <w:tcBorders>
              <w:lef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58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BORROWER NAME:</w:t>
            </w:r>
          </w:p>
        </w:tc>
        <w:tc>
          <w:tcPr>
            <w:tcW w:w="4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AUTHORIZED SIGNATURE:</w:t>
            </w:r>
          </w:p>
        </w:tc>
      </w:tr>
      <w:tr>
        <w:trPr>
          <w:trHeight w:val="641"/>
        </w:trPr>
        <w:tc>
          <w:tcPr>
            <w:tcW w:w="220" w:type="dxa"/>
            <w:vAlign w:val="bottom"/>
            <w:tcBorders>
              <w:left w:val="single" w:sz="8" w:color="auto"/>
              <w:bottom w:val="single" w:sz="8" w:color="auto"/>
            </w:tcBorders>
          </w:tcPr>
          <w:p>
            <w:pPr>
              <w:spacing w:after="0"/>
              <w:rPr>
                <w:sz w:val="24"/>
                <w:szCs w:val="24"/>
                <w:color w:val="auto"/>
              </w:rPr>
            </w:pPr>
          </w:p>
        </w:tc>
        <w:tc>
          <w:tcPr>
            <w:tcW w:w="94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6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COMPLIANCE CERTIFICATE</w:t>
      </w:r>
    </w:p>
    <w:p>
      <w:pPr>
        <w:sectPr>
          <w:pgSz w:w="11900" w:h="16838" w:orient="portrait"/>
          <w:cols w:equalWidth="0" w:num="1">
            <w:col w:w="11240"/>
          </w:cols>
          <w:pgMar w:left="320" w:top="8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The Lenders parties to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Credit Agreement Described Below</w:t>
      </w:r>
    </w:p>
    <w:p>
      <w:pPr>
        <w:spacing w:after="0" w:line="200" w:lineRule="exact"/>
        <w:rPr>
          <w:sz w:val="20"/>
          <w:szCs w:val="20"/>
          <w:color w:val="auto"/>
        </w:rPr>
      </w:pPr>
    </w:p>
    <w:p>
      <w:pPr>
        <w:sectPr>
          <w:pgSz w:w="11900" w:h="16838" w:orient="portrait"/>
          <w:cols w:equalWidth="0" w:num="2">
            <w:col w:w="240" w:space="420"/>
            <w:col w:w="10580"/>
          </w:cols>
          <w:pgMar w:left="320" w:top="800" w:right="339" w:bottom="1440" w:gutter="0" w:footer="0" w:header="0"/>
          <w:type w:val="continuous"/>
        </w:sectPr>
      </w:pPr>
    </w:p>
    <w:p>
      <w:pPr>
        <w:spacing w:after="0" w:line="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This Compliance Certificate is furnished pursuant to that certain Credit Agreement dated as of November 12, 2021 (as amended, modified, renewed or extended from time to time, the “Agreement”) among iPower Inc. (the “Company”) and certain Subsidiaries of the Company party thereto (together, the “Borrowers”), the other Loan Parties, the Lenders party thereto and JPMorgan Chase Bank, N.A., as Administrative Agent for the Lenders. Unless otherwise defined herein, capitalized terms used in this Compliance Certificate have the meanings ascribed thereto in the Agreement.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CERTIFIES, ON ITS BEHALF AND ON BEHALF OF THE BORROWERS, THAT:</w:t>
      </w:r>
    </w:p>
    <w:p>
      <w:pPr>
        <w:spacing w:after="0" w:line="225" w:lineRule="exact"/>
        <w:rPr>
          <w:sz w:val="20"/>
          <w:szCs w:val="20"/>
          <w:color w:val="auto"/>
        </w:rPr>
      </w:pPr>
    </w:p>
    <w:p>
      <w:pPr>
        <w:ind w:left="1100" w:hanging="444"/>
        <w:spacing w:after="0"/>
        <w:tabs>
          <w:tab w:leader="none" w:pos="11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am the duly elected _____________________ of the Borrower Representative;</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17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have reviewed the terms of the Agreement and I have made, or have caused to be made under my supervision, a detailed review of the transactions and conditions of the Company and its Subsidiaries during the accounting period covered by the attached financial statements and such financial statements present fairly in all material respects the financial condition and results of operations of the Borrowers and their consolidated Subsidiaries on a consolidated basis in accordance with GAAP consistently applied, subject to normal year-end audit adjustments and the absence of footnotes;</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examinations described in paragraph 2 did not disclose, except as set forth below, and I have no knowledge of (i) the existence of any condition or event which constitutes a Default during or at the end of the accounting period covered by the attached financial statements or as of the date of this Certificate or (ii) any change in GAAP or in the application thereof that has occurred since the date of the audited financial statements referred to in Section 3.04 of the Agreement;</w:t>
      </w:r>
    </w:p>
    <w:p>
      <w:pPr>
        <w:spacing w:after="0" w:line="186" w:lineRule="exact"/>
        <w:rPr>
          <w:rFonts w:ascii="Arial" w:cs="Arial" w:eastAsia="Arial" w:hAnsi="Arial"/>
          <w:sz w:val="18"/>
          <w:szCs w:val="18"/>
          <w:color w:val="auto"/>
        </w:rPr>
      </w:pPr>
    </w:p>
    <w:p>
      <w:pPr>
        <w:jc w:val="both"/>
        <w:ind w:firstLine="656"/>
        <w:spacing w:after="0" w:line="263" w:lineRule="auto"/>
        <w:tabs>
          <w:tab w:leader="none" w:pos="11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hereby certify that no Loan Party has changed (i) its name, (ii) its chief executive office, (iii) principal place of business, (iv) the type of entity it is or (v) its state of incorporation or organization without having given the Administrative Agent the notice required by Section 4.15 of the Security Agreement;</w:t>
      </w:r>
    </w:p>
    <w:p>
      <w:pPr>
        <w:spacing w:after="0" w:line="183" w:lineRule="exact"/>
        <w:rPr>
          <w:rFonts w:ascii="Arial" w:cs="Arial" w:eastAsia="Arial" w:hAnsi="Arial"/>
          <w:sz w:val="18"/>
          <w:szCs w:val="18"/>
          <w:color w:val="auto"/>
        </w:rPr>
      </w:pPr>
    </w:p>
    <w:p>
      <w:pPr>
        <w:ind w:firstLine="656"/>
        <w:spacing w:after="0" w:line="289" w:lineRule="auto"/>
        <w:tabs>
          <w:tab w:leader="none" w:pos="115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Schedule I attached hereto sets forth financial data and computations evidencing the Borrowers’ compliance with certain covenants of the Agreement, all of which data and computations are true, complete and correct</w:t>
      </w:r>
      <w:r>
        <w:rPr>
          <w:rFonts w:ascii="Arial" w:cs="Arial" w:eastAsia="Arial" w:hAnsi="Arial"/>
          <w:sz w:val="29"/>
          <w:szCs w:val="29"/>
          <w:color w:val="auto"/>
          <w:vertAlign w:val="superscript"/>
        </w:rPr>
        <w:t>[5]</w:t>
      </w:r>
      <w:r>
        <w:rPr>
          <w:rFonts w:ascii="Arial" w:cs="Arial" w:eastAsia="Arial" w:hAnsi="Arial"/>
          <w:sz w:val="18"/>
          <w:szCs w:val="18"/>
          <w:color w:val="auto"/>
        </w:rPr>
        <w:t>; and</w:t>
      </w:r>
    </w:p>
    <w:p>
      <w:pPr>
        <w:spacing w:after="0" w:line="37" w:lineRule="exact"/>
        <w:rPr>
          <w:rFonts w:ascii="Arial" w:cs="Arial" w:eastAsia="Arial" w:hAnsi="Arial"/>
          <w:sz w:val="18"/>
          <w:szCs w:val="18"/>
          <w:color w:val="auto"/>
        </w:rPr>
      </w:pPr>
    </w:p>
    <w:p>
      <w:pPr>
        <w:ind w:left="1140" w:hanging="484"/>
        <w:spacing w:after="0"/>
        <w:tabs>
          <w:tab w:leader="none" w:pos="11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Schedule II hereto sets forth the computations necessary to determine the Applicable Rate commencing on the Business Day this certificate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delivered.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ind w:left="220" w:hanging="212"/>
        <w:spacing w:after="0" w:line="208" w:lineRule="auto"/>
        <w:tabs>
          <w:tab w:leader="none" w:pos="220" w:val="left"/>
        </w:tabs>
        <w:numPr>
          <w:ilvl w:val="0"/>
          <w:numId w:val="195"/>
        </w:numPr>
        <w:rPr>
          <w:rFonts w:ascii="Arial" w:cs="Arial" w:eastAsia="Arial" w:hAnsi="Arial"/>
          <w:sz w:val="28"/>
          <w:szCs w:val="28"/>
          <w:color w:val="auto"/>
          <w:vertAlign w:val="superscript"/>
        </w:rPr>
      </w:pPr>
      <w:r>
        <w:rPr>
          <w:rFonts w:ascii="Arial" w:cs="Arial" w:eastAsia="Arial" w:hAnsi="Arial"/>
          <w:sz w:val="17"/>
          <w:szCs w:val="17"/>
          <w:color w:val="auto"/>
        </w:rPr>
        <w:t>Schedule I must include detailed calculation tables for all components of the financial covenant calculations.</w:t>
      </w:r>
    </w:p>
    <w:p>
      <w:pPr>
        <w:spacing w:after="0" w:line="200" w:lineRule="exact"/>
        <w:rPr>
          <w:rFonts w:ascii="Arial" w:cs="Arial" w:eastAsia="Arial" w:hAnsi="Arial"/>
          <w:sz w:val="28"/>
          <w:szCs w:val="28"/>
          <w:color w:val="auto"/>
          <w:vertAlign w:val="superscript"/>
        </w:rPr>
      </w:pPr>
    </w:p>
    <w:p>
      <w:pPr>
        <w:spacing w:after="0" w:line="200" w:lineRule="exact"/>
        <w:rPr>
          <w:rFonts w:ascii="Arial" w:cs="Arial" w:eastAsia="Arial" w:hAnsi="Arial"/>
          <w:sz w:val="28"/>
          <w:szCs w:val="28"/>
          <w:color w:val="auto"/>
          <w:vertAlign w:val="superscript"/>
        </w:rPr>
      </w:pPr>
    </w:p>
    <w:p>
      <w:pPr>
        <w:spacing w:after="0" w:line="342" w:lineRule="exact"/>
        <w:rPr>
          <w:rFonts w:ascii="Arial" w:cs="Arial" w:eastAsia="Arial" w:hAnsi="Arial"/>
          <w:sz w:val="28"/>
          <w:szCs w:val="28"/>
          <w:color w:val="auto"/>
          <w:vertAlign w:val="superscript"/>
        </w:rPr>
      </w:pPr>
    </w:p>
    <w:p>
      <w:pPr>
        <w:ind w:left="5500"/>
        <w:spacing w:after="0"/>
        <w:rPr>
          <w:rFonts w:ascii="Arial" w:cs="Arial" w:eastAsia="Arial" w:hAnsi="Arial"/>
          <w:sz w:val="28"/>
          <w:szCs w:val="28"/>
          <w:color w:val="auto"/>
          <w:vertAlign w:val="superscript"/>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type w:val="continuous"/>
        </w:sectPr>
      </w:pPr>
    </w:p>
    <w:bookmarkStart w:id="183" w:name="page184"/>
    <w:bookmarkEnd w:id="183"/>
    <w:p>
      <w:pPr>
        <w:jc w:val="both"/>
        <w:ind w:firstLine="648"/>
        <w:spacing w:after="0" w:line="263" w:lineRule="auto"/>
        <w:rPr>
          <w:sz w:val="20"/>
          <w:szCs w:val="20"/>
          <w:color w:val="auto"/>
        </w:rPr>
      </w:pPr>
      <w:r>
        <w:rPr>
          <w:rFonts w:ascii="Arial" w:cs="Arial" w:eastAsia="Arial" w:hAnsi="Arial"/>
          <w:sz w:val="18"/>
          <w:szCs w:val="18"/>
          <w:color w:val="auto"/>
        </w:rPr>
        <w:t>Described below are the exceptions, if any, to paragraph 3 by listing, in detail, the (i) nature of the condition or event, the period during which it has existed and the action which the Borrowers have taken, are taking, or propose to take with respect to each such condition or event or (i) the change in GAAP or the application thereof and the effect of such change on the attached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foregoing certifications, together with the computations set forth in Schedule I and Schedule II hereto and the financial statements delivered with this Certificate in support hereof, are made and delivered this _____ day of _________________, _____.</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Borrower Representative</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By:__________________________________</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4" w:name="page185"/>
    <w:bookmarkEnd w:id="184"/>
    <w:p>
      <w:pPr>
        <w:jc w:val="center"/>
        <w:ind w:right="-440"/>
        <w:spacing w:after="0"/>
        <w:rPr>
          <w:sz w:val="20"/>
          <w:szCs w:val="20"/>
          <w:color w:val="auto"/>
        </w:rPr>
      </w:pPr>
      <w:r>
        <w:rPr>
          <w:rFonts w:ascii="Arial" w:cs="Arial" w:eastAsia="Arial" w:hAnsi="Arial"/>
          <w:sz w:val="18"/>
          <w:szCs w:val="18"/>
          <w:color w:val="auto"/>
        </w:rPr>
        <w:t>SCHEDULE 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Compliance as of _________, ____ with</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Provisions of ___________ and ___________ of the Agreement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[Schedule I must include detailed calculation tables for all components of the financial covenant]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479"/>
          </w:cols>
          <w:pgMar w:left="980" w:top="1016" w:right="1440" w:bottom="1440" w:gutter="0" w:footer="0" w:header="0"/>
        </w:sectPr>
      </w:pPr>
    </w:p>
    <w:bookmarkStart w:id="185" w:name="page186"/>
    <w:bookmarkEnd w:id="185"/>
    <w:p>
      <w:pPr>
        <w:jc w:val="center"/>
        <w:ind w:right="-1120"/>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color w:val="auto"/>
        </w:rPr>
        <w:t>Borrowers’ Applicable Rate Calculation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Computation: 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Category from Grid in Definition of Applicable Rate: __________________</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016" w:right="1440" w:bottom="1440" w:gutter="0" w:footer="0" w:header="0"/>
        </w:sectPr>
      </w:pPr>
    </w:p>
    <w:bookmarkStart w:id="186" w:name="page187"/>
    <w:bookmarkEnd w:id="186"/>
    <w:p>
      <w:pPr>
        <w:jc w:val="center"/>
        <w:spacing w:after="0"/>
        <w:rPr>
          <w:sz w:val="20"/>
          <w:szCs w:val="20"/>
          <w:color w:val="auto"/>
        </w:rPr>
      </w:pPr>
      <w:r>
        <w:rPr>
          <w:rFonts w:ascii="Arial" w:cs="Arial" w:eastAsia="Arial" w:hAnsi="Arial"/>
          <w:sz w:val="18"/>
          <w:szCs w:val="18"/>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JOINDER AGREEMENT</w:t>
      </w:r>
    </w:p>
    <w:p>
      <w:pPr>
        <w:spacing w:after="0" w:line="225" w:lineRule="exact"/>
        <w:rPr>
          <w:sz w:val="20"/>
          <w:szCs w:val="20"/>
          <w:color w:val="auto"/>
        </w:rPr>
      </w:pPr>
    </w:p>
    <w:p>
      <w:pPr>
        <w:ind w:left="660"/>
        <w:spacing w:after="0"/>
        <w:tabs>
          <w:tab w:leader="none" w:pos="1240" w:val="left"/>
          <w:tab w:leader="none" w:pos="2200" w:val="left"/>
          <w:tab w:leader="none" w:pos="3540" w:val="left"/>
          <w:tab w:leader="none" w:pos="4060" w:val="left"/>
          <w:tab w:leader="none" w:pos="5340" w:val="left"/>
          <w:tab w:leader="none" w:pos="5940" w:val="left"/>
          <w:tab w:leader="none" w:pos="6300" w:val="left"/>
          <w:tab w:leader="none" w:pos="6660" w:val="left"/>
          <w:tab w:leader="none" w:pos="7820" w:val="left"/>
          <w:tab w:leader="none" w:pos="8440" w:val="left"/>
          <w:tab w:leader="none" w:pos="9060" w:val="left"/>
          <w:tab w:leader="none" w:pos="9380" w:val="left"/>
          <w:tab w:leader="none" w:pos="10120" w:val="left"/>
          <w:tab w:leader="none" w:pos="10620" w:val="left"/>
        </w:tabs>
        <w:rPr>
          <w:sz w:val="20"/>
          <w:szCs w:val="20"/>
          <w:color w:val="auto"/>
        </w:rPr>
      </w:pPr>
      <w:r>
        <w:rPr>
          <w:rFonts w:ascii="Arial" w:cs="Arial" w:eastAsia="Arial" w:hAnsi="Arial"/>
          <w:sz w:val="18"/>
          <w:szCs w:val="18"/>
          <w:color w:val="auto"/>
        </w:rPr>
        <w:t>THIS</w:t>
        <w:tab/>
        <w:t>JOINDER</w:t>
        <w:tab/>
        <w:t>AGREEMENT</w:t>
        <w:tab/>
        <w:t>(this</w:t>
        <w:tab/>
        <w:t>“Agreement”),</w:t>
        <w:tab/>
        <w:t>dated</w:t>
        <w:tab/>
        <w:t>as</w:t>
        <w:tab/>
        <w:t>of</w:t>
        <w:tab/>
        <w:t>__________,</w:t>
        <w:tab/>
        <w:t>____,</w:t>
        <w:tab/>
        <w:t>20__,</w:t>
        <w:tab/>
        <w:t>is</w:t>
        <w:tab/>
        <w:t>entered</w:t>
        <w:tab/>
        <w:t>into</w:t>
      </w:r>
      <w:r>
        <w:rPr>
          <w:sz w:val="20"/>
          <w:szCs w:val="20"/>
          <w:color w:val="auto"/>
        </w:rPr>
        <w:tab/>
      </w:r>
      <w:r>
        <w:rPr>
          <w:rFonts w:ascii="Arial" w:cs="Arial" w:eastAsia="Arial" w:hAnsi="Arial"/>
          <w:sz w:val="15"/>
          <w:szCs w:val="15"/>
          <w:color w:val="auto"/>
        </w:rPr>
        <w:t>between</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 a _________________ (the “New Subsidiary”) and JPMORGAN CHASE BANK, N.A., in its capacity as</w:t>
      </w:r>
    </w:p>
    <w:p>
      <w:pPr>
        <w:spacing w:after="0" w:line="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administrative agent (the “Administrative Agent”) under that certain Credit Agreement dated as of November 12, 2021 (as the same may be amended, modified, extended or restated from time to time, the “Credit Agreement”) among iPower Inc. (the “Company”) and certain Subsidiaries of the Company party thereto (together, the “Borrowers”), the other Loan Parties party thereto, the Lenders party thereto and the Administrative Agent for the Lenders. All capitalized terms used herein and not otherwise defined herein shall have the meanings set forth in the Credit Agreement.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New Subsidiary and the Administrative Agent, for the benefit of the Lenders, hereby agree as follows:</w:t>
      </w:r>
    </w:p>
    <w:p>
      <w:pPr>
        <w:spacing w:after="0" w:line="225" w:lineRule="exact"/>
        <w:rPr>
          <w:sz w:val="20"/>
          <w:szCs w:val="20"/>
          <w:color w:val="auto"/>
        </w:rPr>
      </w:pPr>
    </w:p>
    <w:p>
      <w:pPr>
        <w:jc w:val="both"/>
        <w:ind w:firstLine="656"/>
        <w:spacing w:after="0" w:line="268" w:lineRule="auto"/>
        <w:tabs>
          <w:tab w:leader="none" w:pos="125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The New Subsidiary hereby acknowledges, agrees and confirms that, by its execution of this Agreement, the New Subsidiary will be deemed to be a Loan Party under the Credit Agreement and a “Loan Guarantor” for all purposes of the Credit Agreement and shall have all of the obligations of a Loan Party and a Loan Guarantor thereunder as if it had executed the Credit Agreement. The New Subsidiary hereby ratifies, as of the date hereof, and agrees to be bound by, all of the terms, provisions and conditions contained in the Credit Agreement, including without limitation (a) all of the representations and warranties of the Loan Parties set forth in Article III of the Credit Agreement, </w:t>
      </w:r>
      <w:r>
        <w:rPr>
          <w:rFonts w:ascii="Arial" w:cs="Arial" w:eastAsia="Arial" w:hAnsi="Arial"/>
          <w:sz w:val="17"/>
          <w:szCs w:val="17"/>
          <w:b w:val="1"/>
          <w:bCs w:val="1"/>
          <w:color w:val="auto"/>
        </w:rPr>
        <w:t>*[</w:t>
      </w:r>
      <w:r>
        <w:rPr>
          <w:rFonts w:ascii="Arial" w:cs="Arial" w:eastAsia="Arial" w:hAnsi="Arial"/>
          <w:sz w:val="17"/>
          <w:szCs w:val="17"/>
          <w:color w:val="auto"/>
        </w:rPr>
        <w:t>and</w:t>
      </w:r>
      <w:r>
        <w:rPr>
          <w:rFonts w:ascii="Arial" w:cs="Arial" w:eastAsia="Arial" w:hAnsi="Arial"/>
          <w:sz w:val="17"/>
          <w:szCs w:val="17"/>
          <w:b w:val="1"/>
          <w:bCs w:val="1"/>
          <w:color w:val="auto"/>
        </w:rPr>
        <w:t>]*</w:t>
      </w:r>
      <w:r>
        <w:rPr>
          <w:rFonts w:ascii="Arial" w:cs="Arial" w:eastAsia="Arial" w:hAnsi="Arial"/>
          <w:sz w:val="17"/>
          <w:szCs w:val="17"/>
          <w:color w:val="auto"/>
        </w:rPr>
        <w:t xml:space="preserve"> (b) all of the covenants set forth in Articles V and VI of the Credit Agreement </w:t>
      </w:r>
      <w:r>
        <w:rPr>
          <w:rFonts w:ascii="Arial" w:cs="Arial" w:eastAsia="Arial" w:hAnsi="Arial"/>
          <w:sz w:val="17"/>
          <w:szCs w:val="17"/>
          <w:b w:val="1"/>
          <w:bCs w:val="1"/>
          <w:color w:val="auto"/>
        </w:rPr>
        <w:t>*[</w:t>
      </w:r>
      <w:r>
        <w:rPr>
          <w:rFonts w:ascii="Arial" w:cs="Arial" w:eastAsia="Arial" w:hAnsi="Arial"/>
          <w:sz w:val="17"/>
          <w:szCs w:val="17"/>
          <w:color w:val="auto"/>
        </w:rPr>
        <w:t>and (c) all of the guaranty obligations set forth in Article X of the Credit Agreement. Without limiting the generality of the foregoing terms of this paragraph 1, the New Subsidiary, subject to the limitations set forth in Sections 10.10 and 10.13 of the Credit Agreement, hereby guarantees, jointly and severally with the other Loan Guarantors, to the Administrative Agent and the Lenders, as provided in Article X of the Credit Agreement, the prompt payment and performance of the Guaranteed Obligations in full when due (whether at stated maturity, as a mandatory prepayment, by acceleration or otherwise) strictly in accordance with the terms thereof and agrees that if any of the Guaranteed Obligations are not paid or performed in full when due (whether at stated maturity, as a mandatory prepayment, by acceleration or otherwise), the New Subsidiary will, jointly and severally together with the other Loan Guarantors, promptly pay and perform the same, without any demand or notice whatsoever, and that in the case of any extension of time of payment or renewal of any of the Guaranteed Obligations, the same will be promptly paid in full when due (whether at extended maturity, as a mandatory prepayment, by acceleration or otherwise) in accordance with the terms of such extension or renewal.</w:t>
      </w:r>
      <w:r>
        <w:rPr>
          <w:rFonts w:ascii="Arial" w:cs="Arial" w:eastAsia="Arial" w:hAnsi="Arial"/>
          <w:sz w:val="17"/>
          <w:szCs w:val="17"/>
          <w:b w:val="1"/>
          <w:bCs w:val="1"/>
          <w:color w:val="auto"/>
        </w:rPr>
        <w:t>]* *[</w:t>
      </w:r>
      <w:r>
        <w:rPr>
          <w:rFonts w:ascii="Arial" w:cs="Arial" w:eastAsia="Arial" w:hAnsi="Arial"/>
          <w:sz w:val="17"/>
          <w:szCs w:val="17"/>
          <w:color w:val="auto"/>
        </w:rPr>
        <w:t>The New Subsidiary has delivered to the Administrative Agent an executed Loan Guaranty.</w:t>
      </w:r>
      <w:r>
        <w:rPr>
          <w:rFonts w:ascii="Arial" w:cs="Arial" w:eastAsia="Arial" w:hAnsi="Arial"/>
          <w:sz w:val="17"/>
          <w:szCs w:val="17"/>
          <w:b w:val="1"/>
          <w:bCs w:val="1"/>
          <w:color w:val="auto"/>
        </w:rPr>
        <w:t>]*</w:t>
      </w:r>
    </w:p>
    <w:p>
      <w:pPr>
        <w:spacing w:after="0" w:line="181" w:lineRule="exact"/>
        <w:rPr>
          <w:rFonts w:ascii="Arial" w:cs="Arial" w:eastAsia="Arial" w:hAnsi="Arial"/>
          <w:sz w:val="17"/>
          <w:szCs w:val="17"/>
          <w:color w:val="auto"/>
        </w:rPr>
      </w:pPr>
    </w:p>
    <w:p>
      <w:pPr>
        <w:ind w:firstLine="656"/>
        <w:spacing w:after="0" w:line="308" w:lineRule="auto"/>
        <w:tabs>
          <w:tab w:leader="none" w:pos="133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required, the New Subsidiary is, simultaneously with the execution of this Agreement, executing and delivering such Collateral Documents (and such other documents and instruments) as requested by the Administrative Agent in accordance with the Credit Agreement.</w:t>
      </w:r>
    </w:p>
    <w:p>
      <w:pPr>
        <w:spacing w:after="0" w:line="146" w:lineRule="exact"/>
        <w:rPr>
          <w:rFonts w:ascii="Arial" w:cs="Arial" w:eastAsia="Arial" w:hAnsi="Arial"/>
          <w:sz w:val="17"/>
          <w:szCs w:val="17"/>
          <w:color w:val="auto"/>
        </w:rPr>
      </w:pPr>
    </w:p>
    <w:p>
      <w:pPr>
        <w:ind w:left="1100" w:hanging="444"/>
        <w:spacing w:after="0"/>
        <w:tabs>
          <w:tab w:leader="none" w:pos="11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address of the New Subsidiary for purposes of Section 9.01 of the Credit Agreement is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87" w:name="page188"/>
    <w:bookmarkEnd w:id="187"/>
    <w:p>
      <w:pPr>
        <w:ind w:firstLine="656"/>
        <w:spacing w:after="0" w:line="277" w:lineRule="auto"/>
        <w:tabs>
          <w:tab w:leader="none" w:pos="115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New Subsidiary hereby waives acceptance by the Administrative Agent and the Lenders of the guaranty by the New Subsidiary upon the execution of this Agreement by the New Subsidiary.</w:t>
      </w:r>
    </w:p>
    <w:p>
      <w:pPr>
        <w:spacing w:after="0" w:line="170" w:lineRule="exact"/>
        <w:rPr>
          <w:rFonts w:ascii="Arial" w:cs="Arial" w:eastAsia="Arial" w:hAnsi="Arial"/>
          <w:sz w:val="18"/>
          <w:szCs w:val="18"/>
          <w:color w:val="auto"/>
        </w:rPr>
      </w:pPr>
    </w:p>
    <w:p>
      <w:pPr>
        <w:ind w:firstLine="656"/>
        <w:spacing w:after="0" w:line="277" w:lineRule="auto"/>
        <w:tabs>
          <w:tab w:leader="none" w:pos="112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each of which when so executed and delivered shall be an original, but all of which shall constitute one and the same instrument.</w:t>
      </w:r>
    </w:p>
    <w:p>
      <w:pPr>
        <w:spacing w:after="0" w:line="170" w:lineRule="exact"/>
        <w:rPr>
          <w:rFonts w:ascii="Arial" w:cs="Arial" w:eastAsia="Arial" w:hAnsi="Arial"/>
          <w:sz w:val="18"/>
          <w:szCs w:val="18"/>
          <w:color w:val="auto"/>
        </w:rPr>
      </w:pPr>
    </w:p>
    <w:p>
      <w:pPr>
        <w:ind w:firstLine="656"/>
        <w:spacing w:after="0" w:line="277" w:lineRule="auto"/>
        <w:tabs>
          <w:tab w:leader="none" w:pos="115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HEREUNDER SHALL BE GOVERNED BY AND CONSTRUED AND INTERPRETED IN ACCORDANCE WITH THE LAWS OF THE STATE OF CALIFORNIA.</w:t>
      </w:r>
    </w:p>
    <w:p>
      <w:pPr>
        <w:spacing w:after="0" w:line="170"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WITNESS WHEREOF, the New Subsidiary has caused this Agreement to be duly executed by its authorized officer, and the Administrative Agent, for the benefit of the Lenders, has caused the same to be accepted by its authorized officer, as of the day and year first above written.</w:t>
      </w:r>
    </w:p>
    <w:p>
      <w:pPr>
        <w:spacing w:after="0" w:line="200" w:lineRule="exact"/>
        <w:rPr>
          <w:sz w:val="20"/>
          <w:szCs w:val="20"/>
          <w:color w:val="auto"/>
        </w:rPr>
      </w:pPr>
    </w:p>
    <w:p>
      <w:pPr>
        <w:spacing w:after="0" w:line="356"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[NEW SUBSIDIARY]</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________________________________________</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______________________________________</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_______________________________________</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Acknowledged and accepted:</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By: ________________________________________</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______________________________________</w:t>
      </w:r>
    </w:p>
    <w:p>
      <w:pPr>
        <w:spacing w:after="0" w:line="9"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Title: 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8" w:name="page189"/>
    <w:bookmarkEnd w:id="188"/>
    <w:p>
      <w:pPr>
        <w:jc w:val="right"/>
        <w:spacing w:after="0"/>
        <w:rPr>
          <w:sz w:val="20"/>
          <w:szCs w:val="20"/>
          <w:color w:val="auto"/>
        </w:rPr>
      </w:pPr>
      <w:r>
        <w:rPr>
          <w:rFonts w:ascii="Arial" w:cs="Arial" w:eastAsia="Arial" w:hAnsi="Arial"/>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 SECURITY AGREEMENT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TRADEMARK SECURITY AGREEMENT (this “</w:t>
      </w:r>
      <w:r>
        <w:rPr>
          <w:rFonts w:ascii="Arial" w:cs="Arial" w:eastAsia="Arial" w:hAnsi="Arial"/>
          <w:sz w:val="18"/>
          <w:szCs w:val="18"/>
          <w:u w:val="single" w:color="auto"/>
          <w:color w:val="auto"/>
        </w:rPr>
        <w:t>Trademark Security Agreement</w:t>
      </w:r>
      <w:r>
        <w:rPr>
          <w:rFonts w:ascii="Arial" w:cs="Arial" w:eastAsia="Arial" w:hAnsi="Arial"/>
          <w:sz w:val="18"/>
          <w:szCs w:val="18"/>
          <w:color w:val="auto"/>
        </w:rPr>
        <w:t xml:space="preserve">”) is made as of November 12, 2021, by and between </w:t>
      </w:r>
      <w:r>
        <w:rPr>
          <w:rFonts w:ascii="Arial" w:cs="Arial" w:eastAsia="Arial" w:hAnsi="Arial"/>
          <w:sz w:val="18"/>
          <w:szCs w:val="18"/>
          <w:b w:val="1"/>
          <w:bCs w:val="1"/>
          <w:color w:val="auto"/>
        </w:rPr>
        <w:t>iPOWER INC.</w:t>
      </w:r>
      <w:r>
        <w:rPr>
          <w:rFonts w:ascii="Arial" w:cs="Arial" w:eastAsia="Arial" w:hAnsi="Arial"/>
          <w:sz w:val="18"/>
          <w:szCs w:val="18"/>
          <w:color w:val="auto"/>
        </w:rPr>
        <w:t>, a Nevada corporation (the “</w:t>
      </w:r>
      <w:r>
        <w:rPr>
          <w:rFonts w:ascii="Arial" w:cs="Arial" w:eastAsia="Arial" w:hAnsi="Arial"/>
          <w:sz w:val="18"/>
          <w:szCs w:val="18"/>
          <w:u w:val="single" w:color="auto"/>
          <w:color w:val="auto"/>
        </w:rPr>
        <w:t>Grantor</w:t>
      </w:r>
      <w:r>
        <w:rPr>
          <w:rFonts w:ascii="Arial" w:cs="Arial" w:eastAsia="Arial" w:hAnsi="Arial"/>
          <w:sz w:val="18"/>
          <w:szCs w:val="18"/>
          <w:color w:val="auto"/>
        </w:rPr>
        <w:t>”), and</w:t>
      </w:r>
      <w:r>
        <w:rPr>
          <w:rFonts w:ascii="Arial" w:cs="Arial" w:eastAsia="Arial" w:hAnsi="Arial"/>
          <w:sz w:val="18"/>
          <w:szCs w:val="18"/>
          <w:b w:val="1"/>
          <w:bCs w:val="1"/>
          <w:color w:val="auto"/>
        </w:rPr>
        <w:t xml:space="preserve"> JPMorgan Chase Bank, N.A.</w:t>
      </w:r>
      <w:r>
        <w:rPr>
          <w:rFonts w:ascii="Arial" w:cs="Arial" w:eastAsia="Arial" w:hAnsi="Arial"/>
          <w:sz w:val="18"/>
          <w:szCs w:val="18"/>
          <w:color w:val="auto"/>
        </w:rPr>
        <w:t>, in its capacity as administrative agent (the “</w:t>
      </w:r>
      <w:r>
        <w:rPr>
          <w:rFonts w:ascii="Arial" w:cs="Arial" w:eastAsia="Arial" w:hAnsi="Arial"/>
          <w:sz w:val="18"/>
          <w:szCs w:val="18"/>
          <w:u w:val="single" w:color="auto"/>
          <w:color w:val="auto"/>
        </w:rPr>
        <w:t>Administrative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for the lenders party to the Credit Agreement referred to below.</w:t>
      </w:r>
    </w:p>
    <w:p>
      <w:pPr>
        <w:spacing w:after="0" w:line="184"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WHEREAS, pursuant to that certain Credit Agreement, dated as of the date hereof (as amended, restated, amended and restated, supplemented, or otherwise modified from time to time, the “</w:t>
      </w:r>
      <w:r>
        <w:rPr>
          <w:rFonts w:ascii="Arial" w:cs="Arial" w:eastAsia="Arial" w:hAnsi="Arial"/>
          <w:sz w:val="16"/>
          <w:szCs w:val="16"/>
          <w:u w:val="single" w:color="auto"/>
          <w:color w:val="auto"/>
        </w:rPr>
        <w:t>Credit Agreement</w:t>
      </w:r>
      <w:r>
        <w:rPr>
          <w:rFonts w:ascii="Arial" w:cs="Arial" w:eastAsia="Arial" w:hAnsi="Arial"/>
          <w:sz w:val="16"/>
          <w:szCs w:val="16"/>
          <w:color w:val="auto"/>
        </w:rPr>
        <w:t>”), by and among the Grantor and certain Subsidiaries of the Grantor party thereto (collectively, the “</w:t>
      </w:r>
      <w:r>
        <w:rPr>
          <w:rFonts w:ascii="Arial" w:cs="Arial" w:eastAsia="Arial" w:hAnsi="Arial"/>
          <w:sz w:val="16"/>
          <w:szCs w:val="16"/>
          <w:u w:val="single" w:color="auto"/>
          <w:color w:val="auto"/>
        </w:rPr>
        <w:t>Borrowers</w:t>
      </w:r>
      <w:r>
        <w:rPr>
          <w:rFonts w:ascii="Arial" w:cs="Arial" w:eastAsia="Arial" w:hAnsi="Arial"/>
          <w:sz w:val="16"/>
          <w:szCs w:val="16"/>
          <w:color w:val="auto"/>
        </w:rPr>
        <w:t>”), the Administrative Agent, the other Loan Parties party thereto, and the lenders party thereto as “Lenders” (such Lenders, together with their respective successors and assigns in such capacity, each, individually, a “</w:t>
      </w:r>
      <w:r>
        <w:rPr>
          <w:rFonts w:ascii="Arial" w:cs="Arial" w:eastAsia="Arial" w:hAnsi="Arial"/>
          <w:sz w:val="16"/>
          <w:szCs w:val="16"/>
          <w:u w:val="single" w:color="auto"/>
          <w:color w:val="auto"/>
        </w:rPr>
        <w:t>Lender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Lenders</w:t>
      </w:r>
      <w:r>
        <w:rPr>
          <w:rFonts w:ascii="Arial" w:cs="Arial" w:eastAsia="Arial" w:hAnsi="Arial"/>
          <w:sz w:val="16"/>
          <w:szCs w:val="16"/>
          <w:color w:val="auto"/>
        </w:rPr>
        <w:t>”), the Lenders have agreed to make certain financial accommodations available to the Borrowers from time to time pursuant to the terms and conditions thereof;</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WHEREAS, the Lenders are willing to make the financial accommodations to the Borrowers as provided for in the Credit Agreement, but only upon the condition, among others, that the Grantor shall have executed and delivered to the Administrative Agent, on behalf of the Secured Parties (as defined in the Credit Agreement), that certain Pledge and Security Agreement, dated as of the date hereof (including all exhibits thereto, as amended, restated, amended and restated, supplemented or otherwise modified,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pursuant to the Security Agreement, the Grantor pledged and granted to the Administrative Agent, for the benefit of the Secured Parties, a security interest in the Trademark Collateral (as defined below); and</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WHEREAS, pursuant to the Security Agreement, the Grantor has agreed to execute and deliver this Trademark Security Agreement in order to record the security interest granted to the Administrative Agent, for the benefit of the Secured Parties, with the United States Patent and Trademark Office.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mutual covenants herein contained and for other good and valuable consideration, the receipt and sufficiency of which are hereby acknowledged, the Grantor hereby agrees as follows:</w:t>
      </w:r>
    </w:p>
    <w:p>
      <w:pPr>
        <w:spacing w:after="0" w:line="170" w:lineRule="exact"/>
        <w:rPr>
          <w:sz w:val="20"/>
          <w:szCs w:val="20"/>
          <w:color w:val="auto"/>
        </w:rPr>
      </w:pPr>
    </w:p>
    <w:p>
      <w:pPr>
        <w:ind w:firstLine="656"/>
        <w:spacing w:after="0" w:line="277" w:lineRule="auto"/>
        <w:tabs>
          <w:tab w:leader="none" w:pos="1813"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initially capitalized terms used but not otherwise defined herein have the meanings given to them in the Security Agreement or, if not defined therein, in the Credit Agreement.</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853" w:val="left"/>
        </w:tabs>
        <w:numPr>
          <w:ilvl w:val="0"/>
          <w:numId w:val="198"/>
        </w:numPr>
        <w:rPr>
          <w:rFonts w:ascii="Arial" w:cs="Arial" w:eastAsia="Arial" w:hAnsi="Arial"/>
          <w:sz w:val="17"/>
          <w:szCs w:val="17"/>
          <w:color w:val="auto"/>
        </w:rPr>
      </w:pPr>
      <w:r>
        <w:rPr>
          <w:rFonts w:ascii="Arial" w:cs="Arial" w:eastAsia="Arial" w:hAnsi="Arial"/>
          <w:sz w:val="17"/>
          <w:szCs w:val="17"/>
          <w:u w:val="single" w:color="auto"/>
          <w:color w:val="auto"/>
        </w:rPr>
        <w:t>GRANT OF SECURITY INTEREST IN TRADEMARK COLLATERAL</w:t>
      </w:r>
      <w:r>
        <w:rPr>
          <w:rFonts w:ascii="Arial" w:cs="Arial" w:eastAsia="Arial" w:hAnsi="Arial"/>
          <w:sz w:val="17"/>
          <w:szCs w:val="17"/>
          <w:color w:val="auto"/>
        </w:rPr>
        <w:t>. The Grantor hereby pledges, collaterally assigns and grants to the Administrative Agent, on behalf of the Secured Parties, to secure the prompt and complete payment and performance of the Secured Obligations, a security interest (referred to in this Trademark Security Agreement as the “</w:t>
      </w:r>
      <w:r>
        <w:rPr>
          <w:rFonts w:ascii="Arial" w:cs="Arial" w:eastAsia="Arial" w:hAnsi="Arial"/>
          <w:sz w:val="17"/>
          <w:szCs w:val="17"/>
          <w:u w:val="single" w:color="auto"/>
          <w:color w:val="auto"/>
        </w:rPr>
        <w:t>Security Interest</w:t>
      </w:r>
      <w:r>
        <w:rPr>
          <w:rFonts w:ascii="Arial" w:cs="Arial" w:eastAsia="Arial" w:hAnsi="Arial"/>
          <w:sz w:val="17"/>
          <w:szCs w:val="17"/>
          <w:color w:val="auto"/>
        </w:rPr>
        <w:t>”) in all of the Grantor’s right, title and interest in, to and under the following, whether now owned or hereafter acquired or arising (collectively, the “</w:t>
      </w:r>
      <w:r>
        <w:rPr>
          <w:rFonts w:ascii="Arial" w:cs="Arial" w:eastAsia="Arial" w:hAnsi="Arial"/>
          <w:sz w:val="17"/>
          <w:szCs w:val="17"/>
          <w:u w:val="single" w:color="auto"/>
          <w:color w:val="auto"/>
        </w:rPr>
        <w:t>Trademark Collateral</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2520" w:hanging="1216"/>
        <w:spacing w:after="0"/>
        <w:tabs>
          <w:tab w:leader="none" w:pos="252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all of its Trademarks and IP Licenses with respect to Trademarks to which it is a party, including those referred to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240" w:hanging="936"/>
        <w:spacing w:after="0"/>
        <w:tabs>
          <w:tab w:leader="none" w:pos="2240" w:val="left"/>
        </w:tabs>
        <w:numPr>
          <w:ilvl w:val="1"/>
          <w:numId w:val="198"/>
        </w:numPr>
        <w:rPr>
          <w:rFonts w:ascii="Arial" w:cs="Arial" w:eastAsia="Arial" w:hAnsi="Arial"/>
          <w:sz w:val="16"/>
          <w:szCs w:val="16"/>
          <w:color w:val="auto"/>
        </w:rPr>
      </w:pPr>
      <w:r>
        <w:rPr>
          <w:rFonts w:ascii="Arial" w:cs="Arial" w:eastAsia="Arial" w:hAnsi="Arial"/>
          <w:sz w:val="16"/>
          <w:szCs w:val="16"/>
          <w:color w:val="auto"/>
        </w:rPr>
        <w:t>all goodwill of the business connected with the use of, and symbolized by, each Trademark and each IP License with respect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Trademarks; and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9" w:name="page190"/>
    <w:bookmarkEnd w:id="189"/>
    <w:p>
      <w:pPr>
        <w:jc w:val="both"/>
        <w:ind w:firstLine="1304"/>
        <w:spacing w:after="0" w:line="259" w:lineRule="auto"/>
        <w:tabs>
          <w:tab w:leader="none" w:pos="2314" w:val="left"/>
        </w:tabs>
        <w:numPr>
          <w:ilvl w:val="1"/>
          <w:numId w:val="199"/>
        </w:numPr>
        <w:rPr>
          <w:rFonts w:ascii="Arial" w:cs="Arial" w:eastAsia="Arial" w:hAnsi="Arial"/>
          <w:sz w:val="18"/>
          <w:szCs w:val="18"/>
          <w:color w:val="auto"/>
        </w:rPr>
      </w:pPr>
      <w:r>
        <w:rPr>
          <w:rFonts w:ascii="Arial" w:cs="Arial" w:eastAsia="Arial" w:hAnsi="Arial"/>
          <w:sz w:val="18"/>
          <w:szCs w:val="18"/>
          <w:color w:val="auto"/>
        </w:rPr>
        <w:t>all products and proceeds (as that term is defined in the UCC) of the foregoing, including any claim by the Grantor against third parties for past, present or future (i) infringement or dilution of any Trademark or any Trademarks exclusively licensed under any IP License, including right to receive any damages, (ii) injury to the goodwill associated with any Trademark, or (iii) right to receive license fees, royalties, and other compensation under any IP License with respect to Trademarks.</w:t>
      </w:r>
    </w:p>
    <w:p>
      <w:pPr>
        <w:spacing w:after="0" w:line="186" w:lineRule="exact"/>
        <w:rPr>
          <w:rFonts w:ascii="Arial" w:cs="Arial" w:eastAsia="Arial" w:hAnsi="Arial"/>
          <w:sz w:val="18"/>
          <w:szCs w:val="18"/>
          <w:color w:val="auto"/>
        </w:rPr>
      </w:pPr>
    </w:p>
    <w:p>
      <w:pPr>
        <w:jc w:val="both"/>
        <w:ind w:firstLine="656"/>
        <w:spacing w:after="0" w:line="301" w:lineRule="auto"/>
        <w:tabs>
          <w:tab w:leader="none" w:pos="1637" w:val="left"/>
        </w:tabs>
        <w:numPr>
          <w:ilvl w:val="0"/>
          <w:numId w:val="200"/>
        </w:numPr>
        <w:rPr>
          <w:rFonts w:ascii="Arial" w:cs="Arial" w:eastAsia="Arial" w:hAnsi="Arial"/>
          <w:sz w:val="16"/>
          <w:szCs w:val="16"/>
          <w:color w:val="auto"/>
        </w:rPr>
      </w:pPr>
      <w:r>
        <w:rPr>
          <w:rFonts w:ascii="Arial" w:cs="Arial" w:eastAsia="Arial" w:hAnsi="Arial"/>
          <w:sz w:val="16"/>
          <w:szCs w:val="16"/>
          <w:u w:val="single" w:color="auto"/>
          <w:color w:val="auto"/>
        </w:rPr>
        <w:t>SECURITY FOR SECURED OBLIGATIONS</w:t>
      </w:r>
      <w:r>
        <w:rPr>
          <w:rFonts w:ascii="Arial" w:cs="Arial" w:eastAsia="Arial" w:hAnsi="Arial"/>
          <w:sz w:val="16"/>
          <w:szCs w:val="16"/>
          <w:color w:val="auto"/>
        </w:rPr>
        <w:t>. This Trademark Security Agreement and the Security Interest created hereby secures the payment and performance of the Secured Obligations, whether now existing or arising hereafter. Without limiting the generality of the foregoing, this Trademark Security Agreement secures the payment of all amounts which constitute part of the Secured Obligations and would be owed by the Grantor to the Secured Parties, whether or not they are unenforceable or not allowable due to the existence of an insolvency proceeding involving the Grantor.</w:t>
      </w:r>
    </w:p>
    <w:p>
      <w:pPr>
        <w:spacing w:after="0" w:line="157" w:lineRule="exact"/>
        <w:rPr>
          <w:rFonts w:ascii="Arial" w:cs="Arial" w:eastAsia="Arial" w:hAnsi="Arial"/>
          <w:sz w:val="16"/>
          <w:szCs w:val="16"/>
          <w:color w:val="auto"/>
        </w:rPr>
      </w:pPr>
    </w:p>
    <w:p>
      <w:pPr>
        <w:jc w:val="both"/>
        <w:ind w:firstLine="656"/>
        <w:spacing w:after="0" w:line="255" w:lineRule="auto"/>
        <w:tabs>
          <w:tab w:leader="none" w:pos="1678"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SECURITY AGREEMENT</w:t>
      </w:r>
      <w:r>
        <w:rPr>
          <w:rFonts w:ascii="Arial" w:cs="Arial" w:eastAsia="Arial" w:hAnsi="Arial"/>
          <w:sz w:val="18"/>
          <w:szCs w:val="18"/>
          <w:color w:val="auto"/>
        </w:rPr>
        <w:t>. The Security Interest granted pursuant to this Trademark Security Agreement is granted in conjunction with the security interests granted to the Administrative Agent, on behalf of the Secured Parties, pursuant to the Security Agreement. The Grantor hereby acknowledges and affirms that the rights and remedies of the Administrative Agent with respect to the Security Interest in the Trademark Collateral made and granted hereby are more fully set forth in the Security Agreement, the terms and provisions of which are incorporated by reference herein as if fully set forth herein. To the extent there is any inconsistency between this Trademark Security Agreement and the Security Agreement, the Security Agreement shall control.</w:t>
      </w:r>
    </w:p>
    <w:p>
      <w:pPr>
        <w:spacing w:after="0" w:line="192" w:lineRule="exact"/>
        <w:rPr>
          <w:rFonts w:ascii="Arial" w:cs="Arial" w:eastAsia="Arial" w:hAnsi="Arial"/>
          <w:sz w:val="18"/>
          <w:szCs w:val="18"/>
          <w:color w:val="auto"/>
        </w:rPr>
      </w:pPr>
    </w:p>
    <w:p>
      <w:pPr>
        <w:jc w:val="both"/>
        <w:ind w:firstLine="656"/>
        <w:spacing w:after="0" w:line="257" w:lineRule="auto"/>
        <w:tabs>
          <w:tab w:leader="none" w:pos="1664"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AUTHORIZATION TO SUPPLEMENT</w:t>
      </w:r>
      <w:r>
        <w:rPr>
          <w:rFonts w:ascii="Arial" w:cs="Arial" w:eastAsia="Arial" w:hAnsi="Arial"/>
          <w:sz w:val="18"/>
          <w:szCs w:val="18"/>
          <w:color w:val="auto"/>
        </w:rPr>
        <w:t xml:space="preserve">. If the Grantor shall obtain rights to any new Trademarks, the provisions of this Trademark Security Agreement shall automatically apply thereto. The Grantor hereby authorizes the Administrative Agent unilaterally to modify this Trademark Security Agreement by amending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to include any such new Trademark rights of the Grantor. Notwithstanding the foregoing, no failure to so modify this Trademark Security Agreement or amend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shall in any way affect, invalidate or detract from the Administrative Agent’s continuing security interest in all Collateral, whether or not listed on </w:t>
      </w:r>
      <w:r>
        <w:rPr>
          <w:rFonts w:ascii="Arial" w:cs="Arial" w:eastAsia="Arial" w:hAnsi="Arial"/>
          <w:sz w:val="18"/>
          <w:szCs w:val="18"/>
          <w:u w:val="single" w:color="auto"/>
          <w:color w:val="auto"/>
        </w:rPr>
        <w:t>Schedule I</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656"/>
        <w:spacing w:after="0" w:line="254" w:lineRule="auto"/>
        <w:tabs>
          <w:tab w:leader="none" w:pos="2015"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Trademark Security Agreement may be executed in any number of counterparts (which, subject to Section 9.06(b) of the Credit Agreement, may include any Electronic Signatures transmitted by facsimile, emailed pdf. or any other electronic means that reproduces an image of an actual executed signature page) and by different parties on separate counterparts, each of which, when executed and delivered, shall be deemed to be an original, and all of which, when taken together, shall constitute but one and the same Trademark Security Agreement. Delivery of an executed counterpart of this Trademark Security Agreement by telefacsimile or other electronic method of transmission (e.g., via email in portable document file format) shall be equally as effective as delivery of an original executed counterpart of this Trademark Security Agreement. This Trademark Security Agreement is a Loan Document.</w:t>
      </w:r>
    </w:p>
    <w:p>
      <w:pPr>
        <w:spacing w:after="0" w:line="194" w:lineRule="exact"/>
        <w:rPr>
          <w:rFonts w:ascii="Arial" w:cs="Arial" w:eastAsia="Arial" w:hAnsi="Arial"/>
          <w:sz w:val="18"/>
          <w:szCs w:val="18"/>
          <w:color w:val="auto"/>
        </w:rPr>
      </w:pPr>
    </w:p>
    <w:p>
      <w:pPr>
        <w:jc w:val="both"/>
        <w:ind w:firstLine="656"/>
        <w:spacing w:after="0" w:line="263" w:lineRule="auto"/>
        <w:tabs>
          <w:tab w:leader="none" w:pos="1867"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Upon the Payment in Full of the Secured Obligations, Administrative Agent shall execute, acknowledge, and deliver to the Grantor an instrument in writing in recordable form releasing the Security Interest in the Trademark Collateral under this Trademark Security Agreement.</w:t>
      </w:r>
    </w:p>
    <w:p>
      <w:pPr>
        <w:spacing w:after="0" w:line="179" w:lineRule="exact"/>
        <w:rPr>
          <w:rFonts w:ascii="Arial" w:cs="Arial" w:eastAsia="Arial" w:hAnsi="Arial"/>
          <w:sz w:val="18"/>
          <w:szCs w:val="18"/>
          <w:color w:val="auto"/>
        </w:rPr>
      </w:pPr>
    </w:p>
    <w:p>
      <w:pPr>
        <w:jc w:val="both"/>
        <w:ind w:firstLine="656"/>
        <w:spacing w:after="0" w:line="266" w:lineRule="auto"/>
        <w:tabs>
          <w:tab w:leader="none" w:pos="1745"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THIS TRADEMARK SECURITY AGREEMENT SHALL BE GOVERNED BY, AND CONSTRUED IN ACCORDANCE WITH, THE INTERNAL LAWS OF THE STATE OF CALIFORNIA, WITHOUT REGARD TO CONFLICT OF LAW PRINCIPLES, BUT GIVING EFFECT TO FEDERAL LAWS APPLICABLE TO NATIONAL BANKS.</w:t>
      </w:r>
    </w:p>
    <w:p>
      <w:pPr>
        <w:spacing w:after="0" w:line="175" w:lineRule="exact"/>
        <w:rPr>
          <w:rFonts w:ascii="Arial" w:cs="Arial" w:eastAsia="Arial" w:hAnsi="Arial"/>
          <w:sz w:val="18"/>
          <w:szCs w:val="18"/>
          <w:color w:val="auto"/>
        </w:rPr>
      </w:pPr>
    </w:p>
    <w:p>
      <w:pPr>
        <w:jc w:val="both"/>
        <w:ind w:firstLine="656"/>
        <w:spacing w:after="0" w:line="261" w:lineRule="auto"/>
        <w:tabs>
          <w:tab w:leader="none" w:pos="1867" w:val="left"/>
        </w:tabs>
        <w:numPr>
          <w:ilvl w:val="0"/>
          <w:numId w:val="200"/>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 THIS TRADEMARK SECURITY AGREEMENT SHALL BE SUBJECT TO THE PROVISIONS REGARDING CONSENT TO JURISDICTION, WAIVER OF JURY TRIAL, AND JUDICIAL REFERENCE SET FORTH IN SECTIONS 8.17 AND 8.18 OF THE SECURITY AGREEMENT, AND SUCH PROVISIONS ARE INCORPORATED HEREIN BY THIS REFERENCE, MUTATIS MUTANDIS.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0" w:name="page191"/>
    <w:bookmarkEnd w:id="190"/>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Trademark Security Agreement to be executed and delivered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37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GRANTOR:</w:t>
      </w:r>
    </w:p>
    <w:p>
      <w:pPr>
        <w:spacing w:after="0" w:line="225"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 xml:space="preserve">iPOWER INC., </w:t>
      </w:r>
      <w:r>
        <w:rPr>
          <w:rFonts w:ascii="Arial" w:cs="Arial" w:eastAsia="Arial" w:hAnsi="Arial"/>
          <w:sz w:val="18"/>
          <w:szCs w:val="18"/>
          <w:color w:val="auto"/>
        </w:rPr>
        <w:t>formerly</w:t>
      </w:r>
    </w:p>
    <w:p>
      <w:pPr>
        <w:spacing w:after="0" w:line="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known as BZRTH Inc.,</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__________________________</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Kevin Vassily</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1" w:name="page192"/>
    <w:bookmarkEnd w:id="191"/>
    <w:p>
      <w:pPr>
        <w:ind w:left="4400"/>
        <w:spacing w:after="0"/>
        <w:rPr>
          <w:sz w:val="20"/>
          <w:szCs w:val="20"/>
          <w:color w:val="auto"/>
        </w:rPr>
      </w:pPr>
      <w:r>
        <w:rPr>
          <w:rFonts w:ascii="Arial" w:cs="Arial" w:eastAsia="Arial" w:hAnsi="Arial"/>
          <w:sz w:val="17"/>
          <w:szCs w:val="17"/>
          <w:b w:val="1"/>
          <w:bCs w:val="1"/>
          <w:color w:val="auto"/>
        </w:rPr>
        <w:t>JPMORGAN CHASE BANK, N.A.</w:t>
      </w:r>
      <w:r>
        <w:rPr>
          <w:rFonts w:ascii="Arial" w:cs="Arial" w:eastAsia="Arial" w:hAnsi="Arial"/>
          <w:sz w:val="17"/>
          <w:szCs w:val="17"/>
          <w:color w:val="auto"/>
        </w:rPr>
        <w:t>,</w:t>
      </w:r>
    </w:p>
    <w:p>
      <w:pPr>
        <w:spacing w:after="0" w:line="3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4400"/>
        <w:spacing w:after="0"/>
        <w:rPr>
          <w:sz w:val="20"/>
          <w:szCs w:val="20"/>
          <w:color w:val="auto"/>
        </w:rPr>
      </w:pPr>
      <w:r>
        <w:rPr>
          <w:rFonts w:ascii="Arial" w:cs="Arial" w:eastAsia="Arial" w:hAnsi="Arial"/>
          <w:sz w:val="16"/>
          <w:szCs w:val="16"/>
          <w:color w:val="auto"/>
        </w:rPr>
        <w:t>By: __________________________</w:t>
      </w:r>
    </w:p>
    <w:p>
      <w:pPr>
        <w:spacing w:after="0" w:line="4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Name: Terry Luh</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u w:val="single" w:color="auto"/>
          <w:color w:val="auto"/>
        </w:rPr>
        <w:t>SCHEDULE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TRADEMARK SECURITY AGREEMENT</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280" w:type="dxa"/>
            <w:vAlign w:val="bottom"/>
            <w:tcBorders>
              <w:top w:val="single" w:sz="8" w:color="auto"/>
              <w:left w:val="single" w:sz="8" w:color="auto"/>
              <w:right w:val="single" w:sz="8" w:color="auto"/>
            </w:tcBorders>
            <w:vMerge w:val="restart"/>
            <w:shd w:val="clear" w:color="auto" w:fill="D0CECE"/>
          </w:tcPr>
          <w:p>
            <w:pPr>
              <w:ind w:left="40"/>
              <w:spacing w:after="0"/>
              <w:rPr>
                <w:sz w:val="20"/>
                <w:szCs w:val="20"/>
                <w:color w:val="auto"/>
              </w:rPr>
            </w:pPr>
            <w:r>
              <w:rPr>
                <w:rFonts w:ascii="Arial" w:cs="Arial" w:eastAsia="Arial" w:hAnsi="Arial"/>
                <w:sz w:val="14"/>
                <w:szCs w:val="14"/>
                <w:b w:val="1"/>
                <w:bCs w:val="1"/>
                <w:color w:val="auto"/>
              </w:rPr>
              <w:t>Grantor</w:t>
            </w:r>
          </w:p>
        </w:tc>
        <w:tc>
          <w:tcPr>
            <w:tcW w:w="1140" w:type="dxa"/>
            <w:vAlign w:val="bottom"/>
            <w:tcBorders>
              <w:top w:val="single" w:sz="8" w:color="auto"/>
              <w:right w:val="single" w:sz="8" w:color="auto"/>
            </w:tcBorders>
            <w:vMerge w:val="restart"/>
            <w:shd w:val="clear" w:color="auto" w:fill="D0CECE"/>
          </w:tcPr>
          <w:p>
            <w:pPr>
              <w:ind w:left="20"/>
              <w:spacing w:after="0"/>
              <w:rPr>
                <w:sz w:val="20"/>
                <w:szCs w:val="20"/>
                <w:color w:val="auto"/>
              </w:rPr>
            </w:pPr>
            <w:r>
              <w:rPr>
                <w:rFonts w:ascii="Arial" w:cs="Arial" w:eastAsia="Arial" w:hAnsi="Arial"/>
                <w:sz w:val="14"/>
                <w:szCs w:val="14"/>
                <w:b w:val="1"/>
                <w:bCs w:val="1"/>
                <w:color w:val="auto"/>
              </w:rPr>
              <w:t>Country</w:t>
            </w:r>
          </w:p>
        </w:tc>
        <w:tc>
          <w:tcPr>
            <w:tcW w:w="1680" w:type="dxa"/>
            <w:vAlign w:val="bottom"/>
            <w:tcBorders>
              <w:top w:val="single" w:sz="8" w:color="auto"/>
              <w:right w:val="single" w:sz="8" w:color="auto"/>
            </w:tcBorders>
            <w:vMerge w:val="restart"/>
            <w:shd w:val="clear" w:color="auto" w:fill="D0CECE"/>
          </w:tcPr>
          <w:p>
            <w:pPr>
              <w:spacing w:after="0"/>
              <w:rPr>
                <w:sz w:val="20"/>
                <w:szCs w:val="20"/>
                <w:color w:val="auto"/>
              </w:rPr>
            </w:pPr>
            <w:r>
              <w:rPr>
                <w:rFonts w:ascii="Arial" w:cs="Arial" w:eastAsia="Arial" w:hAnsi="Arial"/>
                <w:sz w:val="14"/>
                <w:szCs w:val="14"/>
                <w:b w:val="1"/>
                <w:bCs w:val="1"/>
                <w:color w:val="auto"/>
              </w:rPr>
              <w:t>Trademark</w:t>
            </w:r>
          </w:p>
        </w:tc>
        <w:tc>
          <w:tcPr>
            <w:tcW w:w="1340" w:type="dxa"/>
            <w:vAlign w:val="bottom"/>
            <w:tcBorders>
              <w:top w:val="single" w:sz="8" w:color="auto"/>
              <w:right w:val="single" w:sz="8" w:color="auto"/>
            </w:tcBorders>
            <w:vMerge w:val="restart"/>
            <w:shd w:val="clear" w:color="auto" w:fill="D0CECE"/>
          </w:tcPr>
          <w:p>
            <w:pPr>
              <w:ind w:left="20"/>
              <w:spacing w:after="0"/>
              <w:rPr>
                <w:sz w:val="20"/>
                <w:szCs w:val="20"/>
                <w:color w:val="auto"/>
              </w:rPr>
            </w:pPr>
            <w:r>
              <w:rPr>
                <w:rFonts w:ascii="Arial" w:cs="Arial" w:eastAsia="Arial" w:hAnsi="Arial"/>
                <w:sz w:val="14"/>
                <w:szCs w:val="14"/>
                <w:b w:val="1"/>
                <w:bCs w:val="1"/>
                <w:color w:val="auto"/>
              </w:rPr>
              <w:t>Application No.</w:t>
            </w:r>
          </w:p>
        </w:tc>
        <w:tc>
          <w:tcPr>
            <w:tcW w:w="1120" w:type="dxa"/>
            <w:vAlign w:val="bottom"/>
            <w:tcBorders>
              <w:top w:val="single" w:sz="8" w:color="auto"/>
              <w:right w:val="single" w:sz="8" w:color="auto"/>
            </w:tcBorders>
            <w:vMerge w:val="restart"/>
            <w:shd w:val="clear" w:color="auto" w:fill="D0CECE"/>
          </w:tcPr>
          <w:p>
            <w:pPr>
              <w:spacing w:after="0"/>
              <w:rPr>
                <w:sz w:val="20"/>
                <w:szCs w:val="20"/>
                <w:color w:val="auto"/>
              </w:rPr>
            </w:pPr>
            <w:r>
              <w:rPr>
                <w:rFonts w:ascii="Arial" w:cs="Arial" w:eastAsia="Arial" w:hAnsi="Arial"/>
                <w:sz w:val="14"/>
                <w:szCs w:val="14"/>
                <w:b w:val="1"/>
                <w:bCs w:val="1"/>
                <w:color w:val="auto"/>
                <w:w w:val="99"/>
              </w:rPr>
              <w:t>Registration No.</w:t>
            </w:r>
          </w:p>
        </w:tc>
        <w:tc>
          <w:tcPr>
            <w:tcW w:w="1120" w:type="dxa"/>
            <w:vAlign w:val="bottom"/>
            <w:tcBorders>
              <w:top w:val="single" w:sz="8" w:color="auto"/>
              <w:right w:val="single" w:sz="8" w:color="auto"/>
            </w:tcBorders>
            <w:vMerge w:val="restart"/>
            <w:shd w:val="clear" w:color="auto" w:fill="D0CECE"/>
          </w:tcPr>
          <w:p>
            <w:pPr>
              <w:ind w:left="20"/>
              <w:spacing w:after="0"/>
              <w:rPr>
                <w:sz w:val="20"/>
                <w:szCs w:val="20"/>
                <w:color w:val="auto"/>
              </w:rPr>
            </w:pPr>
            <w:r>
              <w:rPr>
                <w:rFonts w:ascii="Arial" w:cs="Arial" w:eastAsia="Arial" w:hAnsi="Arial"/>
                <w:sz w:val="14"/>
                <w:szCs w:val="14"/>
                <w:b w:val="1"/>
                <w:bCs w:val="1"/>
                <w:color w:val="auto"/>
                <w:w w:val="95"/>
              </w:rPr>
              <w:t>Application Date</w:t>
            </w:r>
          </w:p>
        </w:tc>
        <w:tc>
          <w:tcPr>
            <w:tcW w:w="1560" w:type="dxa"/>
            <w:vAlign w:val="bottom"/>
            <w:tcBorders>
              <w:top w:val="single" w:sz="8" w:color="auto"/>
              <w:right w:val="single" w:sz="8" w:color="auto"/>
            </w:tcBorders>
            <w:vMerge w:val="restart"/>
            <w:shd w:val="clear" w:color="auto" w:fill="D0CECE"/>
          </w:tcPr>
          <w:p>
            <w:pPr>
              <w:ind w:left="20"/>
              <w:spacing w:after="0"/>
              <w:rPr>
                <w:sz w:val="20"/>
                <w:szCs w:val="20"/>
                <w:color w:val="auto"/>
              </w:rPr>
            </w:pPr>
            <w:r>
              <w:rPr>
                <w:rFonts w:ascii="Arial" w:cs="Arial" w:eastAsia="Arial" w:hAnsi="Arial"/>
                <w:sz w:val="14"/>
                <w:szCs w:val="14"/>
                <w:b w:val="1"/>
                <w:bCs w:val="1"/>
                <w:color w:val="auto"/>
              </w:rPr>
              <w:t>Registration Date</w:t>
            </w:r>
          </w:p>
        </w:tc>
        <w:tc>
          <w:tcPr>
            <w:tcW w:w="1000" w:type="dxa"/>
            <w:vAlign w:val="bottom"/>
            <w:tcBorders>
              <w:top w:val="single" w:sz="8" w:color="auto"/>
              <w:right w:val="single" w:sz="8" w:color="auto"/>
            </w:tcBorders>
            <w:shd w:val="clear" w:color="auto" w:fill="D0CECE"/>
          </w:tcPr>
          <w:p>
            <w:pPr>
              <w:ind w:left="20"/>
              <w:spacing w:after="0" w:line="139" w:lineRule="exact"/>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71"/>
        </w:trPr>
        <w:tc>
          <w:tcPr>
            <w:tcW w:w="2280" w:type="dxa"/>
            <w:vAlign w:val="bottom"/>
            <w:tcBorders>
              <w:left w:val="single" w:sz="8" w:color="auto"/>
              <w:bottom w:val="single" w:sz="8" w:color="auto"/>
              <w:right w:val="single" w:sz="8" w:color="auto"/>
            </w:tcBorders>
            <w:vMerge w:val="continue"/>
            <w:shd w:val="clear" w:color="auto" w:fill="D0CECE"/>
          </w:tcPr>
          <w:p>
            <w:pPr>
              <w:spacing w:after="0"/>
              <w:rPr>
                <w:sz w:val="14"/>
                <w:szCs w:val="14"/>
                <w:color w:val="auto"/>
              </w:rPr>
            </w:pPr>
          </w:p>
        </w:tc>
        <w:tc>
          <w:tcPr>
            <w:tcW w:w="1140" w:type="dxa"/>
            <w:vAlign w:val="bottom"/>
            <w:tcBorders>
              <w:bottom w:val="single" w:sz="8" w:color="auto"/>
              <w:right w:val="single" w:sz="8" w:color="auto"/>
            </w:tcBorders>
            <w:vMerge w:val="continue"/>
            <w:shd w:val="clear" w:color="auto" w:fill="D0CECE"/>
          </w:tcPr>
          <w:p>
            <w:pPr>
              <w:spacing w:after="0"/>
              <w:rPr>
                <w:sz w:val="14"/>
                <w:szCs w:val="14"/>
                <w:color w:val="auto"/>
              </w:rPr>
            </w:pPr>
          </w:p>
        </w:tc>
        <w:tc>
          <w:tcPr>
            <w:tcW w:w="1680" w:type="dxa"/>
            <w:vAlign w:val="bottom"/>
            <w:tcBorders>
              <w:bottom w:val="single" w:sz="8" w:color="auto"/>
              <w:right w:val="single" w:sz="8" w:color="auto"/>
            </w:tcBorders>
            <w:vMerge w:val="continue"/>
            <w:shd w:val="clear" w:color="auto" w:fill="D0CECE"/>
          </w:tcPr>
          <w:p>
            <w:pPr>
              <w:spacing w:after="0"/>
              <w:rPr>
                <w:sz w:val="14"/>
                <w:szCs w:val="14"/>
                <w:color w:val="auto"/>
              </w:rPr>
            </w:pPr>
          </w:p>
        </w:tc>
        <w:tc>
          <w:tcPr>
            <w:tcW w:w="1340" w:type="dxa"/>
            <w:vAlign w:val="bottom"/>
            <w:tcBorders>
              <w:bottom w:val="single" w:sz="8" w:color="auto"/>
              <w:right w:val="single" w:sz="8" w:color="auto"/>
            </w:tcBorders>
            <w:vMerge w:val="continue"/>
            <w:shd w:val="clear" w:color="auto" w:fill="D0CECE"/>
          </w:tcPr>
          <w:p>
            <w:pPr>
              <w:spacing w:after="0"/>
              <w:rPr>
                <w:sz w:val="14"/>
                <w:szCs w:val="14"/>
                <w:color w:val="auto"/>
              </w:rPr>
            </w:pPr>
          </w:p>
        </w:tc>
        <w:tc>
          <w:tcPr>
            <w:tcW w:w="1120" w:type="dxa"/>
            <w:vAlign w:val="bottom"/>
            <w:tcBorders>
              <w:bottom w:val="single" w:sz="8" w:color="auto"/>
              <w:right w:val="single" w:sz="8" w:color="auto"/>
            </w:tcBorders>
            <w:vMerge w:val="continue"/>
            <w:shd w:val="clear" w:color="auto" w:fill="D0CECE"/>
          </w:tcPr>
          <w:p>
            <w:pPr>
              <w:spacing w:after="0"/>
              <w:rPr>
                <w:sz w:val="14"/>
                <w:szCs w:val="14"/>
                <w:color w:val="auto"/>
              </w:rPr>
            </w:pPr>
          </w:p>
        </w:tc>
        <w:tc>
          <w:tcPr>
            <w:tcW w:w="1120" w:type="dxa"/>
            <w:vAlign w:val="bottom"/>
            <w:tcBorders>
              <w:bottom w:val="single" w:sz="8" w:color="auto"/>
              <w:right w:val="single" w:sz="8" w:color="auto"/>
            </w:tcBorders>
            <w:vMerge w:val="continue"/>
            <w:shd w:val="clear" w:color="auto" w:fill="D0CECE"/>
          </w:tcPr>
          <w:p>
            <w:pPr>
              <w:spacing w:after="0"/>
              <w:rPr>
                <w:sz w:val="14"/>
                <w:szCs w:val="14"/>
                <w:color w:val="auto"/>
              </w:rPr>
            </w:pPr>
          </w:p>
        </w:tc>
        <w:tc>
          <w:tcPr>
            <w:tcW w:w="1560" w:type="dxa"/>
            <w:vAlign w:val="bottom"/>
            <w:tcBorders>
              <w:bottom w:val="single" w:sz="8" w:color="auto"/>
              <w:right w:val="single" w:sz="8" w:color="auto"/>
            </w:tcBorders>
            <w:vMerge w:val="continue"/>
            <w:shd w:val="clear" w:color="auto" w:fill="D0CECE"/>
          </w:tcPr>
          <w:p>
            <w:pPr>
              <w:spacing w:after="0"/>
              <w:rPr>
                <w:sz w:val="14"/>
                <w:szCs w:val="14"/>
                <w:color w:val="auto"/>
              </w:rPr>
            </w:pPr>
          </w:p>
        </w:tc>
        <w:tc>
          <w:tcPr>
            <w:tcW w:w="1000" w:type="dxa"/>
            <w:vAlign w:val="bottom"/>
            <w:tcBorders>
              <w:bottom w:val="single" w:sz="8" w:color="auto"/>
              <w:right w:val="single" w:sz="8" w:color="auto"/>
            </w:tcBorders>
            <w:shd w:val="clear" w:color="auto" w:fill="D0CECE"/>
          </w:tcPr>
          <w:p>
            <w:pPr>
              <w:ind w:left="20"/>
              <w:spacing w:after="0"/>
              <w:rPr>
                <w:sz w:val="20"/>
                <w:szCs w:val="20"/>
                <w:color w:val="auto"/>
              </w:rPr>
            </w:pPr>
            <w:r>
              <w:rPr>
                <w:rFonts w:ascii="Arial" w:cs="Arial" w:eastAsia="Arial" w:hAnsi="Arial"/>
                <w:sz w:val="14"/>
                <w:szCs w:val="14"/>
                <w:b w:val="1"/>
                <w:bCs w:val="1"/>
                <w:color w:val="auto"/>
              </w:rPr>
              <w:t>Licensed</w:t>
            </w: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iPower Inc. (f/k/a BZRTH Inc.)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iPower</w:t>
            </w:r>
          </w:p>
        </w:tc>
        <w:tc>
          <w:tcPr>
            <w:tcW w:w="13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4248807</w:t>
            </w: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November 27, 2012</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iPower Inc. (f/k/a BZRTH Inc.)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iPower</w:t>
            </w:r>
          </w:p>
        </w:tc>
        <w:tc>
          <w:tcPr>
            <w:tcW w:w="13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6006647</w:t>
            </w: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March 10, 2020</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iPower Inc. (f/k/a BZRTH Inc.)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Simple Deluxe</w:t>
            </w:r>
          </w:p>
        </w:tc>
        <w:tc>
          <w:tcPr>
            <w:tcW w:w="1340" w:type="dxa"/>
            <w:vAlign w:val="bottom"/>
            <w:tcBorders>
              <w:right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5755589</w:t>
            </w: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5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May 21, 2019</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iPower Inc. (f/k/a BZRTH Inc.)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Flourish</w:t>
            </w:r>
          </w:p>
        </w:tc>
        <w:tc>
          <w:tcPr>
            <w:tcW w:w="13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90820606</w:t>
            </w:r>
          </w:p>
        </w:tc>
        <w:tc>
          <w:tcPr>
            <w:tcW w:w="112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July 9, 2021</w:t>
            </w:r>
          </w:p>
        </w:tc>
        <w:tc>
          <w:tcPr>
            <w:tcW w:w="1560" w:type="dxa"/>
            <w:vAlign w:val="bottom"/>
            <w:tcBorders>
              <w:right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iPower Inc. (f/k/a BZRTH Inc.)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Flora Harvest</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90807305</w:t>
            </w:r>
          </w:p>
        </w:tc>
        <w:tc>
          <w:tcPr>
            <w:tcW w:w="112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July 1, 2021</w:t>
            </w:r>
          </w:p>
        </w:tc>
        <w:tc>
          <w:tcPr>
            <w:tcW w:w="1560" w:type="dxa"/>
            <w:vAlign w:val="bottom"/>
            <w:tcBorders>
              <w:right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iPower Inc. (f/k/a BZRTH Inc.)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iGarden</w:t>
            </w:r>
          </w:p>
        </w:tc>
        <w:tc>
          <w:tcPr>
            <w:tcW w:w="13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90782582</w:t>
            </w:r>
          </w:p>
        </w:tc>
        <w:tc>
          <w:tcPr>
            <w:tcW w:w="1120" w:type="dxa"/>
            <w:vAlign w:val="bottom"/>
            <w:tcBorders>
              <w:right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June 18, 2021</w:t>
            </w:r>
          </w:p>
        </w:tc>
        <w:tc>
          <w:tcPr>
            <w:tcW w:w="1560" w:type="dxa"/>
            <w:vAlign w:val="bottom"/>
            <w:tcBorders>
              <w:right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6"/>
        </w:trPr>
        <w:tc>
          <w:tcPr>
            <w:tcW w:w="2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iPower Inc. (f/k/a BZRTH Inc.)</w:t>
            </w: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United States</w:t>
            </w:r>
          </w:p>
        </w:tc>
        <w:tc>
          <w:tcPr>
            <w:tcW w:w="16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iFarm</w:t>
            </w:r>
          </w:p>
        </w:tc>
        <w:tc>
          <w:tcPr>
            <w:tcW w:w="134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90780948</w:t>
            </w:r>
          </w:p>
        </w:tc>
        <w:tc>
          <w:tcPr>
            <w:tcW w:w="1120" w:type="dxa"/>
            <w:vAlign w:val="bottom"/>
            <w:tcBorders>
              <w:right w:val="single" w:sz="8" w:color="auto"/>
            </w:tcBorders>
          </w:tcPr>
          <w:p>
            <w:pPr>
              <w:ind w:left="540"/>
              <w:spacing w:after="0"/>
              <w:rPr>
                <w:sz w:val="20"/>
                <w:szCs w:val="20"/>
                <w:color w:val="auto"/>
              </w:rPr>
            </w:pPr>
            <w:r>
              <w:rPr>
                <w:rFonts w:ascii="Arial" w:cs="Arial" w:eastAsia="Arial" w:hAnsi="Arial"/>
                <w:sz w:val="14"/>
                <w:szCs w:val="14"/>
                <w:color w:val="auto"/>
              </w:rPr>
              <w:t>-</w:t>
            </w:r>
          </w:p>
        </w:tc>
        <w:tc>
          <w:tcPr>
            <w:tcW w:w="112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June 17, 2021</w:t>
            </w:r>
          </w:p>
        </w:tc>
        <w:tc>
          <w:tcPr>
            <w:tcW w:w="1560" w:type="dxa"/>
            <w:vAlign w:val="bottom"/>
            <w:tcBorders>
              <w:right w:val="single" w:sz="8" w:color="auto"/>
            </w:tcBorders>
          </w:tcPr>
          <w:p>
            <w:pPr>
              <w:jc w:val="right"/>
              <w:ind w:right="688"/>
              <w:spacing w:after="0"/>
              <w:rPr>
                <w:sz w:val="20"/>
                <w:szCs w:val="20"/>
                <w:color w:val="auto"/>
              </w:rPr>
            </w:pPr>
            <w:r>
              <w:rPr>
                <w:rFonts w:ascii="Arial" w:cs="Arial" w:eastAsia="Arial" w:hAnsi="Arial"/>
                <w:sz w:val="14"/>
                <w:szCs w:val="14"/>
                <w:color w:val="auto"/>
              </w:rPr>
              <w:t>-</w:t>
            </w:r>
          </w:p>
        </w:tc>
        <w:tc>
          <w:tcPr>
            <w:tcW w:w="100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Owned</w:t>
            </w:r>
          </w:p>
        </w:tc>
        <w:tc>
          <w:tcPr>
            <w:tcW w:w="0" w:type="dxa"/>
            <w:vAlign w:val="bottom"/>
          </w:tcPr>
          <w:p>
            <w:pPr>
              <w:spacing w:after="0"/>
              <w:rPr>
                <w:sz w:val="1"/>
                <w:szCs w:val="1"/>
                <w:color w:val="auto"/>
              </w:rPr>
            </w:pPr>
          </w:p>
        </w:tc>
      </w:tr>
      <w:tr>
        <w:trPr>
          <w:trHeight w:val="115"/>
        </w:trPr>
        <w:tc>
          <w:tcPr>
            <w:tcW w:w="2280" w:type="dxa"/>
            <w:vAlign w:val="bottom"/>
            <w:tcBorders>
              <w:left w:val="single" w:sz="8" w:color="auto"/>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34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3" w:name="page194"/>
    <w:bookmarkEnd w:id="193"/>
    <w:p>
      <w:pPr>
        <w:ind w:left="10120"/>
        <w:spacing w:after="0"/>
        <w:rPr>
          <w:sz w:val="20"/>
          <w:szCs w:val="20"/>
          <w:color w:val="auto"/>
        </w:rPr>
      </w:pPr>
      <w:r>
        <w:rPr>
          <w:rFonts w:ascii="Arial" w:cs="Arial" w:eastAsia="Arial" w:hAnsi="Arial"/>
          <w:sz w:val="19"/>
          <w:szCs w:val="19"/>
          <w:b w:val="1"/>
          <w:bCs w:val="1"/>
          <w:color w:val="auto"/>
        </w:rPr>
        <w:t>Exhibit 10.3</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AND SECURITY AGREEMENT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THIS PLEDGE AND SECURITY AGREEMENT (as it may be amended,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is entered into as of November 12, 2021 by and among IPOWER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the E Marketing Solution Inc., a California corporation (“</w:t>
      </w:r>
      <w:r>
        <w:rPr>
          <w:rFonts w:ascii="Arial" w:cs="Arial" w:eastAsia="Arial" w:hAnsi="Arial"/>
          <w:sz w:val="16"/>
          <w:szCs w:val="16"/>
          <w:u w:val="single" w:color="auto"/>
          <w:color w:val="auto"/>
        </w:rPr>
        <w:t>EMS</w:t>
      </w:r>
      <w:r>
        <w:rPr>
          <w:rFonts w:ascii="Arial" w:cs="Arial" w:eastAsia="Arial" w:hAnsi="Arial"/>
          <w:sz w:val="16"/>
          <w:szCs w:val="16"/>
          <w:color w:val="auto"/>
        </w:rPr>
        <w:t>”), Global Product Marketing Inc., a Nevada corporation (“</w:t>
      </w:r>
      <w:r>
        <w:rPr>
          <w:rFonts w:ascii="Arial" w:cs="Arial" w:eastAsia="Arial" w:hAnsi="Arial"/>
          <w:sz w:val="16"/>
          <w:szCs w:val="16"/>
          <w:u w:val="single" w:color="auto"/>
          <w:color w:val="auto"/>
        </w:rPr>
        <w:t>GPM</w:t>
      </w:r>
      <w:r>
        <w:rPr>
          <w:rFonts w:ascii="Arial" w:cs="Arial" w:eastAsia="Arial" w:hAnsi="Arial"/>
          <w:sz w:val="16"/>
          <w:szCs w:val="16"/>
          <w:color w:val="auto"/>
        </w:rPr>
        <w:t>”) and any additional entities which become parties to this Security Agreement by executing a Security Agreement Supplement hereto in substantially the form of Annex I hereto (such additional entities, together with the Company, EMS and GPM, each a “</w:t>
      </w:r>
      <w:r>
        <w:rPr>
          <w:rFonts w:ascii="Arial" w:cs="Arial" w:eastAsia="Arial" w:hAnsi="Arial"/>
          <w:sz w:val="16"/>
          <w:szCs w:val="16"/>
          <w:u w:val="single" w:color="auto"/>
          <w:color w:val="auto"/>
        </w:rPr>
        <w:t>Grantor</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Grantors</w:t>
      </w:r>
      <w:r>
        <w:rPr>
          <w:rFonts w:ascii="Arial" w:cs="Arial" w:eastAsia="Arial" w:hAnsi="Arial"/>
          <w:sz w:val="16"/>
          <w:szCs w:val="16"/>
          <w:color w:val="auto"/>
        </w:rPr>
        <w:t>”), and JPMorgan Chase Bank, N.A., in its capacity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itself and for the Secured Parties (as defined in the Credit Agreement referred to below).</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PRELIMINARY STATEMENT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Grantors, the Administrative Agent, the other Loan Parties, and the Lenders are entering into a Credit Agreement dated as of the date hereof (as it may be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Each Grantor is entering into this Security Agreement in order to induce the Lenders to enter into and extend credit to the Borrowers under the Credit Agreement and to secure the Secured Obligations that it has agreed to guarantee pursuant to Article X of the Credit Agreement.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ACCORDINGLY, the Grantors and the Administrative Agent, on behalf of the Secured Parties,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Terms Defined in Credit Agreement</w:t>
      </w:r>
      <w:r>
        <w:rPr>
          <w:rFonts w:ascii="Arial" w:cs="Arial" w:eastAsia="Arial" w:hAnsi="Arial"/>
          <w:sz w:val="18"/>
          <w:szCs w:val="18"/>
          <w:color w:val="auto"/>
        </w:rPr>
        <w:t>. All capitalized terms used herein and not otherwise defined shall have the meanings assigned to such terms in the Credit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Terms Defined in UCC</w:t>
      </w:r>
      <w:r>
        <w:rPr>
          <w:rFonts w:ascii="Arial" w:cs="Arial" w:eastAsia="Arial" w:hAnsi="Arial"/>
          <w:sz w:val="18"/>
          <w:szCs w:val="18"/>
          <w:color w:val="auto"/>
        </w:rPr>
        <w:t>. Terms defined in the UCC which are not otherwise defined in this Security Agreement or the Credit Agreement are used herein as defined in the UCC.</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Definitions of Certain Terms Used Herein</w:t>
      </w:r>
      <w:r>
        <w:rPr>
          <w:rFonts w:ascii="Arial" w:cs="Arial" w:eastAsia="Arial" w:hAnsi="Arial"/>
          <w:sz w:val="18"/>
          <w:szCs w:val="18"/>
          <w:color w:val="auto"/>
        </w:rPr>
        <w:t>. As used in this Security Agreement, in addition to the terms defined in the first paragraph hereof and in the Preliminary Statement, the following terms shall have the following meanings: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IP Office</w:t>
      </w:r>
      <w:r>
        <w:rPr>
          <w:rFonts w:ascii="Arial" w:cs="Arial" w:eastAsia="Arial" w:hAnsi="Arial"/>
          <w:sz w:val="18"/>
          <w:szCs w:val="18"/>
          <w:color w:val="auto"/>
        </w:rPr>
        <w:t>” means the United States Patent and Trademark Office, the United States Copyright Office or any similar office or agency within or, solely in the case of Section 4.7, outside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w:t>
      </w:r>
      <w:r>
        <w:rPr>
          <w:rFonts w:ascii="Arial" w:cs="Arial" w:eastAsia="Arial" w:hAnsi="Arial"/>
          <w:sz w:val="18"/>
          <w:szCs w:val="18"/>
          <w:color w:val="auto"/>
        </w:rPr>
        <w:t>” means a numbered article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Chattel Paper</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shall have the meaning set forth in Article II.</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4" w:name="page195"/>
    <w:bookmarkEnd w:id="194"/>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Access Agreement</w:t>
      </w:r>
      <w:r>
        <w:rPr>
          <w:rFonts w:ascii="Arial" w:cs="Arial" w:eastAsia="Arial" w:hAnsi="Arial"/>
          <w:sz w:val="18"/>
          <w:szCs w:val="18"/>
          <w:color w:val="auto"/>
        </w:rPr>
        <w:t>” means any landlord waiver or other agreement, in form and substance reasonably satisfactory to the Administrative Agent, between the Administrative Agent and any third party (including any bailee, processor, consignee, customs broker, or other similar Person) in possession of any Collateral or any landlord of any real property where any Collateral is located, as such landlord waiver or other agreement may be amended, restated, supplemented or otherwise modified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Deposit Account</w:t>
      </w:r>
      <w:r>
        <w:rPr>
          <w:rFonts w:ascii="Arial" w:cs="Arial" w:eastAsia="Arial" w:hAnsi="Arial"/>
          <w:sz w:val="18"/>
          <w:szCs w:val="18"/>
          <w:color w:val="auto"/>
        </w:rPr>
        <w:t>” shall have the meaning set forth in Section 7.1(a).</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Report</w:t>
      </w:r>
      <w:r>
        <w:rPr>
          <w:rFonts w:ascii="Arial" w:cs="Arial" w:eastAsia="Arial" w:hAnsi="Arial"/>
          <w:sz w:val="18"/>
          <w:szCs w:val="18"/>
          <w:color w:val="auto"/>
        </w:rPr>
        <w:t>” means any certificate (including any Borrowing Base Certificate), report or other document delivered by any Grantor to the Administrative Agent or any Lender with respect to the Collateral pursuant to any Loan Document.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Collection Account</w:t>
      </w:r>
      <w:r>
        <w:rPr>
          <w:rFonts w:ascii="Arial" w:cs="Arial" w:eastAsia="Arial" w:hAnsi="Arial"/>
          <w:sz w:val="18"/>
          <w:szCs w:val="18"/>
          <w:color w:val="auto"/>
        </w:rPr>
        <w:t>” shall have the meaning set forth in Section 7.1(c).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means the commercial tort claims of the Grantors described in Exhibit J.</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Confirmatory Grant</w:t>
      </w:r>
      <w:r>
        <w:rPr>
          <w:rFonts w:ascii="Arial" w:cs="Arial" w:eastAsia="Arial" w:hAnsi="Arial"/>
          <w:sz w:val="18"/>
          <w:szCs w:val="18"/>
          <w:color w:val="auto"/>
        </w:rPr>
        <w:t>” shall have the meaning set forth in Section 3.10(e).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shall have the meaning set forth in Article 8 of the UCC or, if applicable, in Section 9-104, 9-105, 9-106 or 9-107 of Article 9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UCC.</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all rights, title and interests (and all related IP Ancillary Rights) arising under any Requirement of Law in or relating to copyrights and all mask works, database and design rights, whether or not registered or published, all registrations and recordations thereof and all applications in connection therewith.</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 Control Agreement</w:t>
      </w:r>
      <w:r>
        <w:rPr>
          <w:rFonts w:ascii="Arial" w:cs="Arial" w:eastAsia="Arial" w:hAnsi="Arial"/>
          <w:sz w:val="18"/>
          <w:szCs w:val="18"/>
          <w:color w:val="auto"/>
        </w:rPr>
        <w:t>” means an agreement, in form and substance reasonably satisfactory to the Administrative Agent, among any Loan Party, a banking institution holding such Loan Party’s funds, and the Administrative Agent with respect to collection and control of all deposits and balances held in a deposit account maintained by such Loan Party with such banking institution.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Documents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Equipment</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means an event described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Exhibit</w:t>
      </w:r>
      <w:r>
        <w:rPr>
          <w:rFonts w:ascii="Arial" w:cs="Arial" w:eastAsia="Arial" w:hAnsi="Arial"/>
          <w:sz w:val="18"/>
          <w:szCs w:val="18"/>
          <w:color w:val="auto"/>
        </w:rPr>
        <w:t>” refers to a specific exhibit to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Fixtures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General Intangibles</w:t>
      </w:r>
      <w:r>
        <w:rPr>
          <w:rFonts w:ascii="Arial" w:cs="Arial" w:eastAsia="Arial" w:hAnsi="Arial"/>
          <w:sz w:val="18"/>
          <w:szCs w:val="18"/>
          <w:color w:val="auto"/>
        </w:rPr>
        <w:t>” shall have the meaning set forth in Article 9 of the UCC.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5" w:name="page196"/>
    <w:bookmarkEnd w:id="19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Industrial Designs</w:t>
      </w:r>
      <w:r>
        <w:rPr>
          <w:rFonts w:ascii="Arial" w:cs="Arial" w:eastAsia="Arial" w:hAnsi="Arial"/>
          <w:sz w:val="18"/>
          <w:szCs w:val="18"/>
          <w:color w:val="auto"/>
        </w:rPr>
        <w:t>” means all right, title and interest (and all related IP Ancillary Rights) arising under any Requirement of Law in or relating to registered industrial designs and industrial design applications.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Instruments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rights, title and interests in or relating to intellectual property and industrial property arising under any Requirement of Law and all IP Ancillary Rights relating thereto, including all Copyrights, Patents, Industrial Designs, Software, Trademarks, Internet Domain Names, Trade Secrets and IP Licenses.</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Internet Domain Name</w:t>
      </w:r>
      <w:r>
        <w:rPr>
          <w:rFonts w:ascii="Arial" w:cs="Arial" w:eastAsia="Arial" w:hAnsi="Arial"/>
          <w:sz w:val="18"/>
          <w:szCs w:val="18"/>
          <w:color w:val="auto"/>
        </w:rPr>
        <w:t>” means all right, title and interest (and all related IP Ancillary Rights) arising under any Requirement of Law in or relating to internet domain names.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Inventory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Property</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IP Ancillary Rights</w:t>
      </w:r>
      <w:r>
        <w:rPr>
          <w:rFonts w:ascii="Arial" w:cs="Arial" w:eastAsia="Arial" w:hAnsi="Arial"/>
          <w:sz w:val="16"/>
          <w:szCs w:val="16"/>
          <w:color w:val="auto"/>
        </w:rPr>
        <w:t>” means, with respect to any Intellectual Property, as applicable, all foreign counterparts to, and all divisionals, reversions, continuations, continuations-in-part, reissues, reexaminations, renewals and extensions of, such Intellectual Property and all income, royalties, proceeds and Liabilities at any time due or payable or asserted under or with respect to any of the foregoing or otherwise with respect to such Intellectual Property throughout the world, including all rights to sue or recover at law or in equity for any past, present or future infringement, misappropriation, dilution, violation or other impairment thereof, and, in each case, all rights to obtain any other IP Ancillary Right throughout the world.</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License</w:t>
      </w:r>
      <w:r>
        <w:rPr>
          <w:rFonts w:ascii="Arial" w:cs="Arial" w:eastAsia="Arial" w:hAnsi="Arial"/>
          <w:sz w:val="18"/>
          <w:szCs w:val="18"/>
          <w:color w:val="auto"/>
        </w:rPr>
        <w:t>” means all contractual obligations (and all related IP Ancillary Rights), whether written or oral, granting any right, title and interest in or relating to any Intellectual Property.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means the actual knowledge of any Responsible Officer of a Grantor.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lenders party to the Credit Agreement and their successors and assigns.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Letter-of-Credit Rights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Liabilities</w:t>
      </w:r>
      <w:r>
        <w:rPr>
          <w:rFonts w:ascii="Arial" w:cs="Arial" w:eastAsia="Arial" w:hAnsi="Arial"/>
          <w:sz w:val="18"/>
          <w:szCs w:val="18"/>
          <w:color w:val="auto"/>
        </w:rPr>
        <w:t>” shall have the meaning set forth in the Credit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 Boxes</w:t>
      </w:r>
      <w:r>
        <w:rPr>
          <w:rFonts w:ascii="Arial" w:cs="Arial" w:eastAsia="Arial" w:hAnsi="Arial"/>
          <w:sz w:val="18"/>
          <w:szCs w:val="18"/>
          <w:color w:val="auto"/>
        </w:rPr>
        <w:t>” shall have the meaning set forth in Section 7.1(a).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 Box Agreement</w:t>
      </w:r>
      <w:r>
        <w:rPr>
          <w:rFonts w:ascii="Arial" w:cs="Arial" w:eastAsia="Arial" w:hAnsi="Arial"/>
          <w:sz w:val="18"/>
          <w:szCs w:val="18"/>
          <w:color w:val="auto"/>
        </w:rPr>
        <w:t>” shall have the meaning set forth in Section 7.1(a).</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Intellectual Property that is owned by or licensed to any Grantor and material to the conduct of such Grantor’s business (other than license agreements for commercially available off-the-shelf software that is generally available to the public which have been licensed to Grantor pursuant to end-user licenses).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6" w:name="page197"/>
    <w:bookmarkEnd w:id="19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means all rights, title and interests (and all related IP Ancillary Rights) arising under any Requirement of Law in or relating to letters patent and applications therefor.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Petty Cash Accounts</w:t>
      </w:r>
      <w:r>
        <w:rPr>
          <w:rFonts w:ascii="Arial" w:cs="Arial" w:eastAsia="Arial" w:hAnsi="Arial"/>
          <w:sz w:val="18"/>
          <w:szCs w:val="18"/>
          <w:color w:val="auto"/>
        </w:rPr>
        <w:t>” means Deposit Accounts specially and exclusively used for petty cash needs to the extent the balance of such Deposit Accounts do not to exceed $50,000 individually or in the aggregate at any point in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Collateral</w:t>
      </w:r>
      <w:r>
        <w:rPr>
          <w:rFonts w:ascii="Arial" w:cs="Arial" w:eastAsia="Arial" w:hAnsi="Arial"/>
          <w:sz w:val="18"/>
          <w:szCs w:val="18"/>
          <w:color w:val="auto"/>
        </w:rPr>
        <w:t>” means all Instruments, Securities and other Investment Property of the Grantors, whether or not physically delivered to the Administrative Agent pursuant to this Security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Receivables</w:t>
      </w:r>
      <w:r>
        <w:rPr>
          <w:rFonts w:ascii="Arial" w:cs="Arial" w:eastAsia="Arial" w:hAnsi="Arial"/>
          <w:sz w:val="18"/>
          <w:szCs w:val="18"/>
          <w:color w:val="auto"/>
        </w:rPr>
        <w:t>” means the Accounts, Chattel Paper, Documents, Investment Property, Instruments and any other rights or claims to receive money which are General Intangibles or which are otherwise included as Collateral.</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Secured Parties</w:t>
      </w:r>
      <w:r>
        <w:rPr>
          <w:rFonts w:ascii="Arial" w:cs="Arial" w:eastAsia="Arial" w:hAnsi="Arial"/>
          <w:sz w:val="18"/>
          <w:szCs w:val="18"/>
          <w:color w:val="auto"/>
        </w:rPr>
        <w:t>” means (a) prior to an acceleration of the Obligations under the Credit Agreement, the Required Lenders, (b) after an acceleration of the Obligations under the Credit Agreement but prior to the date upon which the Credit Agreement has terminated by its terms and all of the obligations thereunder have been Paid in Full, Lenders holding in the aggregate at least 66⅔% of the total of the Aggregate Revolving Exposure, and (c) after the Credit Agreement has terminated by its terms and all of the Obligations thereunder have been Paid in Full (whether or not the Obligations under the Credit Agreement were ever accelerated), the Secured Parties holding in the aggregate at least 66⅔% of the aggregate net early termination payments and all other amounts then due and unpaid from any Grantor to the Secured Parties in respect of the Secured Obligations, as determined by the Administrative Agent in its reasonable discretion.</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Section</w:t>
      </w:r>
      <w:r>
        <w:rPr>
          <w:rFonts w:ascii="Arial" w:cs="Arial" w:eastAsia="Arial" w:hAnsi="Arial"/>
          <w:sz w:val="18"/>
          <w:szCs w:val="18"/>
          <w:color w:val="auto"/>
        </w:rPr>
        <w:t>” means a numbered section of this Security Agreement, unless another document is specifically referenced.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Account</w:t>
      </w:r>
      <w:r>
        <w:rPr>
          <w:rFonts w:ascii="Arial" w:cs="Arial" w:eastAsia="Arial" w:hAnsi="Arial"/>
          <w:sz w:val="18"/>
          <w:szCs w:val="18"/>
          <w:color w:val="auto"/>
        </w:rPr>
        <w:t>” shall have the meaning set forth in Article 8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w:t>
      </w:r>
      <w:r>
        <w:rPr>
          <w:rFonts w:ascii="Arial" w:cs="Arial" w:eastAsia="Arial" w:hAnsi="Arial"/>
          <w:sz w:val="18"/>
          <w:szCs w:val="18"/>
          <w:color w:val="auto"/>
        </w:rPr>
        <w:t>” shall have the meaning set forth in Article 8 of the UCC.</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 Supplement</w:t>
      </w:r>
      <w:r>
        <w:rPr>
          <w:rFonts w:ascii="Arial" w:cs="Arial" w:eastAsia="Arial" w:hAnsi="Arial"/>
          <w:sz w:val="18"/>
          <w:szCs w:val="18"/>
          <w:color w:val="auto"/>
        </w:rPr>
        <w:t>” shall mean any Security Agreement Supplement to this Security Agreement in substantially the form of Annex I hereto executed by an entity that becomes a Grantor under this Security Agreement after the date hereof.</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Software</w:t>
      </w:r>
      <w:r>
        <w:rPr>
          <w:rFonts w:ascii="Arial" w:cs="Arial" w:eastAsia="Arial" w:hAnsi="Arial"/>
          <w:sz w:val="17"/>
          <w:szCs w:val="17"/>
          <w:color w:val="auto"/>
        </w:rPr>
        <w:t>” means (a) all computer programs, including source code and object code versions, (b) all data, databases and compilations of data, whether machine readable or otherwise, and (c) all documentation, training materials and configurations related to any of the foregoing.</w:t>
      </w:r>
    </w:p>
    <w:p>
      <w:pPr>
        <w:spacing w:after="0" w:line="1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 Rights</w:t>
      </w:r>
      <w:r>
        <w:rPr>
          <w:rFonts w:ascii="Arial" w:cs="Arial" w:eastAsia="Arial" w:hAnsi="Arial"/>
          <w:sz w:val="18"/>
          <w:szCs w:val="18"/>
          <w:color w:val="auto"/>
        </w:rPr>
        <w:t>” means all dividends, instruments or other distributions and any other right or property which the Grantors shall receive or shall become entitled to receive for any reason whatsoever with respect to, in substitution for or in exchange for any Equity Interest constituting Collateral, any right to receive an Equity Interest and any right to receive earnings, in which the Grantors now have or hereafter acquire any right, issued by an issuer of such Equity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Obligations</w:t>
      </w:r>
      <w:r>
        <w:rPr>
          <w:rFonts w:ascii="Arial" w:cs="Arial" w:eastAsia="Arial" w:hAnsi="Arial"/>
          <w:sz w:val="18"/>
          <w:szCs w:val="18"/>
          <w:color w:val="auto"/>
        </w:rPr>
        <w:t>” shall have the meaning set forth in Article 9 of the UCC.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Deposit Account</w:t>
      </w:r>
      <w:r>
        <w:rPr>
          <w:rFonts w:ascii="Arial" w:cs="Arial" w:eastAsia="Arial" w:hAnsi="Arial"/>
          <w:sz w:val="18"/>
          <w:szCs w:val="18"/>
          <w:color w:val="auto"/>
        </w:rPr>
        <w:t>” means a Collateral Deposit Account of a Grantor not maintained with the Administrative Agent.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7" w:name="page198"/>
    <w:bookmarkEnd w:id="197"/>
    <w:p>
      <w:pPr>
        <w:jc w:val="both"/>
        <w:ind w:right="20"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 Secrets</w:t>
      </w:r>
      <w:r>
        <w:rPr>
          <w:rFonts w:ascii="Arial" w:cs="Arial" w:eastAsia="Arial" w:hAnsi="Arial"/>
          <w:sz w:val="18"/>
          <w:szCs w:val="18"/>
          <w:color w:val="auto"/>
        </w:rPr>
        <w:t>” mean all right, title and interest (and all related IP Ancillary Rights) arising under any Requirement of Law in or relating to proprietary, confidential and/or non-public information, however documented, including but not limited to confidential ideas, know-how, concepts, methods, processes, formulae, reports, data, customer lists, mailing lists, business plans and all other trade secrets.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means all rights, title and interests (and all related IP Ancillary Rights) arising under any Requirement of Law in or relating to trademarks, trade names, corporate names, company names, business names, fictitious business names, trade styles, service marks, logos and other source or business identifiers and, in each case, all goodwill associated therewith, all registrations and recordations thereof and all applications in connection therewith.</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of the State of California or of any other state the laws of which are required as a result thereof to be applied in connection with the attachment, perfection or priority of, or remedies with respect to, Administrative Agent’s or any other Secured Party’s Lien on any Collateral.</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definitions shall be equally applicable to both the singular and plural forms of the defined terms.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SECURITY INTEREST</w:t>
      </w:r>
    </w:p>
    <w:p>
      <w:pPr>
        <w:spacing w:after="0" w:line="21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7"/>
          <w:szCs w:val="17"/>
          <w:color w:val="auto"/>
        </w:rPr>
        <w:t>To secure the prompt and complete payment and performance of the Secured Obligations, each Grantor hereby pledges, assigns and grants to the Administrative Agent, on behalf of and for the ratable benefit of the Secured Parties, a security interest in all of its right, title and interest in, to and under all of such Grantor’s personal property and other assets, whether now owned by or owing to, or hereafter acquired by or arising in favor of such Grantor (including under any trade name or derivations thereof), and whether owned or consigned by or to, or leased from or to, such Grantor, and regardless of where located (all of which will be collectively referred to as the “</w:t>
      </w:r>
      <w:r>
        <w:rPr>
          <w:rFonts w:ascii="Arial" w:cs="Arial" w:eastAsia="Arial" w:hAnsi="Arial"/>
          <w:sz w:val="17"/>
          <w:szCs w:val="17"/>
          <w:u w:val="single" w:color="auto"/>
          <w:color w:val="auto"/>
        </w:rPr>
        <w:t>Collateral</w:t>
      </w:r>
      <w:r>
        <w:rPr>
          <w:rFonts w:ascii="Arial" w:cs="Arial" w:eastAsia="Arial" w:hAnsi="Arial"/>
          <w:sz w:val="17"/>
          <w:szCs w:val="17"/>
          <w:color w:val="auto"/>
        </w:rPr>
        <w:t>”), including:</w:t>
      </w:r>
    </w:p>
    <w:p>
      <w:pPr>
        <w:spacing w:after="0" w:line="176" w:lineRule="exact"/>
        <w:rPr>
          <w:sz w:val="20"/>
          <w:szCs w:val="20"/>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Accounts;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Chattel Paper;</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Copyrights, Patents and Trademarks;</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Documents;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Equipment;</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Fixtures;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General Intangibles;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Goods;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Instruments;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Inventory;</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all cash or cash equivalents;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8" w:name="page199"/>
    <w:bookmarkEnd w:id="198"/>
    <w:p>
      <w:pPr>
        <w:ind w:left="2600" w:hanging="648"/>
        <w:spacing w:after="0"/>
        <w:tabs>
          <w:tab w:leader="none" w:pos="26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letters of credit, Letter-of-Credit Rights and Supporting Obligations;</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Deposit Accounts with any bank or other financial institution;</w:t>
      </w:r>
    </w:p>
    <w:p>
      <w:pPr>
        <w:spacing w:after="0" w:line="252" w:lineRule="exact"/>
        <w:rPr>
          <w:rFonts w:ascii="Arial" w:cs="Arial" w:eastAsia="Arial" w:hAnsi="Arial"/>
          <w:sz w:val="18"/>
          <w:szCs w:val="18"/>
          <w:color w:val="auto"/>
        </w:rPr>
      </w:pPr>
    </w:p>
    <w:p>
      <w:pPr>
        <w:ind w:left="2600" w:hanging="648"/>
        <w:spacing w:after="0"/>
        <w:tabs>
          <w:tab w:leader="none" w:pos="26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Commercial Tort Claims; and</w:t>
      </w:r>
    </w:p>
    <w:p>
      <w:pPr>
        <w:spacing w:after="0" w:line="252" w:lineRule="exact"/>
        <w:rPr>
          <w:rFonts w:ascii="Arial" w:cs="Arial" w:eastAsia="Arial" w:hAnsi="Arial"/>
          <w:sz w:val="18"/>
          <w:szCs w:val="18"/>
          <w:color w:val="auto"/>
        </w:rPr>
      </w:pPr>
    </w:p>
    <w:p>
      <w:pPr>
        <w:jc w:val="both"/>
        <w:ind w:left="2600" w:hanging="648"/>
        <w:spacing w:after="0" w:line="259" w:lineRule="auto"/>
        <w:tabs>
          <w:tab w:leader="none" w:pos="26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all accessions to, substitutions for and replacements, proceeds (including Stock Rights), insurance proceeds and products of the foregoing, together with all books and records, customer lists, credit files, computer files, programs, printouts and other computer materials and records related thereto and any General Intangibles at any time evidencing or relating to any of the foregoing.</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Notwithstanding anything herein to the contrary, in no event shall the Collateral include, and no Grantor shall be deemed to have granted a security interest in the following (collectively, the “</w:t>
      </w:r>
      <w:r>
        <w:rPr>
          <w:rFonts w:ascii="Arial" w:cs="Arial" w:eastAsia="Arial" w:hAnsi="Arial"/>
          <w:sz w:val="18"/>
          <w:szCs w:val="18"/>
          <w:u w:val="single" w:color="auto"/>
          <w:color w:val="auto"/>
        </w:rPr>
        <w:t>Excluded Assets</w:t>
      </w:r>
      <w:r>
        <w:rPr>
          <w:rFonts w:ascii="Arial" w:cs="Arial" w:eastAsia="Arial" w:hAnsi="Arial"/>
          <w:sz w:val="18"/>
          <w:szCs w:val="18"/>
          <w:color w:val="auto"/>
        </w:rPr>
        <w:t>”):</w:t>
      </w:r>
    </w:p>
    <w:p>
      <w:pPr>
        <w:spacing w:after="0" w:line="170" w:lineRule="exact"/>
        <w:rPr>
          <w:sz w:val="20"/>
          <w:szCs w:val="20"/>
          <w:color w:val="auto"/>
        </w:rPr>
      </w:pPr>
    </w:p>
    <w:p>
      <w:pPr>
        <w:ind w:left="980" w:right="20" w:hanging="324"/>
        <w:spacing w:after="0" w:line="277" w:lineRule="auto"/>
        <w:tabs>
          <w:tab w:leader="none" w:pos="9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more than 65% of the Equity Interests entitled to vote (within the meaning of Treas. Reg. Section 1.956 2(c)(2)) in each Foreign Subsidiary directly owned by such Grantor;</w:t>
      </w:r>
    </w:p>
    <w:p>
      <w:pPr>
        <w:spacing w:after="0" w:line="197"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any permit, license, contract or agreement to which any Grantor is a party to the extent that the collateral assignment thereof or the creation of a security interest therein would be prohibited as a matter of law, or would constitute a breach of the terms of such permit, license, contract or agreement, or would permit the relevant Governmental Authority or third party to terminate such permit, license, contract or agreement, except the Collateral expressly shall include any proceeds of any of the foregoing assets;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any permit, license, contract or agreement excluded in accordance with the foregoing shall cease to be so excluded (x) to the extent such term is, or would be (in the case of after-acquired property or changes to applicable law), rendered ineffective under Sections 9-406, 9-407, 9-408 or 9-409 of the UCC of any relevant jurisdiction (or any successor provision) or any other applicable law (including the Bankruptcy Code) or principles of equity (as determined by an applicable court); or (y) if such Grantor has obtained all of the consents of such Governmental Authority or such third party to such license, contract or agreement necessary for the collateral assignment of, or creation of a security interest in, such permit, license, contract or agreement; </w:t>
      </w:r>
      <w:r>
        <w:rPr>
          <w:rFonts w:ascii="Arial" w:cs="Arial" w:eastAsia="Arial" w:hAnsi="Arial"/>
          <w:sz w:val="17"/>
          <w:szCs w:val="17"/>
          <w:i w:val="1"/>
          <w:iCs w:val="1"/>
          <w:color w:val="auto"/>
        </w:rPr>
        <w:t>provided further that</w:t>
      </w:r>
      <w:r>
        <w:rPr>
          <w:rFonts w:ascii="Arial" w:cs="Arial" w:eastAsia="Arial" w:hAnsi="Arial"/>
          <w:sz w:val="17"/>
          <w:szCs w:val="17"/>
          <w:color w:val="auto"/>
        </w:rPr>
        <w:t>, immediately upon the ineffectiveness, lapse or termination of any such term in any such permit, license, contract or agreement, the Collateral shall include, and such Grantor shall be deemed to have granted a security interest in, all such rights and interests as if such provision had never been in effect,</w:t>
      </w:r>
    </w:p>
    <w:p>
      <w:pPr>
        <w:spacing w:after="0" w:line="205"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“intent to use” Trademark applications for which a statement of use has not been filed and accepted with the United States Patent and Trademark Office or any Intellectual Property if the grant of a Lien on or security interest in such Intellectual Property could result in the cancellation or voiding of such Intellectual Property;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real property or real property interests (including leasehold interests);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any Deposit Account specially and exclusively used for payroll, payroll taxes and other employee wage and benefit payments to or for the benefit of a Grantor’s employees.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any assets excluded from the Collateral in this paragraph shall not include any proceeds, products, substitutions or replacements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assets (unless such proceeds, products, substitutions or replacements would otherwise constitute assets that are excluded from the Collateral pursuant to this paragraph).</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bookmarkStart w:id="199" w:name="page200"/>
    <w:bookmarkEnd w:id="199"/>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Grantor represents and warrants, and each Grantor that becomes a party to this Security Agreement pursuant to the execution of a Security Agreement Supplement represents and warrants (after giving effect to supplements, if any, to each of the Exhibits hereto with respect to such Grantor as attached to such Security Agreement Supplement), to the Administrative Agent and the Secured Parties that: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Title, Authorization, Validity, Enforceability, Perfection and Priority</w:t>
      </w:r>
      <w:r>
        <w:rPr>
          <w:rFonts w:ascii="Arial" w:cs="Arial" w:eastAsia="Arial" w:hAnsi="Arial"/>
          <w:sz w:val="17"/>
          <w:szCs w:val="17"/>
          <w:color w:val="auto"/>
        </w:rPr>
        <w:t xml:space="preserve">. Such Grantor has good and valid rights in or the power to transfer the Collateral and title to the Collateral with respect to which it has purported to grant a security interest hereunder, free and clear of all Liens except for Liens permitted under Section 4.1(e), and has full power and authority to grant to the Administrative Agent the security interest in the Collateral pursuant hereto. The execution and delivery by such Grantor of this Security Agreement has been duly authorized by all corporate or other proper proceedings of such Grantor, and this Security Agreement constitutes a legal valid and binding obligation of such Grantor and creates a security interest which is enforceable against such Grantor in all Collateral it now owns or hereafter acquires, subject to applicable bankruptcy, insolvency, reorganization, moratorium or other laws affecting creditors’ rights generally and subject to general principles of equity, regardless of whether considered in a proceeding in equity or at law. When financing statements have been filed in the appropriate offices against such Grantor in the locations listed on </w:t>
      </w:r>
      <w:r>
        <w:rPr>
          <w:rFonts w:ascii="Arial" w:cs="Arial" w:eastAsia="Arial" w:hAnsi="Arial"/>
          <w:sz w:val="17"/>
          <w:szCs w:val="17"/>
          <w:u w:val="single" w:color="auto"/>
          <w:color w:val="auto"/>
        </w:rPr>
        <w:t>Exhibit H</w:t>
      </w:r>
      <w:r>
        <w:rPr>
          <w:rFonts w:ascii="Arial" w:cs="Arial" w:eastAsia="Arial" w:hAnsi="Arial"/>
          <w:sz w:val="17"/>
          <w:szCs w:val="17"/>
          <w:color w:val="auto"/>
        </w:rPr>
        <w:t>, the Administrative Agent will have a fully perfected first priority security interest in that Collateral of such Grantor in which a security interest may be perfected by filing, subject only to Liens permitted under Section 4.1(e).</w:t>
      </w:r>
    </w:p>
    <w:p>
      <w:pPr>
        <w:spacing w:after="0" w:line="18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Type and Jurisdiction of Organization, Organizational and Identification Numbers</w:t>
      </w:r>
      <w:r>
        <w:rPr>
          <w:rFonts w:ascii="Arial" w:cs="Arial" w:eastAsia="Arial" w:hAnsi="Arial"/>
          <w:sz w:val="16"/>
          <w:szCs w:val="16"/>
          <w:color w:val="auto"/>
        </w:rPr>
        <w:t xml:space="preserve">. The type of entity of such Grantor, its state of organization, the organizational number issued to it by its state of organization and its federal employer identification number are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24"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Principal Location</w:t>
      </w:r>
      <w:r>
        <w:rPr>
          <w:rFonts w:ascii="Arial" w:cs="Arial" w:eastAsia="Arial" w:hAnsi="Arial"/>
          <w:sz w:val="18"/>
          <w:szCs w:val="18"/>
          <w:color w:val="auto"/>
        </w:rPr>
        <w:t xml:space="preserve">. Such Grantor’s mailing address, which shall be its address for notices and other communications provided for herein and the location of its place of business (if it has only one) and its chief executive office (if it has more than one place of business), are disclosed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such Grantor has no other places of business except those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Collateral Locations</w:t>
      </w:r>
      <w:r>
        <w:rPr>
          <w:rFonts w:ascii="Arial" w:cs="Arial" w:eastAsia="Arial" w:hAnsi="Arial"/>
          <w:sz w:val="18"/>
          <w:szCs w:val="18"/>
          <w:color w:val="auto"/>
        </w:rPr>
        <w:t xml:space="preserve">. All of such Grantor’s locations where Collateral is located (other than any Collateral in transit in the ordinary course of business) are listed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All of said locations are owned by such Grantor except for locations (a) which are leased by such Grantor as lessee and designated in </w:t>
      </w:r>
      <w:r>
        <w:rPr>
          <w:rFonts w:ascii="Arial" w:cs="Arial" w:eastAsia="Arial" w:hAnsi="Arial"/>
          <w:sz w:val="18"/>
          <w:szCs w:val="18"/>
          <w:u w:val="single" w:color="auto"/>
          <w:color w:val="auto"/>
        </w:rPr>
        <w:t>Part VII(b)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(b) at which Inventory is held in a public warehouse or is otherwise held by a bailee or on consignment as designated in </w:t>
      </w:r>
      <w:r>
        <w:rPr>
          <w:rFonts w:ascii="Arial" w:cs="Arial" w:eastAsia="Arial" w:hAnsi="Arial"/>
          <w:sz w:val="18"/>
          <w:szCs w:val="18"/>
          <w:u w:val="single" w:color="auto"/>
          <w:color w:val="auto"/>
        </w:rPr>
        <w:t>Part VII(c)</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Exhibit A.</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Deposit Accounts and Securities Accounts</w:t>
      </w:r>
      <w:r>
        <w:rPr>
          <w:rFonts w:ascii="Arial" w:cs="Arial" w:eastAsia="Arial" w:hAnsi="Arial"/>
          <w:sz w:val="16"/>
          <w:szCs w:val="16"/>
          <w:color w:val="auto"/>
        </w:rPr>
        <w:t>. All of such Grantor’s Deposit Accounts and Securities Accounts are listed on</w:t>
      </w:r>
      <w:r>
        <w:rPr>
          <w:rFonts w:ascii="Arial" w:cs="Arial" w:eastAsia="Arial" w:hAnsi="Arial"/>
          <w:sz w:val="16"/>
          <w:szCs w:val="16"/>
          <w:u w:val="single" w:color="auto"/>
          <w:color w:val="auto"/>
        </w:rPr>
        <w:t xml:space="preserve"> Exhibit B</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Exact Names</w:t>
      </w:r>
      <w:r>
        <w:rPr>
          <w:rFonts w:ascii="Arial" w:cs="Arial" w:eastAsia="Arial" w:hAnsi="Arial"/>
          <w:sz w:val="16"/>
          <w:szCs w:val="16"/>
          <w:color w:val="auto"/>
        </w:rPr>
        <w:t>. Except to the extent changed and notified to the Administrative Agent in accordance with Section 4.15, such Grantor’s name in which it has executed this Security Agreement is the exact name as it appears in such Grantor’s organizational documents, as amended, as filed with such Grantor’s jurisdiction of organization. Except to the extent otherwise disclosed to the Administrative Agent, such Grantor has not, during the past five years, been known by or used any other corporate or fictitious name, or been a party to any merger or consolidation, or been a party to any acquisition.</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Letter-of-Credit Rights and Chattel Paper</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lists all Letter-of-Credit Rights and Chattel Paper of such Grantor with a face value exceeding $100,000 individually or in the aggregate. All action by such Grantor necessary or desirable to protect and perfect the Administrative Agent’s Lien on each item listed on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(including the delivery of all originals and the placement of a legend on all Chattel Paper as required hereunder) has been duly taken. The Administrative Agent will have a fully perfected first priority security interest in the Collateral listed on </w:t>
      </w:r>
      <w:r>
        <w:rPr>
          <w:rFonts w:ascii="Arial" w:cs="Arial" w:eastAsia="Arial" w:hAnsi="Arial"/>
          <w:sz w:val="18"/>
          <w:szCs w:val="18"/>
          <w:u w:val="single" w:color="auto"/>
          <w:color w:val="auto"/>
        </w:rPr>
        <w:t>Exhibit C</w:t>
      </w:r>
      <w:r>
        <w:rPr>
          <w:rFonts w:ascii="Arial" w:cs="Arial" w:eastAsia="Arial" w:hAnsi="Arial"/>
          <w:sz w:val="18"/>
          <w:szCs w:val="18"/>
          <w:color w:val="auto"/>
        </w:rPr>
        <w:t>, subject only to Liens permitted under Section 4.1(e).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0" w:name="page201"/>
    <w:bookmarkEnd w:id="200"/>
    <w:p>
      <w:pPr>
        <w:ind w:left="660"/>
        <w:spacing w:after="0"/>
        <w:tabs>
          <w:tab w:leader="none" w:pos="15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Accounts and Chattel Paper</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75" w:lineRule="auto"/>
        <w:tabs>
          <w:tab w:leader="none" w:pos="2377"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names of the obligors, amounts owing, due dates and other information with respect to such Grantor’s Accounts and Chattel Paper are and will be correctly stated in all material respects in all records of such Grantor relating thereto and in all invoices and Collateral Reports with respect thereto furnished to the Administrative Agent by such Grantor from time to time. As of the time when each Account or each item of Chattel Paper arises, such Grantor shall be deemed to have represented and warranted that such Account or Chattel Paper, as the case may be, and all records relating thereto, are genuine and in all material respects what they purport to be.</w:t>
      </w:r>
    </w:p>
    <w:p>
      <w:pPr>
        <w:spacing w:after="0" w:line="176" w:lineRule="exact"/>
        <w:rPr>
          <w:rFonts w:ascii="Arial" w:cs="Arial" w:eastAsia="Arial" w:hAnsi="Arial"/>
          <w:sz w:val="17"/>
          <w:szCs w:val="17"/>
          <w:color w:val="auto"/>
        </w:rPr>
      </w:pPr>
    </w:p>
    <w:p>
      <w:pPr>
        <w:jc w:val="both"/>
        <w:ind w:left="660" w:firstLine="644"/>
        <w:spacing w:after="0" w:line="268" w:lineRule="auto"/>
        <w:tabs>
          <w:tab w:leader="none" w:pos="2522" w:val="left"/>
        </w:tabs>
        <w:numPr>
          <w:ilvl w:val="0"/>
          <w:numId w:val="204"/>
        </w:numPr>
        <w:rPr>
          <w:rFonts w:ascii="Arial" w:cs="Arial" w:eastAsia="Arial" w:hAnsi="Arial"/>
          <w:sz w:val="17"/>
          <w:szCs w:val="17"/>
          <w:color w:val="auto"/>
        </w:rPr>
      </w:pPr>
      <w:r>
        <w:rPr>
          <w:rFonts w:ascii="Arial" w:cs="Arial" w:eastAsia="Arial" w:hAnsi="Arial"/>
          <w:sz w:val="17"/>
          <w:szCs w:val="17"/>
          <w:color w:val="auto"/>
        </w:rPr>
        <w:t>With respect to such Grantor’s Accounts, except as specifically disclosed on the most recent Collateral Report, (i) all Accounts are Eligible Accounts; (ii) all Accounts represent bona fide sales of Inventory or rendering of services to Account Debtors in the ordinary course of such Grantor’s business and are not evidenced by a judgment, Instrument or Chattel Paper; (iii) there are no setoffs, claims or disputes existing or to such Grantor’s knowledge asserted with respect thereto and such Grantor has not made any agreement with any Account Debtor for any extension of time for the payment thereof (other than disputed amounts on credit card transactions from time to time), any compromise or settlement for less than the full amount thereof, any release of any Account Debtor from liability therefor, or any deduction therefrom except a discount or allowance allowed by such Grantor in the ordinary course of its business for prompt payment and disclosed to the Administrative Agent; (iv) to such Grantor’s knowledge, there are no facts, events or occurrences which in any way impair the validity or enforceability thereof or could reasonably be expected to reduce the amount payable thereunder as shown on such Grantor’s books and records and any invoices, statements and Collateral Reports with respect thereto; (v) such Grantor has not received any notice of proceedings or actions which are threatened or pending against any Account Debtor which might result in any adverse change in such Account Debtor’s financial condition; and (vi) such Grantor has no knowledge that any Account Debtor has become insolvent or is generally unable to pay its debts as they become due.</w:t>
      </w:r>
    </w:p>
    <w:p>
      <w:pPr>
        <w:spacing w:after="0" w:line="186" w:lineRule="exact"/>
        <w:rPr>
          <w:rFonts w:ascii="Arial" w:cs="Arial" w:eastAsia="Arial" w:hAnsi="Arial"/>
          <w:sz w:val="17"/>
          <w:szCs w:val="17"/>
          <w:color w:val="auto"/>
        </w:rPr>
      </w:pPr>
    </w:p>
    <w:p>
      <w:pPr>
        <w:jc w:val="both"/>
        <w:ind w:left="660" w:firstLine="644"/>
        <w:spacing w:after="0" w:line="301" w:lineRule="auto"/>
        <w:tabs>
          <w:tab w:leader="none" w:pos="228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In addition, with respect to all of such Grantor’s Accounts, (i) the amounts shown on all invoices, statements and Collateral Reports with respect thereto are actually and absolutely owing to such Grantor as indicated thereon and are not in any way contingent; (ii) no payments have been or shall be made thereon except payments immediately delivered to a Lock Box or a Collateral Deposit Account as required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and (iii) to such Grantor’s knowledge, all Account Debtors have the capacity to contract.</w:t>
      </w:r>
    </w:p>
    <w:p>
      <w:pPr>
        <w:spacing w:after="0" w:line="15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Inventory</w:t>
      </w:r>
      <w:r>
        <w:rPr>
          <w:rFonts w:ascii="Arial" w:cs="Arial" w:eastAsia="Arial" w:hAnsi="Arial"/>
          <w:sz w:val="17"/>
          <w:szCs w:val="17"/>
          <w:color w:val="auto"/>
        </w:rPr>
        <w:t xml:space="preserve">. With respect to any of such Grantor’s Inventory scheduled or listed on the most recent Collateral Report, (a) such Inventory (other than Inventory (x) at customer locations or work sites with an aggregate value not exceeding $100,000 or (y) in transit) is located at one of such Grantor’s locations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or as otherwise disclosed to the Lender pursuant to Section 4.1(g), (b) no Inventory (other than Inventory (x) at customer locations or work sites with an aggregate value not exceeding $100,000 or (y) in transit) is now, or shall at any time or times hereafter be stored at any other location except as permitted by Section 4.1(g), (c) such Grantor has good, indefeasible and merchantable title to such Inventory and such Inventory is not subject to any Lien or security interest or document whatsoever except for Liens permitted under Section 4.1(e), (d) except as specifically disclosed in the most recent Collateral Report, such Inventory is Eligible Inventory of good and merchantable quality, free from any defects, (e) such Inventory is not subject to any licensing, patent, royalty, trademark, trade name or copyright agreements with any third parties which would require any consent of any third party upon sale or disposition of that Inventory or the payment of any monies to any third party upon such sale or other disposition, (f) such Inventory has been produced in accordance with the Federal Fair Labor Standards Act of 1938, as amended, and all rules, regulations and orders thereunder and (g) the completion of manufacture, sale or other disposition of such Inventory by the Administrative Agent following an Event of Default shall not require the consent of any Person and shall not constitute a breach or default under any contract or agreement to which such Grantor is a party or to which such property is subject.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1" w:name="page202"/>
    <w:bookmarkEnd w:id="201"/>
    <w:p>
      <w:pPr>
        <w:spacing w:after="0"/>
        <w:tabs>
          <w:tab w:leader="none" w:pos="7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u w:val="single" w:color="auto"/>
          <w:color w:val="auto"/>
        </w:rPr>
        <w:t>Intellectual Property.</w:t>
      </w:r>
    </w:p>
    <w:p>
      <w:pPr>
        <w:spacing w:after="0" w:line="225" w:lineRule="exact"/>
        <w:rPr>
          <w:sz w:val="20"/>
          <w:szCs w:val="20"/>
          <w:color w:val="auto"/>
        </w:rPr>
      </w:pPr>
    </w:p>
    <w:p>
      <w:pPr>
        <w:jc w:val="both"/>
        <w:ind w:firstLine="644"/>
        <w:spacing w:after="0" w:line="269" w:lineRule="auto"/>
        <w:tabs>
          <w:tab w:leader="none" w:pos="177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Exhibit D contains a complete and accurate listing as of the Closing Date and the date of each compliance certificate is required to be delivered under the Credit Agreement of the following Intellectual Property such Grantor owns, licenses or otherwise has the right to use: (i) Intellectual Property that is registered or subject to applications for registration, (ii) Internet Domain Names and (iii) Material Intellectual Property and material Software, separately identifying that owned and licensed to such Grantor and including for each of the foregoing items (A) the owner, (B) the title, (C) the jurisdiction in which such item has been registered or otherwise arises or in which an application for registration has been filed, (D) as applicable, the registration or application number and registration or application date and (E) any IP Licenses or other rights (including franchises) granted by such Grantor with respect thereto. Such Grantor owns directly or is entitled to use, by license or otherwise, all Intellectual Property necessary for the conduct of such Grantor’s business as currently conducted. All of the U.S. registrations, applications for registration or applications for issuance of the Intellectual Property are in good standing and are recorded or in the process of being recorded in the name of such Grantor.</w:t>
      </w:r>
    </w:p>
    <w:p>
      <w:pPr>
        <w:spacing w:after="0" w:line="185" w:lineRule="exact"/>
        <w:rPr>
          <w:rFonts w:ascii="Arial" w:cs="Arial" w:eastAsia="Arial" w:hAnsi="Arial"/>
          <w:sz w:val="17"/>
          <w:szCs w:val="17"/>
          <w:color w:val="auto"/>
        </w:rPr>
      </w:pPr>
    </w:p>
    <w:p>
      <w:pPr>
        <w:jc w:val="both"/>
        <w:ind w:firstLine="644"/>
        <w:spacing w:after="0" w:line="254" w:lineRule="auto"/>
        <w:tabs>
          <w:tab w:leader="none" w:pos="168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On the Closing Date, all Material Intellectual Property owned by such Grantor is valid, in full force and effect, subsisting, unexpired and enforceable, and no Material Intellectual Property has been abandoned. None of the following shall limit or impair the ownership, use, validity or enforceability of, or any rights of any such Grantor in, any Material Intellectual Property: (i) the consummation of the transactions contemplated by any Loan Documents or (ii) any holding, decision, judgment or order rendered by any Governmental Authority. There are no pending (or, to the knowledge of such Grantor, threatened) actions, investigations, suits, proceedings, audits, claims, demands, orders or disputes challenging the ownership, use, validity, enforceability of, or such Grantor’s rights in, any Material Intellectual Property of any such Grantor. To such Grantor’s knowledge, no Person has been or is infringing, misappropriating, diluting, violating or otherwise impairing any Intellectual Property of such Grantor.</w:t>
      </w:r>
    </w:p>
    <w:p>
      <w:pPr>
        <w:spacing w:after="0" w:line="191" w:lineRule="exact"/>
        <w:rPr>
          <w:rFonts w:ascii="Arial" w:cs="Arial" w:eastAsia="Arial" w:hAnsi="Arial"/>
          <w:sz w:val="18"/>
          <w:szCs w:val="18"/>
          <w:color w:val="auto"/>
        </w:rPr>
      </w:pPr>
    </w:p>
    <w:p>
      <w:pPr>
        <w:jc w:val="both"/>
        <w:ind w:firstLine="644"/>
        <w:spacing w:after="0" w:line="296" w:lineRule="auto"/>
        <w:tabs>
          <w:tab w:leader="none" w:pos="179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Such Grantor has taken or caused to be taken steps so that none of its Intellectual Property, the value of which to such Grantor is contingent upon maintenance of the confidentiality thereof, has been disclosed by any such Grantor to any Person other than employees, contractors, customers, representatives and agents of such Grantor who are parties to customary confidentiality and nondisclosure agreements with any such Grantor. Each employee and contractor of any such Grantor involved in development or creation of any Material Intellectual Property has assigned any and all inventions and ideas of such Person in and to such Intellectual Property to such Grantor.</w:t>
      </w:r>
    </w:p>
    <w:p>
      <w:pPr>
        <w:spacing w:after="0" w:line="161" w:lineRule="exact"/>
        <w:rPr>
          <w:rFonts w:ascii="Arial" w:cs="Arial" w:eastAsia="Arial" w:hAnsi="Arial"/>
          <w:sz w:val="16"/>
          <w:szCs w:val="16"/>
          <w:color w:val="auto"/>
        </w:rPr>
      </w:pPr>
    </w:p>
    <w:p>
      <w:pPr>
        <w:jc w:val="both"/>
        <w:ind w:right="20" w:firstLine="644"/>
        <w:spacing w:after="0" w:line="286" w:lineRule="auto"/>
        <w:tabs>
          <w:tab w:leader="none" w:pos="1859" w:val="left"/>
        </w:tabs>
        <w:numPr>
          <w:ilvl w:val="0"/>
          <w:numId w:val="205"/>
        </w:numPr>
        <w:rPr>
          <w:rFonts w:ascii="Arial" w:cs="Arial" w:eastAsia="Arial" w:hAnsi="Arial"/>
          <w:sz w:val="17"/>
          <w:szCs w:val="17"/>
          <w:color w:val="auto"/>
        </w:rPr>
      </w:pPr>
      <w:r>
        <w:rPr>
          <w:rFonts w:ascii="Arial" w:cs="Arial" w:eastAsia="Arial" w:hAnsi="Arial"/>
          <w:sz w:val="17"/>
          <w:szCs w:val="17"/>
          <w:color w:val="auto"/>
        </w:rPr>
        <w:t>No settlement or consents, covenants not to sue, non-assertion assurances, or releases have been entered into by such Grantor or exist to which any such Grantor is bound that adversely affect its rights to own or use any Intellectual Property except as could not be reasonably expected to result in a Material Adverse Effect, in each case individually or in the aggregate.</w:t>
      </w:r>
    </w:p>
    <w:p>
      <w:pPr>
        <w:spacing w:after="0" w:line="165" w:lineRule="exact"/>
        <w:rPr>
          <w:rFonts w:ascii="Arial" w:cs="Arial" w:eastAsia="Arial" w:hAnsi="Arial"/>
          <w:sz w:val="17"/>
          <w:szCs w:val="17"/>
          <w:color w:val="auto"/>
        </w:rPr>
      </w:pPr>
    </w:p>
    <w:p>
      <w:pPr>
        <w:jc w:val="both"/>
        <w:ind w:firstLine="644"/>
        <w:spacing w:after="0" w:line="290" w:lineRule="auto"/>
        <w:tabs>
          <w:tab w:leader="none" w:pos="1755"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This Security Agreement is effective to create a valid and continuing Lien on such Copyrights, IP Licenses, Patents and Trademarks (other than Excluded Assets) and, upon filing with the Applicable IP Office of the Confirmatory Grant of Security Interest in Copyrights, the Confirmatory Grant of Security Interest in Patents and the Confirmatory Grant of Security Interest in Trademarks (each, a “</w:t>
      </w:r>
      <w:r>
        <w:rPr>
          <w:rFonts w:ascii="Arial" w:cs="Arial" w:eastAsia="Arial" w:hAnsi="Arial"/>
          <w:sz w:val="16"/>
          <w:szCs w:val="16"/>
          <w:u w:val="single" w:color="auto"/>
          <w:color w:val="auto"/>
        </w:rPr>
        <w:t>Confirmatory Grant</w:t>
      </w:r>
      <w:r>
        <w:rPr>
          <w:rFonts w:ascii="Arial" w:cs="Arial" w:eastAsia="Arial" w:hAnsi="Arial"/>
          <w:sz w:val="16"/>
          <w:szCs w:val="16"/>
          <w:color w:val="auto"/>
        </w:rPr>
        <w:t xml:space="preserve">”), and the filing of appropriate financing statements in the jurisdictions listed in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hereto, all action necessary or desirable to protect and perfect the security interest in, to and on such Grantor’s Patents, Trademarks (other than Excluded Assets), Copyrights or IP Licenses have been taken and such perfected security interest is enforceable as such as against any and all creditors of and purchasers from such Grantor. Each Grantor has no interest in any Copyright that is necessary in connection with the operation of such Grantor’s business, except for those Copyrights identified in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which have been registered with the United States Copyright Office.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202" w:name="page203"/>
    <w:bookmarkEnd w:id="202"/>
    <w:p>
      <w:pPr>
        <w:jc w:val="both"/>
        <w:ind w:firstLine="648"/>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Filing Requirements</w:t>
      </w:r>
      <w:r>
        <w:rPr>
          <w:rFonts w:ascii="Arial" w:cs="Arial" w:eastAsia="Arial" w:hAnsi="Arial"/>
          <w:sz w:val="18"/>
          <w:szCs w:val="18"/>
          <w:color w:val="auto"/>
        </w:rPr>
        <w:t xml:space="preserve">. None of its Equipment is covered by any certificate of title, except for the vehicles described in Part I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None of the Collateral owned by it is of a type for which security interests or liens may be perfected by filing under any federal statute except for (a) the vehicles described in Part II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and (b) Patents, Trademarks and Copyrights held by such Grantor and described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The legal description, county and street address of each property on which any Fixtures are located is set forth in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together with the name and address of the record owner of each such property.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No Financing Statements, Security Agreements</w:t>
      </w:r>
      <w:r>
        <w:rPr>
          <w:rFonts w:ascii="Arial" w:cs="Arial" w:eastAsia="Arial" w:hAnsi="Arial"/>
          <w:sz w:val="17"/>
          <w:szCs w:val="17"/>
          <w:color w:val="auto"/>
        </w:rPr>
        <w:t>. No financing statement or security agreement describing all or any portion of the Collateral which has not lapsed or been terminated (by a filing authorized by the secured party in respect thereof) naming such Grantor as debtor has been filed or is of record in any jurisdiction except for financing statements or security agreements (a) naming the Administrative Agent on behalf of the Secured Parties as the secured party and (b) in respect to other Liens permitted under Section 6.02 of the Credit Agreement.</w:t>
      </w:r>
    </w:p>
    <w:p>
      <w:pPr>
        <w:spacing w:after="0" w:line="171"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Pledged Collateral</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7" w:lineRule="auto"/>
        <w:tabs>
          <w:tab w:leader="none" w:pos="2241"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sets forth a complete and accurate list of all Pledged Collateral owned by such Grantor. Such Grantor is the direct, sole beneficial owner and sole holder of record of the Pledged Collateral listed on </w:t>
      </w:r>
      <w:r>
        <w:rPr>
          <w:rFonts w:ascii="Arial" w:cs="Arial" w:eastAsia="Arial" w:hAnsi="Arial"/>
          <w:sz w:val="16"/>
          <w:szCs w:val="16"/>
          <w:u w:val="single" w:color="auto"/>
          <w:color w:val="auto"/>
        </w:rPr>
        <w:t>Exhibit G</w:t>
      </w:r>
      <w:r>
        <w:rPr>
          <w:rFonts w:ascii="Arial" w:cs="Arial" w:eastAsia="Arial" w:hAnsi="Arial"/>
          <w:sz w:val="16"/>
          <w:szCs w:val="16"/>
          <w:color w:val="auto"/>
        </w:rPr>
        <w:t xml:space="preserve"> as being owned by it, free and clear of any Liens, except for any Liens permitted by Section 4.1(e). Such Grantor further represents and warrants that (i) all Pledged Collateral owned by it constituting an Equity Interest has been (to the extent such concepts are relevant with respect to such Pledged Collateral) duly authorized, validly issued, are fully paid and non-assessable, (ii) with respect to any certificates delivered to the Administrative Agent representing an Equity Interest, either such certificates are Securities as defined in Article 8 of the UCC as a result of actions by the issuer or otherwise, or, if such certificates are not Securities, such Grantor has so informed the Administrative Agent so that the Administrative Agent may take steps to perfect its security interest therein as a General Intangible, (iii) all such Pledged Collateral held by a securities intermediary is covered by a control agreement among such Grantor, the securities intermediary and the Administrative Agent pursuant to which the Administrative Agent has Control and (iv) all Pledged Collateral which represents Indebtedness owed to such Grantor has been duly authorized, authenticated or issued and delivered by the issuer of such Indebtedness, is the legal, valid and binding obligation of such issuer and such issuer is not in default thereunder.</w:t>
      </w:r>
    </w:p>
    <w:p>
      <w:pPr>
        <w:spacing w:after="0" w:line="171" w:lineRule="exact"/>
        <w:rPr>
          <w:rFonts w:ascii="Arial" w:cs="Arial" w:eastAsia="Arial" w:hAnsi="Arial"/>
          <w:sz w:val="16"/>
          <w:szCs w:val="16"/>
          <w:color w:val="auto"/>
        </w:rPr>
      </w:pPr>
    </w:p>
    <w:p>
      <w:pPr>
        <w:jc w:val="both"/>
        <w:ind w:left="660" w:firstLine="644"/>
        <w:spacing w:after="0" w:line="253" w:lineRule="auto"/>
        <w:tabs>
          <w:tab w:leader="none" w:pos="2502"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addition, (i) none of the Pledged Collateral owned by it has been issued or transferred in violation of the securities registration, securities disclosure or similar laws of any jurisdiction to which such issuance or transfer may be subject, (ii) no options, warrants, calls or commitments of any character whatsoever (A) exist relating to such Pledged Collateral or (B) obligate the issuer of any Equity Interest included in the Pledged Collateral to issue additional Equity Interests, and (iii) no consent, approval, authorization, or other action by, and no giving of notice, filing with, any Governmental Authority or any other Person is required for the pledge by such Grantor of such Pledged Collateral pursuant to this Security Agreement or for the execution, delivery and performance of this Security Agreement by such Grantor, or for the exercise by the Administrative Agent of the voting or other rights provided for in this Security Agreement or for the remedies in respect of the Pledged Collateral pursuant to this Security Agreement, except as may be required in connection with such disposition by laws affecting the offering and sale of securities generally.</w:t>
      </w:r>
    </w:p>
    <w:p>
      <w:pPr>
        <w:spacing w:after="0" w:line="196" w:lineRule="exact"/>
        <w:rPr>
          <w:rFonts w:ascii="Arial" w:cs="Arial" w:eastAsia="Arial" w:hAnsi="Arial"/>
          <w:sz w:val="18"/>
          <w:szCs w:val="18"/>
          <w:color w:val="auto"/>
        </w:rPr>
      </w:pPr>
    </w:p>
    <w:p>
      <w:pPr>
        <w:jc w:val="both"/>
        <w:ind w:left="660" w:firstLine="644"/>
        <w:spacing w:after="0" w:line="263" w:lineRule="auto"/>
        <w:tabs>
          <w:tab w:leader="none" w:pos="235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Exhibit G</w:t>
      </w:r>
      <w:r>
        <w:rPr>
          <w:rFonts w:ascii="Arial" w:cs="Arial" w:eastAsia="Arial" w:hAnsi="Arial"/>
          <w:sz w:val="18"/>
          <w:szCs w:val="18"/>
          <w:color w:val="auto"/>
        </w:rPr>
        <w:t>, such Grantor owns 100% of the issued and outstanding Equity Interests which constitute Pledged Collateral owned by it and none of the Pledged Collateral which represents Indebtedness owed to such Grantor is subordinated in right of payment to other Indebtedness or subject to the terms of an indenture.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3" w:name="page204"/>
    <w:bookmarkEnd w:id="203"/>
    <w:p>
      <w:pPr>
        <w:ind w:left="5100"/>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From the date of this Security Agreement and thereafter until this Security Agreement is terminated pursuant to the terms hereof, each Grantor party hereto as of the date hereof agrees, and from and after the effective date of any Security Agreement Supplement applicable to any Grantor (and after giving effect to supplements, if any, to each of the Exhibits hereto with respect to such subsequent Grantor as attached to such Security Agreement Supplement) and thereafter until this Security Agreement is terminated pursuant to the terms hereof, each such additional Grantor agrees that:</w:t>
      </w:r>
    </w:p>
    <w:p>
      <w:pPr>
        <w:spacing w:after="0" w:line="15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223"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Collateral Records</w:t>
      </w:r>
      <w:r>
        <w:rPr>
          <w:rFonts w:ascii="Arial" w:cs="Arial" w:eastAsia="Arial" w:hAnsi="Arial"/>
          <w:sz w:val="18"/>
          <w:szCs w:val="18"/>
          <w:color w:val="auto"/>
        </w:rPr>
        <w:t>. Such Grantor will comply with the requirements of Section 5.06 of the Credit Agreement with respect to the Collateral owned by it, and furnish to the Administrative Agent, with sufficient copies for each of the Lenders, such reports relating to such Collateral as the Administrative Agent shall from time to time request.</w:t>
      </w:r>
    </w:p>
    <w:p>
      <w:pPr>
        <w:spacing w:after="0" w:line="183" w:lineRule="exact"/>
        <w:rPr>
          <w:rFonts w:ascii="Arial" w:cs="Arial" w:eastAsia="Arial" w:hAnsi="Arial"/>
          <w:sz w:val="18"/>
          <w:szCs w:val="18"/>
          <w:color w:val="auto"/>
        </w:rPr>
      </w:pPr>
    </w:p>
    <w:p>
      <w:pPr>
        <w:jc w:val="both"/>
        <w:ind w:left="660" w:firstLine="644"/>
        <w:spacing w:after="0" w:line="286" w:lineRule="auto"/>
        <w:tabs>
          <w:tab w:leader="none" w:pos="2314"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Authorization to File Financing Statements; Ratification</w:t>
      </w:r>
      <w:r>
        <w:rPr>
          <w:rFonts w:ascii="Arial" w:cs="Arial" w:eastAsia="Arial" w:hAnsi="Arial"/>
          <w:sz w:val="16"/>
          <w:szCs w:val="16"/>
          <w:color w:val="auto"/>
        </w:rPr>
        <w:t>. Such Grantor hereby authorizes the Administrative Agent to file, and if requested will deliver to the Administrative Agent, all financing statements and other documents and take such other actions as may from time to time be reasonably requested by the Administrative Agent in order to maintain a first perfected security interest in and, if applicable, Control of, the Collateral owned by such Grantor. Any financing statement filed by the Administrative Agent may be filed in any filing office in any UCC jurisdiction and may (i) indicate such Grantor’s Collateral (A) as all assets of such Grantor or words of similar effect, regardless of whether any particular asset comprised in the Collateral falls within the scope of Article 9 of the UCC of such jurisdiction, or (B) by any other description which reasonably approximates the description contained in this Security Agreement, and (ii) contain any other information required by part 5 of Article 9 of the UCC for the sufficiency or filing office acceptance of any financing statement or amendment, including (A) whether such Grantor is an organization, the type of organization and any organization identification number issued to such Grantor, and (B) in the case of a financing statement filed as a fixture filing or indicating such Grantor’s Collateral as as-extracted collateral or timber to be cut, a sufficient description of real property to which the Collateral relates. Such Grantor also agrees to furnish any such information described in the foregoing sentence to the Administrative Agent promptly upon request. Such Grantor also ratifies its authorization for the Administrative Agent to have filed in any UCC jurisdiction any initial financing statements or amendments thereto if filed prior to the date hereof.</w:t>
      </w:r>
    </w:p>
    <w:p>
      <w:pPr>
        <w:spacing w:after="0" w:line="173" w:lineRule="exact"/>
        <w:rPr>
          <w:rFonts w:ascii="Arial" w:cs="Arial" w:eastAsia="Arial" w:hAnsi="Arial"/>
          <w:sz w:val="16"/>
          <w:szCs w:val="16"/>
          <w:color w:val="auto"/>
        </w:rPr>
      </w:pPr>
    </w:p>
    <w:p>
      <w:pPr>
        <w:jc w:val="both"/>
        <w:ind w:left="660" w:firstLine="644"/>
        <w:spacing w:after="0" w:line="255" w:lineRule="auto"/>
        <w:tabs>
          <w:tab w:leader="none" w:pos="2250"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Such Grantor will, if so requested by the Administrative Agent, furnish to the Administrative Agent, as often as the Administrative Agent reasonably requests, statements and schedules further identifying and describing the Collateral owned by it and such other reports and information in connection with its Collateral as the Administrative Agent may reasonably request, all in such detail as the Administrative Agent may specify. Such Grantor also agrees to take any and all actions necessary to defend title to the Collateral against all persons and to defend the security interest of the Administrative Agent in its Collateral and the priority thereof against any Lien not expressly permitted hereunder.</w:t>
      </w:r>
    </w:p>
    <w:p>
      <w:pPr>
        <w:spacing w:after="0" w:line="192" w:lineRule="exact"/>
        <w:rPr>
          <w:rFonts w:ascii="Arial" w:cs="Arial" w:eastAsia="Arial" w:hAnsi="Arial"/>
          <w:sz w:val="18"/>
          <w:szCs w:val="18"/>
          <w:color w:val="auto"/>
        </w:rPr>
      </w:pPr>
    </w:p>
    <w:p>
      <w:pPr>
        <w:ind w:left="660" w:firstLine="644"/>
        <w:spacing w:after="0" w:line="277" w:lineRule="auto"/>
        <w:tabs>
          <w:tab w:leader="none" w:pos="238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Disposition of Collateral</w:t>
      </w:r>
      <w:r>
        <w:rPr>
          <w:rFonts w:ascii="Arial" w:cs="Arial" w:eastAsia="Arial" w:hAnsi="Arial"/>
          <w:sz w:val="18"/>
          <w:szCs w:val="18"/>
          <w:color w:val="auto"/>
        </w:rPr>
        <w:t>. Such Grantor will not sell, lease or otherwise Dispose of the Collateral owned by it except for Dispositions specifically permitted pursuant to Section 6.05 of the Credit Agreement.</w:t>
      </w:r>
    </w:p>
    <w:p>
      <w:pPr>
        <w:spacing w:after="0" w:line="170" w:lineRule="exact"/>
        <w:rPr>
          <w:rFonts w:ascii="Arial" w:cs="Arial" w:eastAsia="Arial" w:hAnsi="Arial"/>
          <w:sz w:val="18"/>
          <w:szCs w:val="18"/>
          <w:color w:val="auto"/>
        </w:rPr>
      </w:pPr>
    </w:p>
    <w:p>
      <w:pPr>
        <w:ind w:left="660" w:firstLine="644"/>
        <w:spacing w:after="0" w:line="277" w:lineRule="auto"/>
        <w:tabs>
          <w:tab w:leader="none" w:pos="233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Liens</w:t>
      </w:r>
      <w:r>
        <w:rPr>
          <w:rFonts w:ascii="Arial" w:cs="Arial" w:eastAsia="Arial" w:hAnsi="Arial"/>
          <w:sz w:val="18"/>
          <w:szCs w:val="18"/>
          <w:color w:val="auto"/>
        </w:rPr>
        <w:t>. Such Grantor will not create, incur, or suffer to exist any Lien on the Collateral owned by it except (i) the security interest created by this Security Agreement, and (ii) other Liens permitted under Section 6.02 of the Credit Agreement.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04" w:name="page205"/>
    <w:bookmarkEnd w:id="204"/>
    <w:p>
      <w:pPr>
        <w:jc w:val="both"/>
        <w:ind w:firstLine="644"/>
        <w:spacing w:after="0" w:line="296" w:lineRule="auto"/>
        <w:tabs>
          <w:tab w:leader="none" w:pos="1817"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Other Financing Statements</w:t>
      </w:r>
      <w:r>
        <w:rPr>
          <w:rFonts w:ascii="Arial" w:cs="Arial" w:eastAsia="Arial" w:hAnsi="Arial"/>
          <w:sz w:val="16"/>
          <w:szCs w:val="16"/>
          <w:color w:val="auto"/>
        </w:rPr>
        <w:t>. Such Grantor will not authorize the filing of any financing statement naming it as debtor covering all or any portion of the Collateral owned by it, except for financing statements (i) naming the Administrative Agent on behalf of the Secured Parties as the secured party, and (ii) in respect to other Liens permitted under Section 6.02 of the Credit Agreement. Such Grantor acknowledges that it is not authorized to file any financing statement or amendment or termination statement with respect to any financing statement without the prior written consent of the Administrative Agent, subject to such Grantor’s rights under Section 9-509(d)(2) of the UCC.</w:t>
      </w:r>
    </w:p>
    <w:p>
      <w:pPr>
        <w:spacing w:after="0" w:line="161" w:lineRule="exact"/>
        <w:rPr>
          <w:rFonts w:ascii="Arial" w:cs="Arial" w:eastAsia="Arial" w:hAnsi="Arial"/>
          <w:sz w:val="16"/>
          <w:szCs w:val="16"/>
          <w:color w:val="auto"/>
        </w:rPr>
      </w:pPr>
    </w:p>
    <w:p>
      <w:pPr>
        <w:jc w:val="both"/>
        <w:ind w:firstLine="644"/>
        <w:spacing w:after="0" w:line="293" w:lineRule="auto"/>
        <w:tabs>
          <w:tab w:leader="none" w:pos="1613"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Locations</w:t>
      </w:r>
      <w:r>
        <w:rPr>
          <w:rFonts w:ascii="Arial" w:cs="Arial" w:eastAsia="Arial" w:hAnsi="Arial"/>
          <w:sz w:val="16"/>
          <w:szCs w:val="16"/>
          <w:color w:val="auto"/>
        </w:rPr>
        <w:t xml:space="preserve">. Such Grantor will not (i) maintain any Collateral owned by it having a combined value in excess of $100,000 at any location other than those locations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or disclosed to Administrative Agent pursuant to clause (ii) of this Section 4.01(g) (other than Inventory or equipment subject to maintenance or repair), (ii) otherwise change, or add to, such locations without the Administrative Agent’s prior written consent as required by the Credit Agreement (and if the Administrative Agent gives such consent, such Grantor will concurrently therewith obtain a Collateral Access Agreement for each such location to the extent required by Section 4.13), or (iii) change its principal place of business or chief executive office from the location identified on </w:t>
      </w:r>
      <w:r>
        <w:rPr>
          <w:rFonts w:ascii="Arial" w:cs="Arial" w:eastAsia="Arial" w:hAnsi="Arial"/>
          <w:sz w:val="16"/>
          <w:szCs w:val="16"/>
          <w:u w:val="single" w:color="auto"/>
          <w:color w:val="auto"/>
        </w:rPr>
        <w:t>Exhibit A</w:t>
      </w:r>
      <w:r>
        <w:rPr>
          <w:rFonts w:ascii="Arial" w:cs="Arial" w:eastAsia="Arial" w:hAnsi="Arial"/>
          <w:sz w:val="16"/>
          <w:szCs w:val="16"/>
          <w:color w:val="auto"/>
        </w:rPr>
        <w:t>, other than as permitted by the Credit Agreement.</w:t>
      </w:r>
    </w:p>
    <w:p>
      <w:pPr>
        <w:spacing w:after="0" w:line="164" w:lineRule="exact"/>
        <w:rPr>
          <w:rFonts w:ascii="Arial" w:cs="Arial" w:eastAsia="Arial" w:hAnsi="Arial"/>
          <w:sz w:val="16"/>
          <w:szCs w:val="16"/>
          <w:color w:val="auto"/>
        </w:rPr>
      </w:pPr>
    </w:p>
    <w:p>
      <w:pPr>
        <w:ind w:firstLine="644"/>
        <w:spacing w:after="0" w:line="277" w:lineRule="auto"/>
        <w:tabs>
          <w:tab w:leader="none" w:pos="158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Compliance with Terms</w:t>
      </w:r>
      <w:r>
        <w:rPr>
          <w:rFonts w:ascii="Arial" w:cs="Arial" w:eastAsia="Arial" w:hAnsi="Arial"/>
          <w:sz w:val="18"/>
          <w:szCs w:val="18"/>
          <w:color w:val="auto"/>
        </w:rPr>
        <w:t>. Such Grantor will perform and comply in all material respects with all obligations in respect of the Collateral owned by it and all agreements to which it is a party or by which it is bound relating to such Collateral.</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Receivables</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9" w:lineRule="auto"/>
        <w:tabs>
          <w:tab w:leader="none" w:pos="1797"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Certain Agreements on Receivables.</w:t>
      </w:r>
      <w:r>
        <w:rPr>
          <w:rFonts w:ascii="Arial" w:cs="Arial" w:eastAsia="Arial" w:hAnsi="Arial"/>
          <w:sz w:val="18"/>
          <w:szCs w:val="18"/>
          <w:color w:val="auto"/>
        </w:rPr>
        <w:t xml:space="preserve"> Such Grantor will not make or agree to make any discount, credit, rebate or other reduction in the original amount owing on a Receivable or accept in satisfaction of a Receivable less than the original amount thereof, except that, in the absence of a continuing Event of Default, such Grantor may reduce the amount of Accounts arising from the sale of Inventory in accordance with its present policies and in the ordinary course of business.</w:t>
      </w:r>
    </w:p>
    <w:p>
      <w:pPr>
        <w:spacing w:after="0" w:line="186" w:lineRule="exact"/>
        <w:rPr>
          <w:rFonts w:ascii="Arial" w:cs="Arial" w:eastAsia="Arial" w:hAnsi="Arial"/>
          <w:sz w:val="18"/>
          <w:szCs w:val="18"/>
          <w:color w:val="auto"/>
        </w:rPr>
      </w:pPr>
    </w:p>
    <w:p>
      <w:pPr>
        <w:jc w:val="both"/>
        <w:ind w:firstLine="644"/>
        <w:spacing w:after="0" w:line="301" w:lineRule="auto"/>
        <w:tabs>
          <w:tab w:leader="none" w:pos="1645"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Collection of Receivables</w:t>
      </w:r>
      <w:r>
        <w:rPr>
          <w:rFonts w:ascii="Arial" w:cs="Arial" w:eastAsia="Arial" w:hAnsi="Arial"/>
          <w:sz w:val="16"/>
          <w:szCs w:val="16"/>
          <w:color w:val="auto"/>
        </w:rPr>
        <w:t>. Except as otherwise provided in this Security Agreement, such Grantor will collect and enforce, at such Grantor’s sole expense, all amounts due or hereafter due to such Grantor under the Receivables owned by it in accordance with its present policies or in the ordinary course of business, and, at the Administrative Agent’s direction (if given) during the occurrence and continuation of an Event of Default, such Grantor will take such action as the Administrative Agent may deem necessary or advisable to enforce collection thereof.</w:t>
      </w:r>
    </w:p>
    <w:p>
      <w:pPr>
        <w:spacing w:after="0" w:line="157" w:lineRule="exact"/>
        <w:rPr>
          <w:rFonts w:ascii="Arial" w:cs="Arial" w:eastAsia="Arial" w:hAnsi="Arial"/>
          <w:sz w:val="16"/>
          <w:szCs w:val="16"/>
          <w:color w:val="auto"/>
        </w:rPr>
      </w:pPr>
    </w:p>
    <w:p>
      <w:pPr>
        <w:jc w:val="both"/>
        <w:ind w:firstLine="644"/>
        <w:spacing w:after="0" w:line="263" w:lineRule="auto"/>
        <w:tabs>
          <w:tab w:leader="none" w:pos="1959"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Delivery of Invoice</w:t>
      </w:r>
      <w:r>
        <w:rPr>
          <w:rFonts w:ascii="Arial" w:cs="Arial" w:eastAsia="Arial" w:hAnsi="Arial"/>
          <w:sz w:val="18"/>
          <w:szCs w:val="18"/>
          <w:color w:val="auto"/>
        </w:rPr>
        <w:t>s. Such Grantor will deliver to the Administrative Agent immediately upon its request after the occurrence and during the continuation of an Event of Default duplicate invoices with respect to each Account owned by it bearing such language of assignment as the Administrative Agent shall specify.</w:t>
      </w:r>
    </w:p>
    <w:p>
      <w:pPr>
        <w:spacing w:after="0" w:line="183" w:lineRule="exact"/>
        <w:rPr>
          <w:rFonts w:ascii="Arial" w:cs="Arial" w:eastAsia="Arial" w:hAnsi="Arial"/>
          <w:sz w:val="18"/>
          <w:szCs w:val="18"/>
          <w:color w:val="auto"/>
        </w:rPr>
      </w:pPr>
    </w:p>
    <w:p>
      <w:pPr>
        <w:jc w:val="both"/>
        <w:ind w:firstLine="644"/>
        <w:spacing w:after="0" w:line="293" w:lineRule="auto"/>
        <w:tabs>
          <w:tab w:leader="none" w:pos="1591" w:val="left"/>
        </w:tabs>
        <w:numPr>
          <w:ilvl w:val="0"/>
          <w:numId w:val="209"/>
        </w:numPr>
        <w:rPr>
          <w:rFonts w:ascii="Arial" w:cs="Arial" w:eastAsia="Arial" w:hAnsi="Arial"/>
          <w:sz w:val="16"/>
          <w:szCs w:val="16"/>
          <w:color w:val="auto"/>
        </w:rPr>
      </w:pPr>
      <w:r>
        <w:rPr>
          <w:rFonts w:ascii="Arial" w:cs="Arial" w:eastAsia="Arial" w:hAnsi="Arial"/>
          <w:sz w:val="16"/>
          <w:szCs w:val="16"/>
          <w:u w:val="single" w:color="auto"/>
          <w:color w:val="auto"/>
        </w:rPr>
        <w:t>Disclosure of Counterclaims on Receivables</w:t>
      </w:r>
      <w:r>
        <w:rPr>
          <w:rFonts w:ascii="Arial" w:cs="Arial" w:eastAsia="Arial" w:hAnsi="Arial"/>
          <w:sz w:val="16"/>
          <w:szCs w:val="16"/>
          <w:color w:val="auto"/>
        </w:rPr>
        <w:t xml:space="preserve">. If (i) any discount, credit or agreement to make a rebate or to otherwise reduce the amount owing on any Receivable owned by such Grantor exists or (ii) if, to the knowledge of such Grantor, any dispute, setoff, claim, counterclaim or defense exists or has been asserted or threatened with respect to any such Receivable, such Grantor will promptly disclose such fact to the Administrative Agent in writing. Such Grantor shall send the Administrative Agent a copy of each credit memorandum in excess of $500,000 as soon as issued, and such Grantor shall promptly report each credit memorandum and each of the facts required to be disclosed to the Administrative Agent in accordance with this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on the Borrowing Base Certificates submitted by it.</w:t>
      </w:r>
    </w:p>
    <w:p>
      <w:pPr>
        <w:spacing w:after="0" w:line="164" w:lineRule="exact"/>
        <w:rPr>
          <w:rFonts w:ascii="Arial" w:cs="Arial" w:eastAsia="Arial" w:hAnsi="Arial"/>
          <w:sz w:val="16"/>
          <w:szCs w:val="16"/>
          <w:color w:val="auto"/>
        </w:rPr>
      </w:pPr>
    </w:p>
    <w:p>
      <w:pPr>
        <w:jc w:val="both"/>
        <w:ind w:firstLine="644"/>
        <w:spacing w:after="0" w:line="286" w:lineRule="auto"/>
        <w:tabs>
          <w:tab w:leader="none" w:pos="1851"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Electronic Chattel Paper</w:t>
      </w:r>
      <w:r>
        <w:rPr>
          <w:rFonts w:ascii="Arial" w:cs="Arial" w:eastAsia="Arial" w:hAnsi="Arial"/>
          <w:sz w:val="17"/>
          <w:szCs w:val="17"/>
          <w:color w:val="auto"/>
        </w:rPr>
        <w:t>. Such Grantor shall take all steps necessary to grant the Administrative Agent Control of all electronic chattel paper with a value exceeding $100,000 individually or in the aggregate in accordance with the UCC and all “transferable records” as defined in each of the Uniform Electronic Transactions Act and the Electronic Signatures in Global and National Commerce Act.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205" w:name="page206"/>
    <w:bookmarkEnd w:id="205"/>
    <w:p>
      <w:pPr>
        <w:ind w:left="660"/>
        <w:spacing w:after="0"/>
        <w:tabs>
          <w:tab w:leader="none" w:pos="12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Inventory and Equipment.</w:t>
      </w:r>
    </w:p>
    <w:p>
      <w:pPr>
        <w:spacing w:after="0" w:line="225" w:lineRule="exact"/>
        <w:rPr>
          <w:sz w:val="20"/>
          <w:szCs w:val="20"/>
          <w:color w:val="auto"/>
        </w:rPr>
      </w:pPr>
    </w:p>
    <w:p>
      <w:pPr>
        <w:jc w:val="both"/>
        <w:ind w:left="660" w:firstLine="644"/>
        <w:spacing w:after="0" w:line="263" w:lineRule="auto"/>
        <w:tabs>
          <w:tab w:leader="none" w:pos="232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Maintenance of Goods</w:t>
      </w:r>
      <w:r>
        <w:rPr>
          <w:rFonts w:ascii="Arial" w:cs="Arial" w:eastAsia="Arial" w:hAnsi="Arial"/>
          <w:sz w:val="18"/>
          <w:szCs w:val="18"/>
          <w:color w:val="auto"/>
        </w:rPr>
        <w:t>. Such Grantor will do all things necessary to maintain, preserve, protect and keep its Inventory and the Equipment in good repair and working and saleable condition, except for damaged or defective goods arising in the ordinary course of such Grantor’s business and except for ordinary wear and tear in respect of the Equipment.</w:t>
      </w:r>
    </w:p>
    <w:p>
      <w:pPr>
        <w:spacing w:after="0" w:line="183" w:lineRule="exact"/>
        <w:rPr>
          <w:rFonts w:ascii="Arial" w:cs="Arial" w:eastAsia="Arial" w:hAnsi="Arial"/>
          <w:sz w:val="18"/>
          <w:szCs w:val="18"/>
          <w:color w:val="auto"/>
        </w:rPr>
      </w:pPr>
    </w:p>
    <w:p>
      <w:pPr>
        <w:jc w:val="both"/>
        <w:ind w:left="660" w:firstLine="644"/>
        <w:spacing w:after="0" w:line="269" w:lineRule="auto"/>
        <w:tabs>
          <w:tab w:leader="none" w:pos="1954"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Returned Inventory</w:t>
      </w:r>
      <w:r>
        <w:rPr>
          <w:rFonts w:ascii="Arial" w:cs="Arial" w:eastAsia="Arial" w:hAnsi="Arial"/>
          <w:sz w:val="17"/>
          <w:szCs w:val="17"/>
          <w:color w:val="auto"/>
        </w:rPr>
        <w:t>. If an Account Debtor returns any Inventory to such Grantor when no Event of Default exists, then such Grantor shall promptly determine the reason for such return and shall issue a credit memorandum to the Account Debtor in the appropriate amount. Such Grantor shall immediately report to the Administrative Agent any return involving an amount in excess of $500,000. Each such report shall indicate the reasons for the returns and the locations and condition of the returned Inventory. In the event any Account Debtor returns Inventory to such Grantor when an Event of Default exists, such Grantor, upon the request of the Administrative Agent, shall: (i) hold the returned Inventory in trust for the Administrative Agent; (ii) segregate all returned Inventory from all of its other property; (iii) dispose of the returned Inventory solely according to the Administrative Agent’s written instructions; and (iv) not issue any credits or allowances with respect thereto without the Administrative Agent’s prior written consent. All returned Inventory shall be subject to the Administrative Agent’s Liens thereon. Whenever any Inventory is returned, the related Account shall be deemed ineligible to the extent of the amount owing by the Account Debtor with respect to such returned Inventory and such returned Inventory shall not be Eligible Inventory.</w:t>
      </w:r>
    </w:p>
    <w:p>
      <w:pPr>
        <w:spacing w:after="0" w:line="185" w:lineRule="exact"/>
        <w:rPr>
          <w:rFonts w:ascii="Arial" w:cs="Arial" w:eastAsia="Arial" w:hAnsi="Arial"/>
          <w:sz w:val="17"/>
          <w:szCs w:val="17"/>
          <w:color w:val="auto"/>
        </w:rPr>
      </w:pPr>
    </w:p>
    <w:p>
      <w:pPr>
        <w:jc w:val="both"/>
        <w:ind w:left="660" w:firstLine="644"/>
        <w:spacing w:after="0" w:line="257" w:lineRule="auto"/>
        <w:tabs>
          <w:tab w:leader="none" w:pos="1849"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Inventory Count; Perpetual Inventory System</w:t>
      </w:r>
      <w:r>
        <w:rPr>
          <w:rFonts w:ascii="Arial" w:cs="Arial" w:eastAsia="Arial" w:hAnsi="Arial"/>
          <w:sz w:val="18"/>
          <w:szCs w:val="18"/>
          <w:color w:val="auto"/>
        </w:rPr>
        <w:t>. Such Grantor will conduct a physical count of its Inventory at least once per fiscal year, and after and during the continuation of an Event of Default, at such other times as the Administrative Agent requests. Such Grantor, at its own expense, shall deliver to the Administrative Agent the results of each physical verification, which such Grantor has made, or has caused any other Person to make on its behalf, of all or any portion of its Inventory. Such Grantor will maintain a perpetual inventory reporting system at all times.</w:t>
      </w:r>
    </w:p>
    <w:p>
      <w:pPr>
        <w:spacing w:after="0" w:line="187" w:lineRule="exact"/>
        <w:rPr>
          <w:rFonts w:ascii="Arial" w:cs="Arial" w:eastAsia="Arial" w:hAnsi="Arial"/>
          <w:sz w:val="18"/>
          <w:szCs w:val="18"/>
          <w:color w:val="auto"/>
        </w:rPr>
      </w:pPr>
    </w:p>
    <w:p>
      <w:pPr>
        <w:jc w:val="both"/>
        <w:ind w:left="660" w:firstLine="644"/>
        <w:spacing w:after="0" w:line="257" w:lineRule="auto"/>
        <w:tabs>
          <w:tab w:leader="none" w:pos="1927"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Equipment</w:t>
      </w:r>
      <w:r>
        <w:rPr>
          <w:rFonts w:ascii="Arial" w:cs="Arial" w:eastAsia="Arial" w:hAnsi="Arial"/>
          <w:sz w:val="18"/>
          <w:szCs w:val="18"/>
          <w:color w:val="auto"/>
        </w:rPr>
        <w:t>. Such Grantor shall promptly inform the Administrative Agent of any additions to or deletions from its Equipment which individually or in the aggregate exceed $500,000. Such Grantor shall not permit any Equipment to become a fixture with respect to real property or to become an accession with respect to other personal property with respect to which real or personal property the Administrative Agent does not have a Lien. Such Grantor will not, without the Administrative Agent’s prior written consent, alter or remove any identifying symbol or number on any of such Grantor’s Equipment constituting Collateral.</w:t>
      </w:r>
    </w:p>
    <w:p>
      <w:pPr>
        <w:spacing w:after="0" w:line="187" w:lineRule="exact"/>
        <w:rPr>
          <w:rFonts w:ascii="Arial" w:cs="Arial" w:eastAsia="Arial" w:hAnsi="Arial"/>
          <w:sz w:val="18"/>
          <w:szCs w:val="18"/>
          <w:color w:val="auto"/>
        </w:rPr>
      </w:pPr>
    </w:p>
    <w:p>
      <w:pPr>
        <w:jc w:val="both"/>
        <w:ind w:left="660" w:firstLine="644"/>
        <w:spacing w:after="0" w:line="279" w:lineRule="auto"/>
        <w:tabs>
          <w:tab w:leader="none" w:pos="1822"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Titled Vehicles</w:t>
      </w:r>
      <w:r>
        <w:rPr>
          <w:rFonts w:ascii="Arial" w:cs="Arial" w:eastAsia="Arial" w:hAnsi="Arial"/>
          <w:sz w:val="17"/>
          <w:szCs w:val="17"/>
          <w:color w:val="auto"/>
        </w:rPr>
        <w:t>. Such Grantor will give the Administrative Agent notice of its acquisition of any vehicle covered by a certificate of title and deliver to the Administrative Agent, upon request, the original of any vehicle title certificate and provide and/or file all other documents or instruments necessary to have the Lien of the Administrative Agent noted on any such certificate or with the appropriate state office, except with respect to any such vehicle subject to a Lien or other encumbrance permitted under Section 6.02 of the Credit Agreement.</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Delivery of Instruments, Securities, Chattel Paper and Documents</w:t>
      </w:r>
      <w:r>
        <w:rPr>
          <w:rFonts w:ascii="Arial" w:cs="Arial" w:eastAsia="Arial" w:hAnsi="Arial"/>
          <w:sz w:val="17"/>
          <w:szCs w:val="17"/>
          <w:color w:val="auto"/>
        </w:rPr>
        <w:t xml:space="preserve">. Such Grantor will (a) deliver to the Administrative Agent immediately upon execution of this Security Agreement the originals of all Chattel Paper, Securities and Instruments constituting Collateral owned by it (if any then exist), (b) hold in trust for the Administrative Agent upon receipt and immediately thereafter deliver to the Administrative Agent any such Chattel Paper, Securities and Instruments constituting Collateral, (c) upon the Administrative Agent’s request, deliver to the Administrative Agent (and thereafter hold in trust for the Administrative Agent upon receipt and immediately deliver to the Administrative Agent) any Document evidencing or constituting Collateral and (d) promptly upon the Administrative Agent’s request, deliver to the Administrative Agent a duly executed amendment to this Security Agreement, in the form of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Amendment</w:t>
      </w:r>
      <w:r>
        <w:rPr>
          <w:rFonts w:ascii="Arial" w:cs="Arial" w:eastAsia="Arial" w:hAnsi="Arial"/>
          <w:sz w:val="17"/>
          <w:szCs w:val="17"/>
          <w:color w:val="auto"/>
        </w:rPr>
        <w:t>”), pursuant to which such Grantor will pledge such additional Collateral. Such Grantor hereby authorizes the Administrative Agent to attach each Amendment to this Security Agreement and agrees that all additional Collateral owned by it set forth in such Amendments shall be considered to be part of the Collateral.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6" w:name="page207"/>
    <w:bookmarkEnd w:id="206"/>
    <w:p>
      <w:pPr>
        <w:jc w:val="both"/>
        <w:ind w:firstLine="648"/>
        <w:spacing w:after="0" w:line="270"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Uncertificated Pledged Collateral</w:t>
      </w:r>
      <w:r>
        <w:rPr>
          <w:rFonts w:ascii="Arial" w:cs="Arial" w:eastAsia="Arial" w:hAnsi="Arial"/>
          <w:sz w:val="17"/>
          <w:szCs w:val="17"/>
          <w:color w:val="auto"/>
        </w:rPr>
        <w:t>. Such Grantor will permit the Administrative Agent from time to time to cause the appropriate issuers (and, if held with a securities intermediary, such securities intermediary) of uncertificated securities or other types of Pledged Collateral owned by it not represented by certificates to mark their books and records with the numbers and face amounts of all such uncertificated securities or other types of Pledged Collateral not represented by certificates and all rollovers and replacements therefor to reflect the Lien of the Administrative Agent granted pursuant to this Security Agreement. With respect to any Pledged Collateral owned by it, such Grantor will take any actions necessary to cause (a) the issuers of uncertificated securities which are Pledged Collateral and (b) any securities intermediary which is the holder of any such Pledged Collateral, to cause the Administrative Agent to have and retain Control over such Pledged Collateral. Without limiting the foregoing, such Grantor will, with respect to any such Pledged Collateral held with a securities intermediary, cause such securities intermediary to enter into a control agreement with the Administrative Agent, in form and substance satisfactory to the Administrative Agent, giving the Administrative Agent Control.</w:t>
      </w:r>
    </w:p>
    <w:p>
      <w:pPr>
        <w:spacing w:after="0" w:line="181"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Pledged Collateral</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7" w:lineRule="auto"/>
        <w:tabs>
          <w:tab w:leader="none" w:pos="2619"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 of Issuers.</w:t>
      </w:r>
      <w:r>
        <w:rPr>
          <w:rFonts w:ascii="Arial" w:cs="Arial" w:eastAsia="Arial" w:hAnsi="Arial"/>
          <w:sz w:val="18"/>
          <w:szCs w:val="18"/>
          <w:color w:val="auto"/>
        </w:rPr>
        <w:t xml:space="preserve"> Such Grantor will not (i) permit or suffer any issuer of an Equity Interest constituting Pledged Collateral owned by it to dissolve, merge, liquidate, retire any of its Equity Interests or other Instruments or Securities evidencing ownership, reduce its capital, sell or encumber all or substantially all of its assets (except for Permitted Encumbrances and Dispositions permitted pursuant to </w:t>
      </w:r>
      <w:r>
        <w:rPr>
          <w:rFonts w:ascii="Arial" w:cs="Arial" w:eastAsia="Arial" w:hAnsi="Arial"/>
          <w:sz w:val="18"/>
          <w:szCs w:val="18"/>
          <w:u w:val="single" w:color="auto"/>
          <w:color w:val="auto"/>
        </w:rPr>
        <w:t>Section 4.1(d)</w:t>
      </w:r>
      <w:r>
        <w:rPr>
          <w:rFonts w:ascii="Arial" w:cs="Arial" w:eastAsia="Arial" w:hAnsi="Arial"/>
          <w:sz w:val="18"/>
          <w:szCs w:val="18"/>
          <w:color w:val="auto"/>
        </w:rPr>
        <w:t>) or merge or consolidate with any other entity, or (ii) vote any such Pledged Collateral in favor of any of the foregoing.</w:t>
      </w:r>
    </w:p>
    <w:p>
      <w:pPr>
        <w:spacing w:after="0" w:line="187" w:lineRule="exact"/>
        <w:rPr>
          <w:rFonts w:ascii="Arial" w:cs="Arial" w:eastAsia="Arial" w:hAnsi="Arial"/>
          <w:sz w:val="18"/>
          <w:szCs w:val="18"/>
          <w:color w:val="auto"/>
        </w:rPr>
      </w:pPr>
    </w:p>
    <w:p>
      <w:pPr>
        <w:ind w:left="660" w:firstLine="644"/>
        <w:spacing w:after="0" w:line="342" w:lineRule="auto"/>
        <w:tabs>
          <w:tab w:leader="none" w:pos="2251" w:val="left"/>
        </w:tabs>
        <w:numPr>
          <w:ilvl w:val="0"/>
          <w:numId w:val="211"/>
        </w:numPr>
        <w:rPr>
          <w:rFonts w:ascii="Arial" w:cs="Arial" w:eastAsia="Arial" w:hAnsi="Arial"/>
          <w:sz w:val="16"/>
          <w:szCs w:val="16"/>
          <w:color w:val="auto"/>
        </w:rPr>
      </w:pPr>
      <w:r>
        <w:rPr>
          <w:rFonts w:ascii="Arial" w:cs="Arial" w:eastAsia="Arial" w:hAnsi="Arial"/>
          <w:sz w:val="16"/>
          <w:szCs w:val="16"/>
          <w:u w:val="single" w:color="auto"/>
          <w:color w:val="auto"/>
        </w:rPr>
        <w:t>Issuance of Additional Securities</w:t>
      </w:r>
      <w:r>
        <w:rPr>
          <w:rFonts w:ascii="Arial" w:cs="Arial" w:eastAsia="Arial" w:hAnsi="Arial"/>
          <w:sz w:val="16"/>
          <w:szCs w:val="16"/>
          <w:color w:val="auto"/>
        </w:rPr>
        <w:t>. Such Grantor will not permit or suffer the issuer of an Equity Interest constituting Pledged Collateral owned by it to issue additional Equity Interests, any right to receive the same or any right to receive earnings, except to such Grantor.</w:t>
      </w:r>
    </w:p>
    <w:p>
      <w:pPr>
        <w:spacing w:after="0" w:line="123" w:lineRule="exact"/>
        <w:rPr>
          <w:rFonts w:ascii="Arial" w:cs="Arial" w:eastAsia="Arial" w:hAnsi="Arial"/>
          <w:sz w:val="16"/>
          <w:szCs w:val="16"/>
          <w:color w:val="auto"/>
        </w:rPr>
      </w:pPr>
    </w:p>
    <w:p>
      <w:pPr>
        <w:jc w:val="both"/>
        <w:ind w:left="660" w:firstLine="644"/>
        <w:spacing w:after="0" w:line="263" w:lineRule="auto"/>
        <w:tabs>
          <w:tab w:leader="none" w:pos="2484"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Registration of Pledged Collateral</w:t>
      </w:r>
      <w:r>
        <w:rPr>
          <w:rFonts w:ascii="Arial" w:cs="Arial" w:eastAsia="Arial" w:hAnsi="Arial"/>
          <w:sz w:val="18"/>
          <w:szCs w:val="18"/>
          <w:color w:val="auto"/>
        </w:rPr>
        <w:t>. Following the occurrence and during the continuation of an Event of Default, such Grantor will permit any registerable Pledged Collateral owned by it to be registered in the name of the Administrative Agent or its nominee at any time at the option of the Required Secured Parties.</w:t>
      </w:r>
    </w:p>
    <w:p>
      <w:pPr>
        <w:spacing w:after="0" w:line="183" w:lineRule="exact"/>
        <w:rPr>
          <w:rFonts w:ascii="Arial" w:cs="Arial" w:eastAsia="Arial" w:hAnsi="Arial"/>
          <w:sz w:val="18"/>
          <w:szCs w:val="18"/>
          <w:color w:val="auto"/>
        </w:rPr>
      </w:pPr>
    </w:p>
    <w:p>
      <w:pPr>
        <w:ind w:left="2240" w:hanging="936"/>
        <w:spacing w:after="0"/>
        <w:tabs>
          <w:tab w:leader="none" w:pos="224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Exercise of Rights in Pledged Collateral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300" w:firstLine="652"/>
        <w:spacing w:after="0" w:line="301" w:lineRule="auto"/>
        <w:tabs>
          <w:tab w:leader="none" w:pos="2429" w:val="left"/>
        </w:tabs>
        <w:numPr>
          <w:ilvl w:val="1"/>
          <w:numId w:val="211"/>
        </w:numPr>
        <w:rPr>
          <w:rFonts w:ascii="Arial" w:cs="Arial" w:eastAsia="Arial" w:hAnsi="Arial"/>
          <w:sz w:val="16"/>
          <w:szCs w:val="16"/>
          <w:color w:val="auto"/>
        </w:rPr>
      </w:pPr>
      <w:r>
        <w:rPr>
          <w:rFonts w:ascii="Arial" w:cs="Arial" w:eastAsia="Arial" w:hAnsi="Arial"/>
          <w:sz w:val="16"/>
          <w:szCs w:val="16"/>
          <w:color w:val="auto"/>
        </w:rPr>
        <w:t xml:space="preserve">Without in any way limiting the foregoing and subject to clause (ii) below, such Grantor shall have the right to exercise all voting rights or other rights relating to the Pledged Collateral owned by it for all purposes not inconsistent with this Security Agreement, the Credit Agreement or any other Loan Document; </w:t>
      </w:r>
      <w:r>
        <w:rPr>
          <w:rFonts w:ascii="Arial" w:cs="Arial" w:eastAsia="Arial" w:hAnsi="Arial"/>
          <w:sz w:val="16"/>
          <w:szCs w:val="16"/>
          <w:u w:val="single" w:color="auto"/>
          <w:color w:val="auto"/>
        </w:rPr>
        <w:t>provided however</w:t>
      </w:r>
      <w:r>
        <w:rPr>
          <w:rFonts w:ascii="Arial" w:cs="Arial" w:eastAsia="Arial" w:hAnsi="Arial"/>
          <w:sz w:val="16"/>
          <w:szCs w:val="16"/>
          <w:color w:val="auto"/>
        </w:rPr>
        <w:t>, that no vote or other right shall be exercised or action taken which would have the effect of impairing the rights of the Administrative Agent in respect of such Pledged Collateral.</w:t>
      </w:r>
    </w:p>
    <w:p>
      <w:pPr>
        <w:spacing w:after="0" w:line="157" w:lineRule="exact"/>
        <w:rPr>
          <w:rFonts w:ascii="Arial" w:cs="Arial" w:eastAsia="Arial" w:hAnsi="Arial"/>
          <w:sz w:val="16"/>
          <w:szCs w:val="16"/>
          <w:color w:val="auto"/>
        </w:rPr>
      </w:pPr>
    </w:p>
    <w:p>
      <w:pPr>
        <w:jc w:val="both"/>
        <w:ind w:left="1300" w:firstLine="652"/>
        <w:spacing w:after="0" w:line="279" w:lineRule="auto"/>
        <w:tabs>
          <w:tab w:leader="none" w:pos="2947" w:val="left"/>
        </w:tabs>
        <w:numPr>
          <w:ilvl w:val="1"/>
          <w:numId w:val="211"/>
        </w:numPr>
        <w:rPr>
          <w:rFonts w:ascii="Arial" w:cs="Arial" w:eastAsia="Arial" w:hAnsi="Arial"/>
          <w:sz w:val="17"/>
          <w:szCs w:val="17"/>
          <w:color w:val="auto"/>
        </w:rPr>
      </w:pPr>
      <w:r>
        <w:rPr>
          <w:rFonts w:ascii="Arial" w:cs="Arial" w:eastAsia="Arial" w:hAnsi="Arial"/>
          <w:sz w:val="17"/>
          <w:szCs w:val="17"/>
          <w:color w:val="auto"/>
        </w:rPr>
        <w:t>Such Grantor will permit the Administrative Agent or its nominee at any time after the occurrence and during the continuance of an Event of Default, without notice, to exercise all voting rights or other rights relating to the Pledged Collateral owned by it, including, without limitation, exchange, subscription or any other rights, privileges, or options pertaining to any Equity Interest or Investment Property constituting such Pledged Collateral as if it were the absolute owner thereof.</w:t>
      </w:r>
    </w:p>
    <w:p>
      <w:pPr>
        <w:spacing w:after="0" w:line="171" w:lineRule="exact"/>
        <w:rPr>
          <w:rFonts w:ascii="Arial" w:cs="Arial" w:eastAsia="Arial" w:hAnsi="Arial"/>
          <w:sz w:val="17"/>
          <w:szCs w:val="17"/>
          <w:color w:val="auto"/>
        </w:rPr>
      </w:pPr>
    </w:p>
    <w:p>
      <w:pPr>
        <w:jc w:val="both"/>
        <w:ind w:left="1300" w:firstLine="652"/>
        <w:spacing w:after="0" w:line="253" w:lineRule="auto"/>
        <w:tabs>
          <w:tab w:leader="none" w:pos="283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Such Grantor shall be entitled to collect and receive for its own use all cash dividends and interest paid in respect of the Pledged Collateral owned by it to the extent not in violation of the Credit Agreement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any of the following distributions and payments (collectively referred to as the “</w:t>
      </w:r>
      <w:r>
        <w:rPr>
          <w:rFonts w:ascii="Arial" w:cs="Arial" w:eastAsia="Arial" w:hAnsi="Arial"/>
          <w:sz w:val="18"/>
          <w:szCs w:val="18"/>
          <w:u w:val="single" w:color="auto"/>
          <w:color w:val="auto"/>
        </w:rPr>
        <w:t>Excluded Payments</w:t>
      </w:r>
      <w:r>
        <w:rPr>
          <w:rFonts w:ascii="Arial" w:cs="Arial" w:eastAsia="Arial" w:hAnsi="Arial"/>
          <w:sz w:val="18"/>
          <w:szCs w:val="18"/>
          <w:color w:val="auto"/>
        </w:rPr>
        <w:t xml:space="preserve">”): (A) dividends and interest paid or payable other than in cash in respect of such Pledged Collateral, and instruments and other property received, receivable or otherwise distributed in respect of, or in exchange for, any Pledged Collateral; (B) dividends and other distributions paid or payable in cash in respect of such Pledged Collateral in connection with a partial or total liquidation or dissolution or in connection with a reduction of capital, capital surplus or paid-in capital of an issuer; and (C) cash paid, payable or otherwise distributed, in respect of principal of, or in redemption of, or in exchange for, such Pledged Collateral;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until actually paid, all rights to such distributions shall remain subject to the Lien created by this Security Agreement.</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7" w:name="page208"/>
    <w:bookmarkEnd w:id="207"/>
    <w:p>
      <w:pPr>
        <w:jc w:val="both"/>
        <w:ind w:left="640" w:firstLine="652"/>
        <w:spacing w:after="0" w:line="257" w:lineRule="auto"/>
        <w:tabs>
          <w:tab w:leader="none" w:pos="2369"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Excluded Payments and all other distributions in respect of any Pledged Collateral owned by such Grantor, whenever paid or made, shall be delivered to the Administrative Agent to hold as Pledged Collateral and shall, if received by such Grantor, be received in trust for the benefit of the Administrative Agent, be segregated from the other property or funds of such Grantor, and be forthwith delivered to the Administrative Agent as Pledged Collateral in the same form as so received (with any necessary endorsement).</w:t>
      </w:r>
    </w:p>
    <w:p>
      <w:pPr>
        <w:spacing w:after="0" w:line="187" w:lineRule="exact"/>
        <w:rPr>
          <w:rFonts w:ascii="Arial" w:cs="Arial" w:eastAsia="Arial" w:hAnsi="Arial"/>
          <w:sz w:val="18"/>
          <w:szCs w:val="18"/>
          <w:color w:val="auto"/>
        </w:rPr>
      </w:pPr>
    </w:p>
    <w:p>
      <w:pPr>
        <w:jc w:val="both"/>
        <w:ind w:firstLine="644"/>
        <w:spacing w:after="0" w:line="263" w:lineRule="auto"/>
        <w:tabs>
          <w:tab w:leader="none" w:pos="175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Interests in Limited Liability Companies and Limited Partnerships</w:t>
      </w:r>
      <w:r>
        <w:rPr>
          <w:rFonts w:ascii="Arial" w:cs="Arial" w:eastAsia="Arial" w:hAnsi="Arial"/>
          <w:sz w:val="18"/>
          <w:szCs w:val="18"/>
          <w:color w:val="auto"/>
        </w:rPr>
        <w:t>. Each Grantor agrees that no ownership interests in a limited liability company or a limited partnership which are included within the Collateral owned by such Grantor shall at any time constitute a Security under Article 8 of the UCC of the applicable jurisdiction.</w:t>
      </w:r>
    </w:p>
    <w:p>
      <w:pPr>
        <w:spacing w:after="0" w:line="18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59" w:lineRule="auto"/>
        <w:tabs>
          <w:tab w:leader="none" w:pos="1913"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After any change to Exhibit D (or the information required to be disclosed thereon), such Grantor shall provide the Administrative Agent notification thereof in the next compliance certificate required to be delivered under the Credit Agreement and the respective Confirmatory Grant as described in this Section 4.7 and any other documents that Administrative Agent reasonably requests with respect thereto.</w:t>
      </w:r>
    </w:p>
    <w:p>
      <w:pPr>
        <w:spacing w:after="0" w:line="186" w:lineRule="exact"/>
        <w:rPr>
          <w:rFonts w:ascii="Arial" w:cs="Arial" w:eastAsia="Arial" w:hAnsi="Arial"/>
          <w:sz w:val="18"/>
          <w:szCs w:val="18"/>
          <w:color w:val="auto"/>
        </w:rPr>
      </w:pPr>
    </w:p>
    <w:p>
      <w:pPr>
        <w:jc w:val="both"/>
        <w:ind w:firstLine="644"/>
        <w:spacing w:after="0" w:line="269" w:lineRule="auto"/>
        <w:tabs>
          <w:tab w:leader="none" w:pos="178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Such Grantor shall (and shall cause all its licensees to) (i) (A) continue to use each Trademark included in the Material Intellectual Property in order to maintain such Trademark in full force and effect with respect to each class of goods for which such Trademark is currently used, free from any claim of abandonment for non-use, (B) maintain at least the same standards of quality of products and services offered under such Trademark as are currently maintained, (C) use such Trademark with the appropriate notice of registration and all other notices and legends required by applicable Requirements of Law and (D) not adopt or use any other Trademark that is confusingly similar or a colorable imitation of such Trademark unless Administrative Agent shall obtain a perfected security interest in such other Trademark pursuant to this Security Agreement and (ii) not do any act or omit to do any act whereby (A) such Trademark (or any goodwill associated therewith) may become destroyed, invalidated, impaired or harmed in any way, (B) any Patent included in the Material Intellectual Property may become forfeited, misused, unenforceable, abandoned or dedicated to the public, (C) any portion of the Copyrights included in the Material Intellectual Property may become invalidated, otherwise impaired or fall into the public domain or (D) any Trade Secret that is Material Intellectual Property may become publicly available or otherwise unprotectable.</w:t>
      </w:r>
    </w:p>
    <w:p>
      <w:pPr>
        <w:spacing w:after="0" w:line="181" w:lineRule="exact"/>
        <w:rPr>
          <w:rFonts w:ascii="Arial" w:cs="Arial" w:eastAsia="Arial" w:hAnsi="Arial"/>
          <w:sz w:val="17"/>
          <w:szCs w:val="17"/>
          <w:color w:val="auto"/>
        </w:rPr>
      </w:pPr>
    </w:p>
    <w:p>
      <w:pPr>
        <w:jc w:val="both"/>
        <w:ind w:firstLine="644"/>
        <w:spacing w:after="0" w:line="254" w:lineRule="auto"/>
        <w:tabs>
          <w:tab w:leader="none" w:pos="176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Such Grantor shall promptly notify the Administrative Agent if it knows, or has reason to know, that any application or registration relating to any Patent, Trademark, Copyright or other Material Intellectual Property may become forfeited, misused, unenforceable, abandoned or dedicated to the public, or of any adverse determination or development regarding the validity or enforceability or such Grantor’s ownership of, interest in, right to use, register, own or maintain any Patent, Trademark, Copyright or other Material Intellectual Property (including the institution of, or any such determination or development in, any proceeding relating to the foregoing in any Applicable IP Office). Such Grantor shall take all actions that are necessary or reasonably requested by the Administrative Agent to maintain and pursue each application (and to obtain the relevant registration or recordation) and to maintain each registration and recordation included in the Material Intellectual Property.</w:t>
      </w:r>
    </w:p>
    <w:p>
      <w:pPr>
        <w:spacing w:after="0" w:line="191" w:lineRule="exact"/>
        <w:rPr>
          <w:rFonts w:ascii="Arial" w:cs="Arial" w:eastAsia="Arial" w:hAnsi="Arial"/>
          <w:sz w:val="18"/>
          <w:szCs w:val="18"/>
          <w:color w:val="auto"/>
        </w:rPr>
      </w:pPr>
    </w:p>
    <w:p>
      <w:pPr>
        <w:jc w:val="both"/>
        <w:ind w:firstLine="644"/>
        <w:spacing w:after="0" w:line="275" w:lineRule="auto"/>
        <w:tabs>
          <w:tab w:leader="none" w:pos="1692"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Such Grantor shall not knowingly do any act or omit to do any act to infringe, misappropriate, dilute, violate or otherwise impair the Intellectual Property of any other Person. In the event that any Material Intellectual Property of such Grantor is or has been infringed, misappropriated, violated, diluted or otherwise impaired by a third party, such Grantor shall promptly sue for infringement, misappropriation or dilution and to recover any and all damages for such infringement, misappropriation or dilution, and shall take such other actions as the Administrative Agent shall deem appropriate under the circumstances to protect such Material Intellectual Property.</w:t>
      </w:r>
    </w:p>
    <w:p>
      <w:pPr>
        <w:spacing w:after="0" w:line="176" w:lineRule="exact"/>
        <w:rPr>
          <w:rFonts w:ascii="Arial" w:cs="Arial" w:eastAsia="Arial" w:hAnsi="Arial"/>
          <w:sz w:val="17"/>
          <w:szCs w:val="17"/>
          <w:color w:val="auto"/>
        </w:rPr>
      </w:pPr>
    </w:p>
    <w:p>
      <w:pPr>
        <w:jc w:val="both"/>
        <w:ind w:firstLine="644"/>
        <w:spacing w:after="0" w:line="286" w:lineRule="auto"/>
        <w:tabs>
          <w:tab w:leader="none" w:pos="1925" w:val="left"/>
        </w:tabs>
        <w:numPr>
          <w:ilvl w:val="0"/>
          <w:numId w:val="214"/>
        </w:numPr>
        <w:rPr>
          <w:rFonts w:ascii="Arial" w:cs="Arial" w:eastAsia="Arial" w:hAnsi="Arial"/>
          <w:sz w:val="17"/>
          <w:szCs w:val="17"/>
          <w:color w:val="auto"/>
        </w:rPr>
      </w:pPr>
      <w:r>
        <w:rPr>
          <w:rFonts w:ascii="Arial" w:cs="Arial" w:eastAsia="Arial" w:hAnsi="Arial"/>
          <w:sz w:val="17"/>
          <w:szCs w:val="17"/>
          <w:color w:val="auto"/>
        </w:rPr>
        <w:t>Such Grantor shall execute and deliver to the Administrative Agent in form and substance reasonably acceptable to Administrative Agent and suitable for (i) filing in the Applicable IP Office the respective Confirmatory Grant in form and substance acceptable to the Administrative Agent for all Copyrights, Trademarks, and Patents of such Grantor, other than Excluded Assets.</w:t>
      </w:r>
    </w:p>
    <w:p>
      <w:pPr>
        <w:spacing w:after="0" w:line="165" w:lineRule="exact"/>
        <w:rPr>
          <w:rFonts w:ascii="Arial" w:cs="Arial" w:eastAsia="Arial" w:hAnsi="Arial"/>
          <w:sz w:val="17"/>
          <w:szCs w:val="17"/>
          <w:color w:val="auto"/>
        </w:rPr>
      </w:pPr>
    </w:p>
    <w:p>
      <w:pPr>
        <w:jc w:val="both"/>
        <w:ind w:firstLine="644"/>
        <w:spacing w:after="0" w:line="259" w:lineRule="auto"/>
        <w:tabs>
          <w:tab w:leader="none" w:pos="193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Such Grantor shall take all actions necessary or requested by the Administrative Agent to maintain and pursue each application, to obtain the relevant registration and to maintain the registration of all Material Intellectual Property (now or hereafter existing), including the filing of applications for renewal, affidavits of use, affidavits of non-contestability and opposition and interference and cancellation proceedings.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208" w:name="page209"/>
    <w:bookmarkEnd w:id="208"/>
    <w:p>
      <w:pPr>
        <w:jc w:val="both"/>
        <w:ind w:firstLine="648"/>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All commercial tort claims of each Grantor as of the date hereof are listed on Exhibit J. Such Grantor shall promptly, and in any event within five (5) Business Days after the same is acquired by it, notify the Administrative Agent of any commercial tort claim (as defined in the UCC) acquired by it for which the value of damages under such claim exceeds $100,000 individually or in the aggregate and, unless the Administrative Agent otherwise consents, such Grantor shall enter into an amendment to this Security Agreement,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hereto, granting to Administrative Agent a first priority security interest in such commercial tort claim.</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Letter-of-Credit Rights</w:t>
      </w:r>
      <w:r>
        <w:rPr>
          <w:rFonts w:ascii="Arial" w:cs="Arial" w:eastAsia="Arial" w:hAnsi="Arial"/>
          <w:sz w:val="18"/>
          <w:szCs w:val="18"/>
          <w:color w:val="auto"/>
        </w:rPr>
        <w:t>. If such Grantor is or becomes the beneficiary of a letter of credit with a drawable amount exceeding $100,000 individually or in the aggregate, it shall promptly, and in any event within five (5) Business Days after becoming a beneficiary, notify the Administrative Agent thereof and cause the issuer and/or confirmation bank to (a) consent to the assignment of any Letter-of-Credit Rights to the Administrative Agent and (b) agree to direct all payments thereunder to a Deposit Account at the Administrative Agent or subject to a Deposit Account Control Agreement for application to the Secured Obligations, in accordance with Section 2.18 of the Credit Agreement, all in form and substance reasonably satisfactory to the Administrative Agent.</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Federal, State or Municipal Claims</w:t>
      </w:r>
      <w:r>
        <w:rPr>
          <w:rFonts w:ascii="Arial" w:cs="Arial" w:eastAsia="Arial" w:hAnsi="Arial"/>
          <w:sz w:val="18"/>
          <w:szCs w:val="18"/>
          <w:color w:val="auto"/>
        </w:rPr>
        <w:t>. Such Grantor will promptly notify the Administrative Agent of any Collateral which constitutes a claim against the United States government or any state or local government or any instrumentality or agency thereof, the assignment of which claim is restricted by federal, state or municipal law.</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No Interference</w:t>
      </w:r>
      <w:r>
        <w:rPr>
          <w:rFonts w:ascii="Arial" w:cs="Arial" w:eastAsia="Arial" w:hAnsi="Arial"/>
          <w:sz w:val="18"/>
          <w:szCs w:val="18"/>
          <w:color w:val="auto"/>
        </w:rPr>
        <w:t>. Such Grantor agrees that it will not interfere with any right, power and remedy of the Administrative Agent provided for in this Security Agreement or now or hereafter existing at law or in equity or by statute or otherwise, or the exercise or beginning of the exercise by the Administrative Agent of any one or more of such rights, powers or remedies.</w:t>
      </w:r>
    </w:p>
    <w:p>
      <w:pPr>
        <w:spacing w:after="0" w:line="18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225" w:lineRule="exact"/>
        <w:rPr>
          <w:sz w:val="20"/>
          <w:szCs w:val="20"/>
          <w:color w:val="auto"/>
        </w:rPr>
      </w:pPr>
    </w:p>
    <w:p>
      <w:pPr>
        <w:jc w:val="both"/>
        <w:ind w:left="660" w:firstLine="644"/>
        <w:spacing w:after="0" w:line="301" w:lineRule="auto"/>
        <w:tabs>
          <w:tab w:leader="none" w:pos="1897" w:val="left"/>
        </w:tabs>
        <w:numPr>
          <w:ilvl w:val="1"/>
          <w:numId w:val="215"/>
        </w:numPr>
        <w:rPr>
          <w:rFonts w:ascii="Arial" w:cs="Arial" w:eastAsia="Arial" w:hAnsi="Arial"/>
          <w:sz w:val="16"/>
          <w:szCs w:val="16"/>
          <w:color w:val="auto"/>
        </w:rPr>
      </w:pPr>
      <w:r>
        <w:rPr>
          <w:rFonts w:ascii="Arial" w:cs="Arial" w:eastAsia="Arial" w:hAnsi="Arial"/>
          <w:sz w:val="16"/>
          <w:szCs w:val="16"/>
          <w:color w:val="auto"/>
        </w:rPr>
        <w:t>In the event any Collateral is located in any area that has been designated by the Federal Emergency Management Agency as a “Special Flood Hazard Area”, such Grantor shall purchase and maintain flood insurance on such Collateral (including any personal property which is located on any real property leased by such Loan Party within a “Special Flood Hazard Area”). The amount of flood insurance required by this Section shall at a minimum comply with applicable law, including the Flood Disaster Protection Act of 1973, as amended.</w:t>
      </w:r>
    </w:p>
    <w:p>
      <w:pPr>
        <w:spacing w:after="0" w:line="157" w:lineRule="exact"/>
        <w:rPr>
          <w:rFonts w:ascii="Arial" w:cs="Arial" w:eastAsia="Arial" w:hAnsi="Arial"/>
          <w:sz w:val="16"/>
          <w:szCs w:val="16"/>
          <w:color w:val="auto"/>
        </w:rPr>
      </w:pPr>
    </w:p>
    <w:p>
      <w:pPr>
        <w:jc w:val="both"/>
        <w:ind w:left="660" w:firstLine="644"/>
        <w:spacing w:after="0" w:line="287" w:lineRule="auto"/>
        <w:tabs>
          <w:tab w:leader="none" w:pos="1894" w:val="left"/>
        </w:tabs>
        <w:numPr>
          <w:ilvl w:val="1"/>
          <w:numId w:val="215"/>
        </w:numPr>
        <w:rPr>
          <w:rFonts w:ascii="Arial" w:cs="Arial" w:eastAsia="Arial" w:hAnsi="Arial"/>
          <w:sz w:val="16"/>
          <w:szCs w:val="16"/>
          <w:color w:val="auto"/>
        </w:rPr>
      </w:pPr>
      <w:r>
        <w:rPr>
          <w:rFonts w:ascii="Arial" w:cs="Arial" w:eastAsia="Arial" w:hAnsi="Arial"/>
          <w:sz w:val="16"/>
          <w:szCs w:val="16"/>
          <w:color w:val="auto"/>
        </w:rPr>
        <w:t>All insurance policies required hereunder and under Section 5.10 of the Credit Agreement shall name the Administrative Agent (for the benefit of the Administrative Agent and the Lenders) as an additional insured or as lender loss payee, as applicable, and shall contain lender loss payable clauses, through endorsements in form and substance reasonably satisfactory to the Administrative Agent, which provide that:</w:t>
      </w:r>
    </w:p>
    <w:p>
      <w:pPr>
        <w:spacing w:after="0" w:line="2" w:lineRule="exact"/>
        <w:rPr>
          <w:rFonts w:ascii="Arial" w:cs="Arial" w:eastAsia="Arial" w:hAnsi="Arial"/>
          <w:sz w:val="16"/>
          <w:szCs w:val="16"/>
          <w:color w:val="auto"/>
        </w:rPr>
      </w:pPr>
    </w:p>
    <w:p>
      <w:pPr>
        <w:jc w:val="both"/>
        <w:ind w:left="660" w:hanging="4"/>
        <w:spacing w:after="0" w:line="277" w:lineRule="auto"/>
        <w:tabs>
          <w:tab w:leader="none" w:pos="882"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all proceeds thereunder with respect to any Collateral shall be payable to the Administrative Agent; (ii) no such insurance shall be affected by any act or neglect of the insured or owner of the property described in such policy; and (iii) such policy and lender loss payable clauses may be canceled, amended, or terminated only upon at least thirty (30) days prior written notice given to the Administrative Agent.</w:t>
      </w:r>
    </w:p>
    <w:p>
      <w:pPr>
        <w:spacing w:after="0" w:line="172" w:lineRule="exact"/>
        <w:rPr>
          <w:rFonts w:ascii="Arial" w:cs="Arial" w:eastAsia="Arial" w:hAnsi="Arial"/>
          <w:sz w:val="17"/>
          <w:szCs w:val="17"/>
          <w:color w:val="auto"/>
        </w:rPr>
      </w:pPr>
    </w:p>
    <w:p>
      <w:pPr>
        <w:jc w:val="both"/>
        <w:ind w:left="660" w:firstLine="644"/>
        <w:spacing w:after="0" w:line="257" w:lineRule="auto"/>
        <w:tabs>
          <w:tab w:leader="none" w:pos="2019"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premiums on any such insurance shall be paid when due by such Grantor, and copies of the policies delivered to the Administrative Agent. If such Grantor fails to obtain or maintain any insurance as required by this Section, the Administrative Agent may, after the expiration of a five (5) day notice period to cure obtain such insurance at the Borrower’s expense. By purchasing such insurance, the Administrative Agent shall not be deemed to have waived any Default arising from such Grantor’s failure to maintain such insurance or pay any premiums therefor.</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9" w:name="page210"/>
    <w:bookmarkEnd w:id="209"/>
    <w:p>
      <w:pPr>
        <w:jc w:val="both"/>
        <w:ind w:firstLine="648"/>
        <w:spacing w:after="0" w:line="287"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Collateral Access Agreements</w:t>
      </w:r>
      <w:r>
        <w:rPr>
          <w:rFonts w:ascii="Arial" w:cs="Arial" w:eastAsia="Arial" w:hAnsi="Arial"/>
          <w:sz w:val="16"/>
          <w:szCs w:val="16"/>
          <w:color w:val="auto"/>
        </w:rPr>
        <w:t>. Such Grantor shall use commercially reasonable efforts to obtain a Collateral Access Agreement, from the lessor of each leased property, mortgagee of owned property or bailee or consignee with respect to any warehouse, processor or converter facility or other location where Collateral is stored or located, which agreement or letter shall provide access rights, contain a waiver or subordination of all Liens or claims that the landlord, mortgagee, bailee or consignee may assert against the Collateral at that location, and shall otherwise be reasonably satisfactory in form and substance to the Administrative Agent. With respect to such locations or warehouse space leased as of the Closing Date and thereafter, if the Administrative Agent has not received a Collateral Access Agreement as of the Closing Date (or, if later, as of the date such location is acquired or leased), the Borrower’s Eligible Inventory at that location shall be subject to such Reserves as may be established by the Administrative Agent. After the Closing Date, no real property or warehouse space shall be leased by such Grantor and no Inventory shall be shipped to a processor or converter under arrangements established after the Closing Date, unless and until a satisfactory Collateral Access Agreement shall first have been obtained with respect to such location and if it has not been obtained, the Borrower’s Eligible Inventory at that location shall be subject to the establishment of Reserves acceptable to the Administrative Agent. Such Grantor shall timely and fully pay and perform its obligations under all leases and other agreements with respect to each leased location or third party warehouse where any Collateral is or may be located.</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u w:val="single" w:color="auto"/>
          <w:color w:val="auto"/>
        </w:rPr>
        <w:t>Deposit Account Control Agreements</w:t>
      </w:r>
      <w:r>
        <w:rPr>
          <w:rFonts w:ascii="Arial" w:cs="Arial" w:eastAsia="Arial" w:hAnsi="Arial"/>
          <w:sz w:val="18"/>
          <w:szCs w:val="18"/>
          <w:color w:val="auto"/>
        </w:rPr>
        <w:t>. Such Grantor will provide to the Administrative Agent promptly upon the Administrative Agent’s request, a Deposit Account Control Agreement or a securities account control agreement (in each case, in form and substance satisfactory to the Administrative Agent) duly executed on behalf of each financial institution holding a Deposit Account or Securities Account (other than an Excluded Asset and Petty Cash Accounts) of such Grantor as set forth in this Security Agreement.</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4.15. </w:t>
      </w:r>
      <w:r>
        <w:rPr>
          <w:rFonts w:ascii="Arial" w:cs="Arial" w:eastAsia="Arial" w:hAnsi="Arial"/>
          <w:sz w:val="17"/>
          <w:szCs w:val="17"/>
          <w:u w:val="single" w:color="auto"/>
          <w:color w:val="auto"/>
        </w:rPr>
        <w:t>Change of Name or Location; Change of Fiscal Year</w:t>
      </w:r>
      <w:r>
        <w:rPr>
          <w:rFonts w:ascii="Arial" w:cs="Arial" w:eastAsia="Arial" w:hAnsi="Arial"/>
          <w:sz w:val="17"/>
          <w:szCs w:val="17"/>
          <w:color w:val="auto"/>
        </w:rPr>
        <w:t xml:space="preserve">. Such Grantor shall not (a) change its name as it appears in official filings in the state of its incorporation or organization, (b) change its chief executive office, principal place of business, mailing address, corporate offices or warehouses or locations at which Collateral is held or stored, or the location of its records concerning the Collateral as set forth in this Security Agreement, (c) change the type of entity that it is, (d) change its employer identification number, if any, issued by its state of incorporation or other organization, or (e) change its state of incorporation or organization, in each case, unless the Administrative Agent shall have received at least thirty (30) days prior written notice of such change and the Administrative Agent shall have acknowledged in writing that either (i) such change will not adversely affect the validity, perfection or priority of the Administrative Agent’s security interest in the Collateral, or (ii) any reasonable action requested by the Administrative Agent in connection therewith has been completed or taken (including any action to continue the perfection of any Liens in favor of the Administrative Agent, on behalf of the Secured Parties, in any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new location shall be in the continental U.S. Such Grantor shall not change its fiscal year which currently ends on December 31.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EVENTS OF DEFAULT AND REMEDIES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of any one or more of the following events shall constitute an Event of Default hereunder:</w:t>
      </w:r>
    </w:p>
    <w:p>
      <w:pPr>
        <w:spacing w:after="0" w:line="225" w:lineRule="exact"/>
        <w:rPr>
          <w:sz w:val="20"/>
          <w:szCs w:val="20"/>
          <w:color w:val="auto"/>
        </w:rPr>
      </w:pPr>
    </w:p>
    <w:p>
      <w:pPr>
        <w:ind w:left="660" w:right="20" w:firstLine="644"/>
        <w:spacing w:after="0" w:line="277" w:lineRule="auto"/>
        <w:tabs>
          <w:tab w:leader="none" w:pos="233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Any representation or warranty made by or on behalf of any Grantor under or in connection with this Security Agreement shall be materially false as of the date on which made.</w:t>
      </w:r>
    </w:p>
    <w:p>
      <w:pPr>
        <w:spacing w:after="0" w:line="170" w:lineRule="exact"/>
        <w:rPr>
          <w:rFonts w:ascii="Arial" w:cs="Arial" w:eastAsia="Arial" w:hAnsi="Arial"/>
          <w:sz w:val="18"/>
          <w:szCs w:val="18"/>
          <w:color w:val="auto"/>
        </w:rPr>
      </w:pPr>
    </w:p>
    <w:p>
      <w:pPr>
        <w:ind w:left="2220" w:hanging="916"/>
        <w:spacing w:after="0"/>
        <w:tabs>
          <w:tab w:leader="none" w:pos="2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 xml:space="preserve">Any Grantor shall fail to observe or perform any of the terms or provisions of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2288"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Grantor shall fail to observe or perform any of the terms or provisions of this Security Agreement (other than a breach which constitutes an Event of Default under any other Section of this Article V) and such failure shall continue unremedied for a period of five (5) Business Days after the earlier of any Grantor’s knowledge of such breach or notice thereof from the Administrative Agent.</w:t>
      </w:r>
    </w:p>
    <w:p>
      <w:pPr>
        <w:spacing w:after="0" w:line="165" w:lineRule="exact"/>
        <w:rPr>
          <w:rFonts w:ascii="Arial" w:cs="Arial" w:eastAsia="Arial" w:hAnsi="Arial"/>
          <w:sz w:val="17"/>
          <w:szCs w:val="17"/>
          <w:color w:val="auto"/>
        </w:rPr>
      </w:pPr>
    </w:p>
    <w:p>
      <w:pPr>
        <w:ind w:left="2240" w:hanging="936"/>
        <w:spacing w:after="0"/>
        <w:tabs>
          <w:tab w:leader="none" w:pos="22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occurrence of any “Event of Default” under, and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0" w:name="page211"/>
    <w:bookmarkEnd w:id="210"/>
    <w:p>
      <w:pPr>
        <w:jc w:val="both"/>
        <w:ind w:firstLine="644"/>
        <w:spacing w:after="0" w:line="273" w:lineRule="auto"/>
        <w:tabs>
          <w:tab w:leader="none" w:pos="165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Any Equity Interest which is included within the Collateral shall at any time constitute a Security or the issuer of any such Equity Interest shall take any action to have such interests treated as a Security unless (i) all certificates or other documents constituting such Security have been delivered to the Administrative Agent and such Security is properly defined as such under Article 8 of the UCC of the applicable jurisdiction, whether as a result of actions by the issuer thereof or otherwise, or (ii) the Administrative Agent has entered into a control agreement with the issuer of such Security or with a securities intermediary relating to such Security and such Security is defined as such under Article 8 of the UCC of the applicable jurisdiction, whether as a result of actions by the issuer thereof or otherwise.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Remedies</w:t>
      </w:r>
      <w:r>
        <w:rPr>
          <w:rFonts w:ascii="Arial" w:cs="Arial" w:eastAsia="Arial" w:hAnsi="Arial"/>
          <w:sz w:val="18"/>
          <w:szCs w:val="18"/>
          <w:color w:val="auto"/>
        </w:rPr>
        <w:t>.</w:t>
      </w:r>
    </w:p>
    <w:p>
      <w:pPr>
        <w:spacing w:after="0" w:line="225" w:lineRule="exact"/>
        <w:rPr>
          <w:sz w:val="20"/>
          <w:szCs w:val="20"/>
          <w:color w:val="auto"/>
        </w:rPr>
      </w:pPr>
    </w:p>
    <w:p>
      <w:pPr>
        <w:ind w:firstLine="644"/>
        <w:spacing w:after="0" w:line="277" w:lineRule="auto"/>
        <w:tabs>
          <w:tab w:leader="none" w:pos="1693"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Upon the occurrence and the continuance of an Event of Default, the Administrative Agent may exercise any or all of the following rights and remedies:</w:t>
      </w:r>
    </w:p>
    <w:p>
      <w:pPr>
        <w:spacing w:after="0" w:line="170" w:lineRule="exact"/>
        <w:rPr>
          <w:rFonts w:ascii="Arial" w:cs="Arial" w:eastAsia="Arial" w:hAnsi="Arial"/>
          <w:sz w:val="18"/>
          <w:szCs w:val="18"/>
          <w:color w:val="auto"/>
        </w:rPr>
      </w:pPr>
    </w:p>
    <w:p>
      <w:pPr>
        <w:jc w:val="both"/>
        <w:ind w:left="640" w:firstLine="652"/>
        <w:spacing w:after="0" w:line="263" w:lineRule="auto"/>
        <w:tabs>
          <w:tab w:leader="none" w:pos="266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 xml:space="preserve">those rights and remedies provided in this Security Agreement, the Credit Agreement, or any other Loan Document;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r>
        <w:rPr>
          <w:rFonts w:ascii="Arial" w:cs="Arial" w:eastAsia="Arial" w:hAnsi="Arial"/>
          <w:sz w:val="18"/>
          <w:szCs w:val="18"/>
          <w:i w:val="1"/>
          <w:iCs w:val="1"/>
          <w:color w:val="auto"/>
        </w:rPr>
        <w:t>,</w:t>
      </w:r>
      <w:r>
        <w:rPr>
          <w:rFonts w:ascii="Arial" w:cs="Arial" w:eastAsia="Arial" w:hAnsi="Arial"/>
          <w:sz w:val="18"/>
          <w:szCs w:val="18"/>
          <w:color w:val="auto"/>
        </w:rPr>
        <w:t xml:space="preserve"> this Section 5.2(a) shall not be understood to limit any rights or remedies available to the Administrative Agent and the other Secured Parties prior to an Event of Default;</w:t>
      </w:r>
    </w:p>
    <w:p>
      <w:pPr>
        <w:spacing w:after="0" w:line="183" w:lineRule="exact"/>
        <w:rPr>
          <w:rFonts w:ascii="Arial" w:cs="Arial" w:eastAsia="Arial" w:hAnsi="Arial"/>
          <w:sz w:val="18"/>
          <w:szCs w:val="18"/>
          <w:color w:val="auto"/>
        </w:rPr>
      </w:pPr>
    </w:p>
    <w:p>
      <w:pPr>
        <w:jc w:val="both"/>
        <w:ind w:left="640" w:firstLine="652"/>
        <w:spacing w:after="0" w:line="263" w:lineRule="auto"/>
        <w:tabs>
          <w:tab w:leader="none" w:pos="2433"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those rights and remedies available to a secured party under the UCC (whether or not the UCC applies to the affected Collateral) or under any other applicable law (including, without limitation, any law governing the exercise of a bank’s right of setoff or bankers’ lien) when a debtor is in default under a security agreement;</w:t>
      </w:r>
    </w:p>
    <w:p>
      <w:pPr>
        <w:spacing w:after="0" w:line="183" w:lineRule="exact"/>
        <w:rPr>
          <w:rFonts w:ascii="Arial" w:cs="Arial" w:eastAsia="Arial" w:hAnsi="Arial"/>
          <w:sz w:val="18"/>
          <w:szCs w:val="18"/>
          <w:color w:val="auto"/>
        </w:rPr>
      </w:pPr>
    </w:p>
    <w:p>
      <w:pPr>
        <w:ind w:left="640" w:firstLine="652"/>
        <w:spacing w:after="0" w:line="277" w:lineRule="auto"/>
        <w:tabs>
          <w:tab w:leader="none" w:pos="2336" w:val="left"/>
        </w:tabs>
        <w:numPr>
          <w:ilvl w:val="1"/>
          <w:numId w:val="219"/>
        </w:numPr>
        <w:rPr>
          <w:rFonts w:ascii="Arial" w:cs="Arial" w:eastAsia="Arial" w:hAnsi="Arial"/>
          <w:sz w:val="18"/>
          <w:szCs w:val="18"/>
          <w:color w:val="auto"/>
        </w:rPr>
      </w:pPr>
      <w:r>
        <w:rPr>
          <w:rFonts w:ascii="Arial" w:cs="Arial" w:eastAsia="Arial" w:hAnsi="Arial"/>
          <w:sz w:val="18"/>
          <w:szCs w:val="18"/>
          <w:color w:val="auto"/>
        </w:rPr>
        <w:t>give notice of sole control or any other instruction under any Deposit Account Control Agreement or any other control agreement with any securities intermediary and take any action therein with respect to such Collateral;</w:t>
      </w:r>
    </w:p>
    <w:p>
      <w:pPr>
        <w:spacing w:after="0" w:line="170" w:lineRule="exact"/>
        <w:rPr>
          <w:rFonts w:ascii="Arial" w:cs="Arial" w:eastAsia="Arial" w:hAnsi="Arial"/>
          <w:sz w:val="18"/>
          <w:szCs w:val="18"/>
          <w:color w:val="auto"/>
        </w:rPr>
      </w:pPr>
    </w:p>
    <w:p>
      <w:pPr>
        <w:jc w:val="both"/>
        <w:ind w:left="640" w:firstLine="652"/>
        <w:spacing w:after="0" w:line="272" w:lineRule="auto"/>
        <w:tabs>
          <w:tab w:leader="none" w:pos="2209" w:val="left"/>
        </w:tabs>
        <w:numPr>
          <w:ilvl w:val="1"/>
          <w:numId w:val="219"/>
        </w:numPr>
        <w:rPr>
          <w:rFonts w:ascii="Arial" w:cs="Arial" w:eastAsia="Arial" w:hAnsi="Arial"/>
          <w:sz w:val="17"/>
          <w:szCs w:val="17"/>
          <w:color w:val="auto"/>
        </w:rPr>
      </w:pPr>
      <w:r>
        <w:rPr>
          <w:rFonts w:ascii="Arial" w:cs="Arial" w:eastAsia="Arial" w:hAnsi="Arial"/>
          <w:sz w:val="17"/>
          <w:szCs w:val="17"/>
          <w:color w:val="auto"/>
        </w:rPr>
        <w:t>without notice (except as specifically provided in Section 8.1 or elsewhere herein), demand or advertisement of any kind to any Grantor or any other Person, enter the premises of any Grantor where any Collateral is located (through self-help and without judicial process) to collect, receive, assemble, process, appropriate, sell, lease, assign, grant an option or options to purchase or otherwise dispose of, deliver, or realize upon, the Collateral or any part thereof in one or more parcels at public or private sale or sales (which sales may be adjourned or continued from time to time with or without notice and may take place at any Grantor’s premises or elsewhere), for cash, on credit or for future delivery without assumption of any credit risk, and upon such other terms as the Administrative Agent may deem commercially reasonable; and</w:t>
      </w:r>
    </w:p>
    <w:p>
      <w:pPr>
        <w:spacing w:after="0" w:line="177" w:lineRule="exact"/>
        <w:rPr>
          <w:rFonts w:ascii="Arial" w:cs="Arial" w:eastAsia="Arial" w:hAnsi="Arial"/>
          <w:sz w:val="17"/>
          <w:szCs w:val="17"/>
          <w:color w:val="auto"/>
        </w:rPr>
      </w:pPr>
    </w:p>
    <w:p>
      <w:pPr>
        <w:jc w:val="both"/>
        <w:ind w:left="640" w:firstLine="652"/>
        <w:spacing w:after="0" w:line="275" w:lineRule="auto"/>
        <w:tabs>
          <w:tab w:leader="none" w:pos="2378" w:val="left"/>
        </w:tabs>
        <w:numPr>
          <w:ilvl w:val="1"/>
          <w:numId w:val="219"/>
        </w:numPr>
        <w:rPr>
          <w:rFonts w:ascii="Arial" w:cs="Arial" w:eastAsia="Arial" w:hAnsi="Arial"/>
          <w:sz w:val="17"/>
          <w:szCs w:val="17"/>
          <w:color w:val="auto"/>
        </w:rPr>
      </w:pPr>
      <w:r>
        <w:rPr>
          <w:rFonts w:ascii="Arial" w:cs="Arial" w:eastAsia="Arial" w:hAnsi="Arial"/>
          <w:sz w:val="17"/>
          <w:szCs w:val="17"/>
          <w:color w:val="auto"/>
        </w:rPr>
        <w:t>concurrently with written notice to the applicable Grantor, transfer and register in its name or in the name of its nominee the whole or any part of the Pledged Collateral, exchange certificates or instruments representing or evidencing Pledged Collateral for certificates or instruments of smaller or larger denominations, exercise the voting and all other rights as a holder with respect thereto, to collect and receive all cash dividends, interest, principal and other distributions made thereon and to otherwise act with respect to the Pledged Collateral as though the Administrative Agent was the outright owner thereof.</w:t>
      </w:r>
    </w:p>
    <w:p>
      <w:pPr>
        <w:spacing w:after="0" w:line="176" w:lineRule="exact"/>
        <w:rPr>
          <w:rFonts w:ascii="Arial" w:cs="Arial" w:eastAsia="Arial" w:hAnsi="Arial"/>
          <w:sz w:val="17"/>
          <w:szCs w:val="17"/>
          <w:color w:val="auto"/>
        </w:rPr>
      </w:pPr>
    </w:p>
    <w:p>
      <w:pPr>
        <w:jc w:val="both"/>
        <w:ind w:firstLine="644"/>
        <w:spacing w:after="0" w:line="263" w:lineRule="auto"/>
        <w:tabs>
          <w:tab w:leader="none" w:pos="20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Administrative Agent, on behalf of the Secured Parties, may comply with any applicable state or federal law requirements in connection with a disposition of the Collateral and compliance will not be considered to adversely affect the commercial reasonableness of any sale of the Collateral.</w:t>
      </w:r>
    </w:p>
    <w:p>
      <w:pPr>
        <w:spacing w:after="0" w:line="183" w:lineRule="exact"/>
        <w:rPr>
          <w:rFonts w:ascii="Arial" w:cs="Arial" w:eastAsia="Arial" w:hAnsi="Arial"/>
          <w:sz w:val="18"/>
          <w:szCs w:val="18"/>
          <w:color w:val="auto"/>
        </w:rPr>
      </w:pPr>
    </w:p>
    <w:p>
      <w:pPr>
        <w:jc w:val="both"/>
        <w:ind w:firstLine="644"/>
        <w:spacing w:after="0" w:line="286" w:lineRule="auto"/>
        <w:tabs>
          <w:tab w:leader="none" w:pos="1663" w:val="left"/>
        </w:tabs>
        <w:numPr>
          <w:ilvl w:val="0"/>
          <w:numId w:val="219"/>
        </w:numPr>
        <w:rPr>
          <w:rFonts w:ascii="Arial" w:cs="Arial" w:eastAsia="Arial" w:hAnsi="Arial"/>
          <w:sz w:val="17"/>
          <w:szCs w:val="17"/>
          <w:color w:val="auto"/>
        </w:rPr>
      </w:pPr>
      <w:r>
        <w:rPr>
          <w:rFonts w:ascii="Arial" w:cs="Arial" w:eastAsia="Arial" w:hAnsi="Arial"/>
          <w:sz w:val="17"/>
          <w:szCs w:val="17"/>
          <w:color w:val="auto"/>
        </w:rPr>
        <w:t>The Administrative Agent shall have the right upon any such public sale or sales and, to the extent permitted by law, upon any such private sale or sales, to purchase for the benefit of the Administrative Agent and the other Secured Parties, the whole or any part of the Collateral so sold, free of any right of equity redemption, which equity redemption each Grantor hereby expressly releases.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211" w:name="page212"/>
    <w:bookmarkEnd w:id="211"/>
    <w:p>
      <w:pPr>
        <w:jc w:val="both"/>
        <w:ind w:firstLine="644"/>
        <w:spacing w:after="0" w:line="296" w:lineRule="auto"/>
        <w:tabs>
          <w:tab w:leader="none" w:pos="1743" w:val="left"/>
        </w:tabs>
        <w:numPr>
          <w:ilvl w:val="0"/>
          <w:numId w:val="220"/>
        </w:numPr>
        <w:rPr>
          <w:rFonts w:ascii="Arial" w:cs="Arial" w:eastAsia="Arial" w:hAnsi="Arial"/>
          <w:sz w:val="16"/>
          <w:szCs w:val="16"/>
          <w:color w:val="auto"/>
        </w:rPr>
      </w:pPr>
      <w:r>
        <w:rPr>
          <w:rFonts w:ascii="Arial" w:cs="Arial" w:eastAsia="Arial" w:hAnsi="Arial"/>
          <w:sz w:val="16"/>
          <w:szCs w:val="16"/>
          <w:color w:val="auto"/>
        </w:rPr>
        <w:t>Until the Administrative Agent is able to effect a sale, lease, or other disposition of Collateral, the Administrative Agent shall have the right to hold or use Collateral, or any part thereof, to the extent that it deems appropriate for the purpose of preserving Collateral or its value or for any other purpose deemed appropriate by the Administrative Agent. The Administrative Agent may, if it so elects, seek the appointment of a receiver or keeper to take possession of Collateral and to enforce any of the Administrative Agent’s remedies (for the benefit of the Administrative Agent and the other Secured Parties), with respect to such appointment without prior notice or hearing as to such appointment.</w:t>
      </w:r>
    </w:p>
    <w:p>
      <w:pPr>
        <w:spacing w:after="0" w:line="161" w:lineRule="exact"/>
        <w:rPr>
          <w:rFonts w:ascii="Arial" w:cs="Arial" w:eastAsia="Arial" w:hAnsi="Arial"/>
          <w:sz w:val="16"/>
          <w:szCs w:val="16"/>
          <w:color w:val="auto"/>
        </w:rPr>
      </w:pPr>
    </w:p>
    <w:p>
      <w:pPr>
        <w:jc w:val="both"/>
        <w:ind w:firstLine="644"/>
        <w:spacing w:after="0" w:line="259" w:lineRule="auto"/>
        <w:tabs>
          <w:tab w:leader="none" w:pos="172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after the Credit Agreement has terminated by its terms and all of the Obligations have been Paid in Full, there remain Swap Agreement Obligations outstanding, the Required Secured Parties may exercise the remedies provided in this Section 5.2 upon the occurrence of any event which would allow or require the termination or acceleration of any Swap Agreement Obligations pursuant to the terms of the Swap Agreement.</w:t>
      </w:r>
    </w:p>
    <w:p>
      <w:pPr>
        <w:spacing w:after="0" w:line="186" w:lineRule="exact"/>
        <w:rPr>
          <w:rFonts w:ascii="Arial" w:cs="Arial" w:eastAsia="Arial" w:hAnsi="Arial"/>
          <w:sz w:val="18"/>
          <w:szCs w:val="18"/>
          <w:color w:val="auto"/>
        </w:rPr>
      </w:pPr>
    </w:p>
    <w:p>
      <w:pPr>
        <w:jc w:val="both"/>
        <w:ind w:firstLine="644"/>
        <w:spacing w:after="0" w:line="275" w:lineRule="auto"/>
        <w:tabs>
          <w:tab w:leader="none" w:pos="168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Notwithstanding the foregoing, neither the Administrative Agent nor any other Secured Party shall be required to (i) make any demand upon, or pursue or exhaust any of its rights or remedies against, any Grantor, any other obligor, guarantor, pledgor or any other Person with respect to the payment of the Secured Obligations or to pursue or exhaust any of its rights or remedies with respect to any Collateral therefor or any direct or indirect guarantee thereof, (ii) marshal the Collateral or any guarantee of the Secured Obligations or to resort to the Collateral or any such guarantee in any particular order, or (iii) effect a public sale of any Collateral.</w:t>
      </w:r>
    </w:p>
    <w:p>
      <w:pPr>
        <w:spacing w:after="0" w:line="176" w:lineRule="exact"/>
        <w:rPr>
          <w:rFonts w:ascii="Arial" w:cs="Arial" w:eastAsia="Arial" w:hAnsi="Arial"/>
          <w:sz w:val="17"/>
          <w:szCs w:val="17"/>
          <w:color w:val="auto"/>
        </w:rPr>
      </w:pPr>
    </w:p>
    <w:p>
      <w:pPr>
        <w:jc w:val="both"/>
        <w:ind w:firstLine="644"/>
        <w:spacing w:after="0" w:line="254" w:lineRule="auto"/>
        <w:tabs>
          <w:tab w:leader="none" w:pos="1824"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Each Grantor recognizes that the Administrative Agent may be unable to effect a public sale of any or all the Pledged Collateral and may be compelled to resort to one or more private sales thereof in accordance with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Each Grantor also acknowledges that any private sale may result in prices and other terms less favorable to the seller than if such sale were a public sale and, notwithstanding such circumstances, agrees that any such private sale shall not be deemed to have been made in a commercially unreasonable manner solely by virtue of such sale being private. The Administrative Agent shall be under no obligation to delay a sale of any of the Pledged Collateral for the period of time necessary to permit any Grantor or the issuer of the Pledged Collateral to register such securities for public sale under the Securities Act of 1933, as amended, or under applicable state securities laws, even if the applicable Grantor and the issuer would agree to do so.</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Grantor’s Obligations Upon Default</w:t>
      </w:r>
      <w:r>
        <w:rPr>
          <w:rFonts w:ascii="Arial" w:cs="Arial" w:eastAsia="Arial" w:hAnsi="Arial"/>
          <w:sz w:val="17"/>
          <w:szCs w:val="17"/>
          <w:color w:val="auto"/>
        </w:rPr>
        <w:t>. Upon the request of the Administrative Agent after the occurrence of a Default, each Grantor will:</w:t>
      </w:r>
    </w:p>
    <w:p>
      <w:pPr>
        <w:spacing w:after="0" w:line="237" w:lineRule="exact"/>
        <w:rPr>
          <w:sz w:val="20"/>
          <w:szCs w:val="20"/>
          <w:color w:val="auto"/>
        </w:rPr>
      </w:pPr>
    </w:p>
    <w:p>
      <w:pPr>
        <w:ind w:firstLine="644"/>
        <w:spacing w:after="0" w:line="277" w:lineRule="auto"/>
        <w:tabs>
          <w:tab w:leader="none" w:pos="172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assemble and make available to the Administrative Agent the Collateral and all books and records relating thereto at any place or places specified by the Administrative Agent, whether at such Grantor’s premises or elsewhere;</w:t>
      </w:r>
    </w:p>
    <w:p>
      <w:pPr>
        <w:spacing w:after="0" w:line="170" w:lineRule="exact"/>
        <w:rPr>
          <w:rFonts w:ascii="Arial" w:cs="Arial" w:eastAsia="Arial" w:hAnsi="Arial"/>
          <w:sz w:val="18"/>
          <w:szCs w:val="18"/>
          <w:color w:val="auto"/>
        </w:rPr>
      </w:pPr>
    </w:p>
    <w:p>
      <w:pPr>
        <w:jc w:val="both"/>
        <w:ind w:firstLine="644"/>
        <w:spacing w:after="0" w:line="301" w:lineRule="auto"/>
        <w:tabs>
          <w:tab w:leader="none" w:pos="17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permit the Administrative Agent, by the Administrative Agent’s representatives and agents, to enter, occupy and use any premises where all or any part of the Collateral, or the books and records relating thereto, or both, are located, to take possession of all or any part of the Collateral or the books and records relating thereto, or both, to remove all or any part of the Collateral or the books and records relating thereto, or both, and to conduct sales of the Collateral, without any obligation to pay such Grantor for such use and occupancy;</w:t>
      </w:r>
    </w:p>
    <w:p>
      <w:pPr>
        <w:spacing w:after="0" w:line="157" w:lineRule="exact"/>
        <w:rPr>
          <w:rFonts w:ascii="Arial" w:cs="Arial" w:eastAsia="Arial" w:hAnsi="Arial"/>
          <w:sz w:val="16"/>
          <w:szCs w:val="16"/>
          <w:color w:val="auto"/>
        </w:rPr>
      </w:pPr>
    </w:p>
    <w:p>
      <w:pPr>
        <w:jc w:val="both"/>
        <w:ind w:firstLine="644"/>
        <w:spacing w:after="0" w:line="257" w:lineRule="auto"/>
        <w:tabs>
          <w:tab w:leader="none" w:pos="162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prepare and file, or cause an issuer of Pledged Collateral to prepare and file, with the Securities and Exchange Commission or any other applicable government agency, registration statements, a prospectus and such other documentation in connection with the Pledged Collateral as the Administrative Agent may request, all in form and substance reasonably satisfactory to the Administrative Agent, and furnish to the Administrative Agent, or cause an issuer of Pledged Collateral to furnish to the Administrative Agent, any information regarding the Pledged Collateral in such detail as the Administrative Agent may specify;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800" w:right="339" w:bottom="1440" w:gutter="0" w:footer="0" w:header="0"/>
        </w:sectPr>
      </w:pPr>
    </w:p>
    <w:bookmarkStart w:id="212" w:name="page213"/>
    <w:bookmarkEnd w:id="212"/>
    <w:p>
      <w:pPr>
        <w:ind w:left="660" w:firstLine="644"/>
        <w:spacing w:after="0" w:line="308" w:lineRule="auto"/>
        <w:tabs>
          <w:tab w:leader="none" w:pos="252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take, or cause an issuer of Pledged Collateral to take, any and all actions necessary to register or qualify the Pledged Collateral to enable the Administrative Agent to consummate a public sale or other disposition of the Pledged Collateral; and</w:t>
      </w:r>
    </w:p>
    <w:p>
      <w:pPr>
        <w:spacing w:after="0" w:line="146" w:lineRule="exact"/>
        <w:rPr>
          <w:rFonts w:ascii="Arial" w:cs="Arial" w:eastAsia="Arial" w:hAnsi="Arial"/>
          <w:sz w:val="17"/>
          <w:szCs w:val="17"/>
          <w:color w:val="auto"/>
        </w:rPr>
      </w:pPr>
    </w:p>
    <w:p>
      <w:pPr>
        <w:jc w:val="both"/>
        <w:ind w:left="660" w:firstLine="644"/>
        <w:spacing w:after="0" w:line="259" w:lineRule="auto"/>
        <w:tabs>
          <w:tab w:leader="none" w:pos="229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at its own expense, cause the independent certified public accountants then engaged by each Grantor to prepare and deliver to the Administrative Agent and each Lender, at any time, and from time to time, promptly upon the Administrative Agent’s request, the following reports with respect to the applicable Grantor: (i) a reconciliation of all Accounts; (ii) an aging of all Accounts; (iii) trial balances; and (iv) a test verification of such Accounts.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Grant of Intellectual Property License</w:t>
      </w:r>
      <w:r>
        <w:rPr>
          <w:rFonts w:ascii="Arial" w:cs="Arial" w:eastAsia="Arial" w:hAnsi="Arial"/>
          <w:sz w:val="17"/>
          <w:szCs w:val="17"/>
          <w:color w:val="auto"/>
        </w:rPr>
        <w:t xml:space="preserve">. For the purpose of enabling the Administrative Agent to exercise the rights and remedies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at such time as the Administrative Agent shall be lawfully entitled to exercise such rights and remedies (including in order to take possession of, collect, receive, assemble, process, appropriate, remove, realize upon, sell, assign, convey, transfer or grant options to purchase any Collateral), each Grantor hereby (a) grants to the Administrative Agent, for the benefit of the Administrative Agent and the other Secured Parties, an irrevocable, nonexclusive worldwide license (exercisable without payment of royalty or other compensation to any Grantor), including in such license the right to use, license, sublicense or practice any Intellectual Property now owned or hereafter acquired by such Grantor, and wherever the same may be located, and including in such license access to all media in which any of the licensed items may be recorded or stored and to all Software and programs used for the compilation or printout thereof and (b) irrevocably agrees that the Administrative Agent may sell any of such Grantor’s Inventory directly to any person, including without limitation persons who have previously purchased the Grantor’s Inventory from such Grantor and in connection with any such sale or other enforcement of the Administrative Agent’s rights under this Security Agreement, may sell Inventory which bears any Trademark owned by or licensed to such Grantor and any Inventory that is covered by any Copyright owned by or licensed to such Grantor and the Administrative Agent may (but shall have no obligation to) finish any work in process and affix any Trademark owned by or licensed to such Grantor and sell such Inventory as provided herein.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 VERIFICATION; ATTORNEY IN FACT; PROXY</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Account Verification</w:t>
      </w:r>
      <w:r>
        <w:rPr>
          <w:rFonts w:ascii="Arial" w:cs="Arial" w:eastAsia="Arial" w:hAnsi="Arial"/>
          <w:sz w:val="18"/>
          <w:szCs w:val="18"/>
          <w:color w:val="auto"/>
        </w:rPr>
        <w:t>. The Administrative Agent may at any time, in the Administrative Agent’s own name, in the name of a nominee of the Administrative Agent, or in the name of any Grantor communicate (by mail, telephone, facsimile or otherwise) with the Account Debtors of any such Grantor, parties to contracts with any such Grantor and obligors in respect of Instruments of any such Grantor to verify with such Persons, to the Administrative Agent’s satisfaction, the existence, amount, terms of, and any other matter relating to, Accounts, Instruments, Chattel Paper, payment intangibles and/or other Receivables.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3" w:name="page214"/>
    <w:bookmarkEnd w:id="213"/>
    <w:p>
      <w:pPr>
        <w:ind w:left="660"/>
        <w:spacing w:after="0"/>
        <w:tabs>
          <w:tab w:leader="none" w:pos="15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u w:val="single" w:color="auto"/>
          <w:color w:val="auto"/>
        </w:rPr>
        <w:t>Authorization for Administrative Agent to Take Certain Action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4" w:lineRule="auto"/>
        <w:tabs>
          <w:tab w:leader="none" w:pos="1945"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Each Grantor irrevocably authorizes the Administrative Agent at any time and from time to time in the sole discretion of the Administrative Agent and appoints the Administrative Agent as its attorney in fact (i) to execute on behalf of such Grantor as debtor and to file any financing statements necessary or desirable in the Administrative Agent’s sole discretion to perfect and to maintain the perfection and priority of the Administrative Agent’s security interest in the Collateral, (ii) in the case of any Intellectual Property owned by or licensed to such Grantor, execute, deliver and have recorded any document that the Administrative Agent may request to evidence, effect, publicize or record the Administrative Agent’s security interest in such Intellectual Property and the goodwill and General Intangibles of such Grantor relating thereto or represented thereby, (iii) during a Cash Dominion Period to endorse and collect any cash proceeds of the Collateral, (iv) to file a carbon, photographic or other reproduction of this Security Agreement or any financing statement with respect to the Collateral as a financing statement and to file any other financing statement or amendment of a financing statement (which does not add new collateral or add a debtor) in such offices as the Administrative Agent in its sole discretion deems necessary or desirable to perfect and to maintain the perfection and priority of the Administrative Agent’s security interest in the Collateral, (v) to contact and enter into one or more agreements with the issuers of uncertificated securities which are Pledged Collateral or with securities intermediaries holding Pledged Collateral as may be necessary or advisable to give the Administrative Agent Control over such Pledged Collateral, (vi) to apply the proceeds of any Collateral received by the Administrative Agent to the Secured Obligations as provided in Section 7.3, (vii) to discharge past due taxes, assessments, charges, fees or Liens on the Collateral (except for such Liens that are Permitted Encumbrances), (viii) to contact Account Debtors for any reason, (ix) to demand payment or enforce payment of the Receivables in the name of the Administrative Agent or such Grantor and to endorse any and all checks, drafts, and other instruments for the payment of money relating to the Receivables, (x) to sign such Grantor’s name on any invoice or bill of lading relating to the Receivables, drafts against any Account Debtor of such Grantor, assignments and verifications of Receivables, (xi) to exercise all of such Grantor’s rights and remedies with respect to the collection of the Receivables and any other Collateral, (xii) to settle, adjust, compromise, extend or renew the Receivables, (xiii) to settle, adjust or compromise any legal proceedings brought to collect Receivables, (xiv) to prepare, file and sign such Grantor’s name on a proof of claim in bankruptcy or similar document against any Account Debtor of such Grantor, (xv) to prepare, file and sign such Grantor’s name on any notice of Lien, assignment or satisfaction of Lien or similar document in connection with the Receivables, (xvi) to change the address for delivery of mail addressed to such Grantor to such address as the Administrative Agent may designate and to receive, open and dispose of all mail addressed to such Grantor, and (xvii) to do all other acts and things reasonably necessary to carry out this Security Agreement; and such Grantor agrees to reimburse the Administrative Agent on demand for any reasonable and out-of-pocket payment made or any expense reasonably incurred by the Administrative Agent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r>
        <w:rPr>
          <w:rFonts w:ascii="Arial" w:cs="Arial" w:eastAsia="Arial" w:hAnsi="Arial"/>
          <w:sz w:val="16"/>
          <w:szCs w:val="16"/>
          <w:i w:val="1"/>
          <w:iCs w:val="1"/>
          <w:color w:val="auto"/>
        </w:rPr>
        <w:t>,</w:t>
      </w:r>
      <w:r>
        <w:rPr>
          <w:rFonts w:ascii="Arial" w:cs="Arial" w:eastAsia="Arial" w:hAnsi="Arial"/>
          <w:sz w:val="16"/>
          <w:szCs w:val="16"/>
          <w:color w:val="auto"/>
        </w:rPr>
        <w:t xml:space="preserve"> this authorization shall not relieve such Grantor of any of its obligations under this Security Agreement or under the Credit Agreement.</w:t>
      </w:r>
    </w:p>
    <w:p>
      <w:pPr>
        <w:spacing w:after="0" w:line="169" w:lineRule="exact"/>
        <w:rPr>
          <w:rFonts w:ascii="Arial" w:cs="Arial" w:eastAsia="Arial" w:hAnsi="Arial"/>
          <w:sz w:val="16"/>
          <w:szCs w:val="16"/>
          <w:color w:val="auto"/>
        </w:rPr>
      </w:pPr>
    </w:p>
    <w:p>
      <w:pPr>
        <w:jc w:val="both"/>
        <w:ind w:left="660" w:right="20" w:firstLine="644"/>
        <w:spacing w:after="0" w:line="311" w:lineRule="auto"/>
        <w:tabs>
          <w:tab w:leader="none" w:pos="185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All acts of said attorney or designee are hereby ratified and approved. The powers conferred on the Administrative Agent, for the benefit of the Administrative Agent and the other Secured Parties, under this Section 6.2 are solely to protect the Administrative Agent’s interests in the Collateral and shall not impose any duty upon the Administrative Agent or any other Secured Party to exercise any such powers.</w:t>
      </w:r>
    </w:p>
    <w:p>
      <w:pPr>
        <w:spacing w:after="0" w:line="1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Proxy</w:t>
      </w:r>
      <w:r>
        <w:rPr>
          <w:rFonts w:ascii="Arial" w:cs="Arial" w:eastAsia="Arial" w:hAnsi="Arial"/>
          <w:sz w:val="17"/>
          <w:szCs w:val="17"/>
          <w:color w:val="auto"/>
        </w:rPr>
        <w:t>. EACH GRANTOR HEREBY IRREVOCABLY CONSTITUTES AND APPOINTS THE ADMINISTRATIVE AGENT AS ITS PROXY AND ATTORNEY-IN-FACT (AS SET FORTH IN SECTION 6.2 ABOVE) WITH RESPECT TO ITS PLEDGED COLLATERAL, INCLUDING THE RIGHT TO VOTE ANY OF THE PLEDGED COLLATERAL, WITH FULL POWER OF SUBSTITUTION TO DO SO. IN ADDITION TO THE RIGHT TO VOTE SUCH PLEDGED COLLATERAL, THE APPOINTMENT OF THE ADMINISTRATIVE AGENT AS PROXY AND ATTORNEY-IN-FACT SHALL INCLUDE THE RIGHT TO EXERCISE ALL OTHER RIGHTS, POWERS, PRIVILEGES AND REMEDIES TO WHICH A HOLDER OF SUCH PLEDGED COLLATERAL WOULD BE ENTITLED (INCLUDING GIVING OR WITHHOLDING WRITTEN CONSENTS OF SHAREHOLDERS, CALLING SPECIAL MEETINGS OF SHAREHOLDERS AND VOTING AT SUCH MEETINGS). SUCH PROXY SHALL BE EFFECTIVE, AUTOMATICALLY AND WITHOUT THE NECESSITY OF ANY ACTION (INCLUDING ANY TRANSFER OF ANY SUCH PLEDGED COLLATERAL ON THE RECORD BOOKS OF THE ISSUER THEREOF) BY ANY PERSON (INCLUDING THE ISSUER OF SUCH PLEDGED COLLATERAL OR ANY OFFICER OR AGENT THEREOF), UPON THE OCCURRENCE OF A DEFAULT.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4" w:name="page215"/>
    <w:bookmarkEnd w:id="214"/>
    <w:p>
      <w:pPr>
        <w:jc w:val="both"/>
        <w:ind w:firstLine="648"/>
        <w:spacing w:after="0" w:line="253"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Nature of Appointment; Limitation of Duty</w:t>
      </w:r>
      <w:r>
        <w:rPr>
          <w:rFonts w:ascii="Arial" w:cs="Arial" w:eastAsia="Arial" w:hAnsi="Arial"/>
          <w:sz w:val="18"/>
          <w:szCs w:val="18"/>
          <w:color w:val="auto"/>
        </w:rPr>
        <w:t xml:space="preserve">. THE APPOINTMENT OF THE ADMINISTRATIVE AGENT AS PROXY AND ATTORNEY-IN-FACT IN THIS ARTICLE VI IS COUPLED WITH AN INTEREST AND SHALL BE IRREVOCABLE UNTIL THE DATE ON WHICH THIS SECURITY AGREEMENT IS TERMINATED IN ACCORDANCE WITH SECTION 8.14. NOTWITHSTANDING ANYTHING CONTAINED HEREIN, NONE OF THE ADMINISTRATIVE AGENT, ANY LENDER, ANY OTHER SECURED PARTY, ANY OF THEIR AFFILIATES, OR ANY OF THEIR OR THEIR RESPECTIVE AFFILIATES’ RESPECTIVE OFFICERS, DIRECTORS, EMPLOYEES, ADVISORS, AGENTS OR REPRESENTATIVES SHALL HAVE ANY DUTY TO EXERCISE ANY RIGHT OR POWER GRANTED HEREUNDER OR OTHERWISE OR TO PRESERVE THE SAME AND SHALL NOT BE LIABLE FOR ANY FAILURE TO DO SO OR FOR ANY DELAY IN DOING SO, EXCEPT IN RESPECT OF DAMAGES ATTRIBUTABLE SOLELY TO SUCH PARTY’S OWN GROSS NEGLIGENCE OR WILLFUL MISCONDUCT AS FINALLY DETERMINED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THEY BE LIABLE FOR ANY PUNITIVE, EXEMPLARY, INDIRECT OR CONSEQUENTIAL DAMAGES.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COLLECTION AND APPLICATION OF COLLATERAL PROCEEDS; DEPOSIT ACCOUNTS</w:t>
      </w:r>
    </w:p>
    <w:p>
      <w:pPr>
        <w:spacing w:after="0" w:line="211"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u w:val="single" w:color="auto"/>
          <w:color w:val="auto"/>
        </w:rPr>
        <w:t>Collection of Receivables</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88" w:lineRule="auto"/>
        <w:tabs>
          <w:tab w:leader="none" w:pos="2313" w:val="left"/>
        </w:tabs>
        <w:numPr>
          <w:ilvl w:val="0"/>
          <w:numId w:val="224"/>
        </w:numPr>
        <w:rPr>
          <w:rFonts w:ascii="Arial" w:cs="Arial" w:eastAsia="Arial" w:hAnsi="Arial"/>
          <w:sz w:val="16"/>
          <w:szCs w:val="16"/>
          <w:color w:val="auto"/>
        </w:rPr>
      </w:pPr>
      <w:r>
        <w:rPr>
          <w:rFonts w:ascii="Arial" w:cs="Arial" w:eastAsia="Arial" w:hAnsi="Arial"/>
          <w:sz w:val="16"/>
          <w:szCs w:val="16"/>
          <w:color w:val="auto"/>
        </w:rPr>
        <w:t>Within forty-five (45) days of the Closing Date (or such later date in Administrative Agent’s sole discretion), each Grantor shall (i) execute and deliver to the Administrative Agent Deposit Account Control Agreements for each Deposit Account (unless such Deposit Account is maintained with the Administrative Agent and the Administrative Agent elects to forgo a Deposit Account Control Agreement (it being understood that Administrative Agent may require such Deposit Account Control Agreement at any time)) maintained by such Grantor into which all cash, checks or other similar payments relating to or constituting payments made in respect of Receivables will be deposited (each, a “</w:t>
      </w:r>
      <w:r>
        <w:rPr>
          <w:rFonts w:ascii="Arial" w:cs="Arial" w:eastAsia="Arial" w:hAnsi="Arial"/>
          <w:sz w:val="16"/>
          <w:szCs w:val="16"/>
          <w:u w:val="single" w:color="auto"/>
          <w:color w:val="auto"/>
        </w:rPr>
        <w:t>Collateral Deposit Account</w:t>
      </w:r>
      <w:r>
        <w:rPr>
          <w:rFonts w:ascii="Arial" w:cs="Arial" w:eastAsia="Arial" w:hAnsi="Arial"/>
          <w:sz w:val="16"/>
          <w:szCs w:val="16"/>
          <w:color w:val="auto"/>
        </w:rPr>
        <w:t xml:space="preserve">”), which Collateral Deposit Accounts are identified as such on </w:t>
      </w:r>
      <w:r>
        <w:rPr>
          <w:rFonts w:ascii="Arial" w:cs="Arial" w:eastAsia="Arial" w:hAnsi="Arial"/>
          <w:sz w:val="16"/>
          <w:szCs w:val="16"/>
          <w:u w:val="single" w:color="auto"/>
          <w:color w:val="auto"/>
        </w:rPr>
        <w:t>Exhibit B</w:t>
      </w:r>
      <w:r>
        <w:rPr>
          <w:rFonts w:ascii="Arial" w:cs="Arial" w:eastAsia="Arial" w:hAnsi="Arial"/>
          <w:sz w:val="16"/>
          <w:szCs w:val="16"/>
          <w:color w:val="auto"/>
        </w:rPr>
        <w:t>, and (ii) establish lock box service (the “</w:t>
      </w:r>
      <w:r>
        <w:rPr>
          <w:rFonts w:ascii="Arial" w:cs="Arial" w:eastAsia="Arial" w:hAnsi="Arial"/>
          <w:sz w:val="16"/>
          <w:szCs w:val="16"/>
          <w:u w:val="single" w:color="auto"/>
          <w:color w:val="auto"/>
        </w:rPr>
        <w:t>Lock Boxes</w:t>
      </w:r>
      <w:r>
        <w:rPr>
          <w:rFonts w:ascii="Arial" w:cs="Arial" w:eastAsia="Arial" w:hAnsi="Arial"/>
          <w:sz w:val="16"/>
          <w:szCs w:val="16"/>
          <w:color w:val="auto"/>
        </w:rPr>
        <w:t xml:space="preserve">”) with the bank(s) set forth in </w:t>
      </w:r>
      <w:r>
        <w:rPr>
          <w:rFonts w:ascii="Arial" w:cs="Arial" w:eastAsia="Arial" w:hAnsi="Arial"/>
          <w:sz w:val="16"/>
          <w:szCs w:val="16"/>
          <w:u w:val="single" w:color="auto"/>
          <w:color w:val="auto"/>
        </w:rPr>
        <w:t>Exhibit B</w:t>
      </w:r>
      <w:r>
        <w:rPr>
          <w:rFonts w:ascii="Arial" w:cs="Arial" w:eastAsia="Arial" w:hAnsi="Arial"/>
          <w:sz w:val="16"/>
          <w:szCs w:val="16"/>
          <w:color w:val="auto"/>
        </w:rPr>
        <w:t>, which Lock Boxes shall be subject to irrevocable lockbox agreements in the form provided by or otherwise acceptable to the Administrative Agent and shall be accompanied by an acknowledgment by the bank where the Lock Box is located of the Lien of the Administrative Agent granted hereunder and of irrevocable instructions to wire all amounts collected therein to the Collection Account (each, a “</w:t>
      </w:r>
      <w:r>
        <w:rPr>
          <w:rFonts w:ascii="Arial" w:cs="Arial" w:eastAsia="Arial" w:hAnsi="Arial"/>
          <w:sz w:val="16"/>
          <w:szCs w:val="16"/>
          <w:u w:val="single" w:color="auto"/>
          <w:color w:val="auto"/>
        </w:rPr>
        <w:t>Lock Box Agreement</w:t>
      </w:r>
      <w:r>
        <w:rPr>
          <w:rFonts w:ascii="Arial" w:cs="Arial" w:eastAsia="Arial" w:hAnsi="Arial"/>
          <w:sz w:val="16"/>
          <w:szCs w:val="16"/>
          <w:color w:val="auto"/>
        </w:rPr>
        <w:t>”). After the Closing Date, each Grantor will comply with the terms of Section 7.2.</w:t>
      </w:r>
    </w:p>
    <w:p>
      <w:pPr>
        <w:spacing w:after="0" w:line="168" w:lineRule="exact"/>
        <w:rPr>
          <w:rFonts w:ascii="Arial" w:cs="Arial" w:eastAsia="Arial" w:hAnsi="Arial"/>
          <w:sz w:val="16"/>
          <w:szCs w:val="16"/>
          <w:color w:val="auto"/>
        </w:rPr>
      </w:pPr>
    </w:p>
    <w:p>
      <w:pPr>
        <w:jc w:val="both"/>
        <w:ind w:left="660" w:firstLine="644"/>
        <w:spacing w:after="0" w:line="285" w:lineRule="auto"/>
        <w:tabs>
          <w:tab w:leader="none" w:pos="2466" w:val="left"/>
        </w:tabs>
        <w:numPr>
          <w:ilvl w:val="0"/>
          <w:numId w:val="224"/>
        </w:numPr>
        <w:rPr>
          <w:rFonts w:ascii="Arial" w:cs="Arial" w:eastAsia="Arial" w:hAnsi="Arial"/>
          <w:sz w:val="16"/>
          <w:szCs w:val="16"/>
          <w:color w:val="auto"/>
        </w:rPr>
      </w:pPr>
      <w:r>
        <w:rPr>
          <w:rFonts w:ascii="Arial" w:cs="Arial" w:eastAsia="Arial" w:hAnsi="Arial"/>
          <w:sz w:val="16"/>
          <w:szCs w:val="16"/>
          <w:color w:val="auto"/>
        </w:rPr>
        <w:t>Each Grantor shall direct all of its Account Debtors to forward payments directly (and the Grantors shall forward such payments directly to the extent any Account Debtor sends it to the Grantors notwithstanding such direction) to Lock Boxes subject to Lock Box Agreements or Collateral Deposit Accounts which (commencing forty-five (45) after the Closing Date (or such later date in Administrative Agent’s sole discretion)) are subject to Deposit Account Control Agreements (unless such Collateral Deposit Account is maintained with the Administrative Agent and the Administrative Agent elects to forgo a Deposit Account Control Agreement (it being understood that Administrative Agent may require such Deposit Account Control Agreement at any time)). The Administrative Agent shall have sole access to the Lock Boxes, the Collateral Deposit Accounts (other than Third Party Deposit Accounts during the forty-five (45) days after the Closing Date (or such later date in Administrative Agent’s sole discretion)), and the Collection Account at all times and each Grantor shall take all actions necessary to grant the Administrative Agent such sole access. At no time shall any Grantor remove any item from a Lock Box or a Collateral Deposit Account without the Administrative Agent’s prior written consent. If any Grantor should refuse or neglect to notify any Account Debtor to forward payments directly to a (i) Lock Box subject to a Lock Box Agreement or (ii) Collateral Deposit Accounts, which commencing forty-five (45) after the Closing Date (or such later date in Administrative Agent’s sole discretion), are subject to Deposit Account Control Agreements (unless such Collateral Deposit Account is maintained with the Administrative Agent and the Administrative Agent elects to forgo a Deposit Account Control Agreement (it being understood that Administrative Agent may require such Deposit Account Control Agreement at any time)), in each case, after notice from the Administrative Agent, the Administrative Agent shall be entitled to make such notification directly to such Account Debtor. If notwithstanding the foregoing instructions, any Grantor receives any proceeds of any Receivables, such Grantor shall receive such payments as the Administrative Agent’s trustee, and shall immediately deposit all cash, checks or other similar payments related to or constituting payments made in respect of Receivables received by it to a Collateral Deposit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5" w:name="page216"/>
    <w:bookmarkEnd w:id="215"/>
    <w:p>
      <w:pPr>
        <w:jc w:val="both"/>
        <w:ind w:left="660" w:firstLine="644"/>
        <w:spacing w:after="0" w:line="255" w:lineRule="auto"/>
        <w:tabs>
          <w:tab w:leader="none" w:pos="2246"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All funds deposited into any Lock Box subject to a Lock Box Agreement or a Collateral Deposit Account will be swept on a daily basis into a collection account maintained by such Grantor with the Administrative Agent (the “</w:t>
      </w:r>
      <w:r>
        <w:rPr>
          <w:rFonts w:ascii="Arial" w:cs="Arial" w:eastAsia="Arial" w:hAnsi="Arial"/>
          <w:sz w:val="18"/>
          <w:szCs w:val="18"/>
          <w:u w:val="single" w:color="auto"/>
          <w:color w:val="auto"/>
        </w:rPr>
        <w:t>Collection Account</w:t>
      </w:r>
      <w:r>
        <w:rPr>
          <w:rFonts w:ascii="Arial" w:cs="Arial" w:eastAsia="Arial" w:hAnsi="Arial"/>
          <w:sz w:val="18"/>
          <w:szCs w:val="18"/>
          <w:color w:val="auto"/>
        </w:rPr>
        <w:t>”). To the extent a Cash Dominion Period exists, Grantors shall cause funds contained in any Third Party Deposit Account not subject to a Deposit Account Control Agreement to be forwarded to the Collection Account at any time there is more than $100,000 in such Third Party Deposit Account, but in any event no less than once during each calendar week. The Administrative Agent shall hold and apply funds received into the Collection Account as provided by the terms of Section 7.3.</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Covenant Regarding New Deposit Accounts; Lock Boxes</w:t>
      </w:r>
      <w:r>
        <w:rPr>
          <w:rFonts w:ascii="Arial" w:cs="Arial" w:eastAsia="Arial" w:hAnsi="Arial"/>
          <w:sz w:val="17"/>
          <w:szCs w:val="17"/>
          <w:color w:val="auto"/>
        </w:rPr>
        <w:t>. Before opening or replacing any Collateral Deposit Account, other Deposit Account (other than a Petty Cash Account), or Securities Account, or establishing a new Lock Box, each Grantor shall (a) obtain the Administrative Agent’s consent in writing to the opening of such Collateral Deposit Account, other Deposit Account, or Securities Account or establishing of such Lock Box, and (b) cause each bank or financial institution in which it seeks to open (i) such Collateral Deposit Account, other Deposit Account or Securities Account, to enter into a Deposit Account Control Agreement or securities account control agreement (in each case, in form and substance reasonably satisfactory to the Administrative Agent) with the Administrative Agent in order to give the Administrative Agent Control of such Collateral Deposit Account, other Deposit Account or Securities Account and with respect to such Collateral Deposit Account, provide for a daily sweep into the Collection Account, or (ii) a Lock Box, to enter into a Lock Box Agreement with the Administrative Agent in order to give the Administrative Agent Control of the Lock Box and provide for a daily sweep into the Collection Account. In the case of Deposit Accounts, Securities Accounts, or Lock Boxes maintained with Lenders, the terms of such letter shall be subject to the provisions of the Credit Agreement regarding setoffs.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Application of Proceeds; Deficiency</w:t>
      </w:r>
      <w:r>
        <w:rPr>
          <w:rFonts w:ascii="Arial" w:cs="Arial" w:eastAsia="Arial" w:hAnsi="Arial"/>
          <w:sz w:val="17"/>
          <w:szCs w:val="17"/>
          <w:color w:val="auto"/>
        </w:rPr>
        <w:t xml:space="preserve">. All amounts deposited in the Collection Account shall be deemed received by the Administrative Agent in accordance with Section 2.18 of the Credit Agreement and shall, after having been credited to the Collection Account, be applied (and allocated) by Administrative Agent in accordance with Section 2.10(b) of the Credit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Cash Dominion Period exists, collections which are received into the Collection Account shall be deposited into the Borrower’s Funding Account rather than being used to reduce amounts owing under the Credit Agreement. The Administrative Agent shall require all other cash proceeds of the Collateral, which are not required to be applied to the Obligations pursuant to Section 2.11 of the Credit Agreement, to be deposited in a special non-interest bearing cash collateral account with the Administrative Agent and held there as security for the Secured Obligations. No Grantor shall have any control whatsoever over said cash collateral account. Any such proceeds of the Collateral shall be applied in the order set forth in Section 2.18 of the Credit Agreement unless a court of competent jurisdiction shall otherwise direct. The balance, if any, after all of the Secured Obligations have been satisfied, shall be deposited by the Administrative Agent into such Grantor’s general operating account with the Administrative Agent. The Grantors shall remain liable, jointly and severally, for any deficiency if the proceeds of any sale or disposition of the Collateral are insufficient to pay all Secured Obligations, including any attorneys’ fees and other expenses incurred by Administrative Agent or any other Secured Party to collect such deficiency.</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Waivers</w:t>
      </w:r>
      <w:r>
        <w:rPr>
          <w:rFonts w:ascii="Arial" w:cs="Arial" w:eastAsia="Arial" w:hAnsi="Arial"/>
          <w:sz w:val="17"/>
          <w:szCs w:val="17"/>
          <w:color w:val="auto"/>
        </w:rPr>
        <w:t>. Each Grantor hereby waives notice of the time and place of any public sale or the time after which any private sale or other disposition of all or any part of the Collateral may be made. To the extent such notice may not be waived under applicable law, any notice made shall be deemed reasonable if sent to the Grantors, addressed as set forth in Article IX, at least ten days prior to (a) the date of any such public sale or (b) the time after which any such private sale or other disposition may be made. To the maximum extent permitted by applicable law, each Grantor waives all claims, damages, and demands against the Administrative Agent or any other Secured Party arising out of the repossession, retention or sale of the Collateral, except such as arise solely out of the gross negligence or willful misconduct of the Administrative Agent or such other Secured Party as found by a final, non-appealable judgment of a court of competent jurisdiction. To the extent it may lawfully do so, each Grantor absolutely and irrevocably waives and relinquishes the benefit and advantage of, and covenants not to assert against the Administrative Agent or any other Secured Party, any valuation, stay, appraisal, extension, moratorium, redemption or similar laws and any and all rights or defenses it may have as a surety now or hereafter existing which, but for this provision, might be applicable to the sale of any Collateral made under the judgment, order or decree of any court, or privately under the power of sale conferred by this Security Agreement, or otherwise. Except as otherwise specifically provided herein, each Grantor hereby waives presentment, demand, protest or any notice (to the maximum extent permitted by applicable law) of any kind in connection with this Security Agreement or any Collateral.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6" w:name="page217"/>
    <w:bookmarkEnd w:id="216"/>
    <w:p>
      <w:pPr>
        <w:jc w:val="both"/>
        <w:ind w:firstLine="648"/>
        <w:spacing w:after="0" w:line="28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Limitation on Administrative Agent’s and Other Secured Parties’ Duty with Respect to the Collateral</w:t>
      </w:r>
      <w:r>
        <w:rPr>
          <w:rFonts w:ascii="Arial" w:cs="Arial" w:eastAsia="Arial" w:hAnsi="Arial"/>
          <w:sz w:val="16"/>
          <w:szCs w:val="16"/>
          <w:color w:val="auto"/>
        </w:rPr>
        <w:t>. The Administrative Agent shall have no obligation to clean-up or otherwise prepare the Collateral for sale. The Administrative Agent and each other Secured Party shall use reasonable care with respect to the Collateral in its possession or under its control. Neither the Administrative Agent nor any other Secured Party shall have any other duty as to any Collateral in its possession or control or in the possession or control of any agent or nominee of the Administrative Agent or such other Secured Party, or any income thereon or as to the preservation of rights against prior parties or any other rights pertaining thereto. To the extent that applicable law imposes duties on the Administrative Agent to exercise remedies in a commercially reasonable manner, each Grantor acknowledges and agrees that it is commercially reasonable for the Administrative Agent to (a) fail to incur expenses deemed significant by the Administrative Agent to prepare Collateral for disposition or otherwise to transform raw material or work in process into finished goods or other finished products for disposition,</w:t>
      </w:r>
    </w:p>
    <w:p>
      <w:pPr>
        <w:spacing w:after="0" w:line="1" w:lineRule="exact"/>
        <w:rPr>
          <w:sz w:val="20"/>
          <w:szCs w:val="20"/>
          <w:color w:val="auto"/>
        </w:rPr>
      </w:pPr>
    </w:p>
    <w:p>
      <w:pPr>
        <w:jc w:val="both"/>
        <w:ind w:firstLine="8"/>
        <w:spacing w:after="0" w:line="284" w:lineRule="auto"/>
        <w:tabs>
          <w:tab w:leader="none" w:pos="256" w:val="left"/>
        </w:tabs>
        <w:numPr>
          <w:ilvl w:val="0"/>
          <w:numId w:val="226"/>
        </w:numPr>
        <w:rPr>
          <w:rFonts w:ascii="Arial" w:cs="Arial" w:eastAsia="Arial" w:hAnsi="Arial"/>
          <w:sz w:val="16"/>
          <w:szCs w:val="16"/>
          <w:color w:val="auto"/>
        </w:rPr>
      </w:pPr>
      <w:r>
        <w:rPr>
          <w:rFonts w:ascii="Arial" w:cs="Arial" w:eastAsia="Arial" w:hAnsi="Arial"/>
          <w:sz w:val="16"/>
          <w:szCs w:val="16"/>
          <w:color w:val="auto"/>
        </w:rPr>
        <w:t>fail to obtain third party consents for access to Collateral to be disposed of, or to obtain or, if not required by other law, to fail to obtain governmental or third party consents for the collection or disposition of Collateral to be collected or disposed of, (c) fail to exercise collection remedies against Account Debtors or other Persons obligated on Collateral or to remove Liens on or any adverse claims against Collateral, (d) exercise collection remedies against Account Debtors and other Persons obligated on Collateral directly or through the use of collection agencies and other collection specialists, (e) advertise dispositions of Collateral through publications or media of general circulation, whether or not the Collateral is of a specialized nature, (f) contact other Persons, whether or not in the same business as such Grantor, for expressions of interest in acquiring all or any portion of the Collateral, (g) hire one or more professional auctioneers to assist in the disposition of Collateral, whether or not the Collateral is of a specialized nature, (h) dispose of Collateral by utilizing internet sites that provide for the auction of assets of the types included in the Collateral or that have the reasonable capacity of doing so, or that match buyers and sellers of assets, (i) dispose of assets in wholesale rather than retail markets, (j) disclaim disposition warranties, such as title, possession or quiet enjoyment, (k) purchase insurance or credit enhancements to insure the Administrative Agent against risks of loss, collection or disposition of Collateral or to provide to the Administrative Agent a guaranteed return from the collection or disposition of Collateral, or (l) the extent deemed appropriate by the Administrative Agent, to obtain the services of other brokers, investment bankers, consultants and other professionals to assist the Administrative Agent in the collection or disposition of any of the Collateral. Each Grantor acknowledges that the purpose of this Section 8.2 is to provide non-exhaustive indications of what actions or omissions by the Administrative Agent would be commercially reasonable in the Administrative Agent’s exercise of remedies against the Collateral and that other actions or omissions by the Administrative Agent shall not be deemed commercially unreasonable solely on account of not being indicated in this Section 8.2. Without limitation upon the foregoing, nothing contained in this Section 8.2 shall be construed to grant any rights to any Grantor or to impose any duties on the Administrative Agent that would not have been granted or imposed by this Security Agreement or by applicable law in the absence of this Section 8.2.</w:t>
      </w:r>
    </w:p>
    <w:p>
      <w:pPr>
        <w:spacing w:after="0" w:line="3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Compromises and Collection of Collateral</w:t>
      </w:r>
      <w:r>
        <w:rPr>
          <w:rFonts w:ascii="Arial" w:cs="Arial" w:eastAsia="Arial" w:hAnsi="Arial"/>
          <w:sz w:val="18"/>
          <w:szCs w:val="18"/>
          <w:color w:val="auto"/>
        </w:rPr>
        <w:t>. The Grantors and the Administrative Agent recognize that setoffs, counterclaims, defenses and other claims may be asserted by obligors with respect to certain of the Receivables, that certain of the Receivables may be or become uncollectible in whole or in part and that the expense and probability of success in litigating a disputed Receivable may exceed the amount that reasonably may be expected to be recovered with respect to a Receivable. In view of the foregoing, each Grantor agrees that the Administrative Agent may at any time and from time to time, if an Event of Default has occurred and is continuing, compromise with the obligor on any Receivable, accept in full payment of any Receivable such amount as the Administrative Agent in its sole discretion shall determine or abandon any Receivable, and any such action by the Administrative Agent shall be commercially reasonable so long as the Administrative Agent acts in good faith based on information known to it at the time it takes any such action.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Secured Party Performance of Debtor Obligations</w:t>
      </w:r>
      <w:r>
        <w:rPr>
          <w:rFonts w:ascii="Arial" w:cs="Arial" w:eastAsia="Arial" w:hAnsi="Arial"/>
          <w:sz w:val="18"/>
          <w:szCs w:val="18"/>
          <w:color w:val="auto"/>
        </w:rPr>
        <w:t>. Without having any obligation to do so, the Administrative Agent may perform or pay any obligation which any Grantor has agreed to perform or pay in this Security Agreement and the Grantors shall reimburse the Administrative Agent for any amounts paid by the Administrative Agent pursuant to this Section 8.4. The Grantors’ obligation to reimburse the Administrative Agent pursuant to the preceding sentence shall be a Secured Obligation payable on demand.</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Specific Performance of Certain Covenants</w:t>
      </w:r>
      <w:r>
        <w:rPr>
          <w:rFonts w:ascii="Arial" w:cs="Arial" w:eastAsia="Arial" w:hAnsi="Arial"/>
          <w:sz w:val="18"/>
          <w:szCs w:val="18"/>
          <w:color w:val="auto"/>
        </w:rPr>
        <w:t>. Each Grantor acknowledges and agrees that a breach of any of the covenants contained in Sections 4.1(d), 4.1(e), 4.4, 4.5, 4.6, 4.7, 4.8, 4.9, 4.10, 4.12, 4.13, 4.14, 4.15, 5.3, or 8.7 or in Article VII will cause irreparable injury to the Administrative Agent and the other Secured Parties, that the Administrative Agent and the other Secured Parties have no adequate remedy at law in respect of such breaches and therefore agrees, without limiting the right of the Administrative Agent or the other Secured Parties to seek and obtain specific performance of other obligations of the Grantors contained in this Security Agreement, that the covenants of the Grantors contained in the Sections referred to in this Section 8.5 shall be specifically enforceable against the Grantors.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7" w:name="page218"/>
    <w:bookmarkEnd w:id="217"/>
    <w:p>
      <w:pPr>
        <w:jc w:val="both"/>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Dispositions Not Authorized</w:t>
      </w:r>
      <w:r>
        <w:rPr>
          <w:rFonts w:ascii="Arial" w:cs="Arial" w:eastAsia="Arial" w:hAnsi="Arial"/>
          <w:sz w:val="18"/>
          <w:szCs w:val="18"/>
          <w:color w:val="auto"/>
        </w:rPr>
        <w:t>. No Grantor is authorized to sell or otherwise Dispose of the Collateral except as set forth in Section 4.1(d) and notwithstanding any course of dealing between any Grantor and the Administrative Agent or other conduct of the Administrative Agent, no authorization to sell or otherwise Dispose of the Collateral (except as set forth in Section 4.1(d)) shall be binding upon the Administrative Agent or the other Secured Parties unless such authorization is in writing signed by the Administrative Agent with the consent or at the direction of the Required Secured Parties.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8.7. </w:t>
      </w:r>
      <w:r>
        <w:rPr>
          <w:rFonts w:ascii="Arial" w:cs="Arial" w:eastAsia="Arial" w:hAnsi="Arial"/>
          <w:sz w:val="17"/>
          <w:szCs w:val="17"/>
          <w:u w:val="single" w:color="auto"/>
          <w:color w:val="auto"/>
        </w:rPr>
        <w:t>No Waiver; Amendments; Cumulative Remedies</w:t>
      </w:r>
      <w:r>
        <w:rPr>
          <w:rFonts w:ascii="Arial" w:cs="Arial" w:eastAsia="Arial" w:hAnsi="Arial"/>
          <w:sz w:val="17"/>
          <w:szCs w:val="17"/>
          <w:color w:val="auto"/>
        </w:rPr>
        <w:t>. No failure or delay by the Administrative Agent or any other Secured Party in exercising any right or power under this Security Agreement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and the other Secured Parties hereunder are cumulative and are not exclusive of any rights or remedies that they would otherwise have. No waiver of any provision of this Security Agreement or consent to any departure by the Grantors therefrom shall in any event be effective unless in writing signed by the Administrative Agent with the concurrence or at the direction of the Lenders required under Section 9.02 of the Credit Agreement and then only to the extent in such writing specifically set forth.</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Limitation by Law; Severability of Provisions</w:t>
      </w:r>
      <w:r>
        <w:rPr>
          <w:rFonts w:ascii="Arial" w:cs="Arial" w:eastAsia="Arial" w:hAnsi="Arial"/>
          <w:sz w:val="18"/>
          <w:szCs w:val="18"/>
          <w:color w:val="auto"/>
        </w:rPr>
        <w:t>. All rights, remedies and powers provided in this Security Agreement may be exercised only to the extent that the exercise thereof does not violate any applicable provision of law, and all the provisions of this Security Agreement are intended to be subject to all applicable mandatory provisions of law that may be controlling and to be limited to the extent necessary so that they shall not render this Security Agreement invalid, unenforceable or not entitled to be recorded or registered, in whole or in part. Any provision in this Security Agreement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and to this end the provisions of this Security Agreement are declared to be severable.</w:t>
      </w:r>
    </w:p>
    <w:p>
      <w:pPr>
        <w:spacing w:after="0" w:line="19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Reinstatement</w:t>
      </w:r>
      <w:r>
        <w:rPr>
          <w:rFonts w:ascii="Arial" w:cs="Arial" w:eastAsia="Arial" w:hAnsi="Arial"/>
          <w:sz w:val="17"/>
          <w:szCs w:val="17"/>
          <w:color w:val="auto"/>
        </w:rPr>
        <w:t>. This Security Agreement shall remain in full force and effect and continue to be effective should any petition be filed by or against any Grantor for liquidation or reorganization, should any Grantor become insolvent or make an assignment for the benefit of any creditor or creditors or should a receiver or trustee be appointed for all or any significant part of any Grantor’s assets, and shall continue to be effective or be reinstated, as the case may be, if at any time payment and performance of the Secured Obligations, or any part thereof (including a payment effected through exercise of a right of setoff), is, pursuant to applicable law, rescinded or reduced in amount, or must otherwise be restored or returned by any obligee of the Secured Obligations, whether as a “voidable preference,” “fraudulent conveyance,” or otherwise (including pursuant to any settlement entered into by a Secured Party in its discretion), all as though such payment or performance had not been made. In the event that any payment, or any part thereof (including a payment effected through exercise of a right of setoff), is rescinded, reduced, restored or returned, the Secured Obligations shall be reinstated and deemed reduced only by such amount paid and not so rescinded, reduced, restored or returned.</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8.10. </w:t>
      </w:r>
      <w:r>
        <w:rPr>
          <w:rFonts w:ascii="Arial" w:cs="Arial" w:eastAsia="Arial" w:hAnsi="Arial"/>
          <w:sz w:val="17"/>
          <w:szCs w:val="17"/>
          <w:u w:val="single" w:color="auto"/>
          <w:color w:val="auto"/>
        </w:rPr>
        <w:t>Benefit of Agreement</w:t>
      </w:r>
      <w:r>
        <w:rPr>
          <w:rFonts w:ascii="Arial" w:cs="Arial" w:eastAsia="Arial" w:hAnsi="Arial"/>
          <w:sz w:val="17"/>
          <w:szCs w:val="17"/>
          <w:color w:val="auto"/>
        </w:rPr>
        <w:t>. The terms and provisions of this Security Agreement shall be binding upon and inure to the benefit of the Grantors, the Administrative Agent and the other Secured Parties and their respective successors and assigns (including all persons who become bound as under this Security Agreement as a Grantor), except that no Grantor shall have the right to assign its rights or delegate its obligations under this Security Agreement or any interest herein, without the prior written consent of the Administrative Agent. No sales of participations, assignments, transfers, or other dispositions of any agreement governing the Secured Obligations or any portion thereof or interest therein shall in any manner impair the Lien granted to the Administrative Agent, for the benefit of the Administrative Agent and the other Secured Parties, hereunder.</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8.11. </w:t>
      </w:r>
      <w:r>
        <w:rPr>
          <w:rFonts w:ascii="Arial" w:cs="Arial" w:eastAsia="Arial" w:hAnsi="Arial"/>
          <w:sz w:val="18"/>
          <w:szCs w:val="18"/>
          <w:u w:val="single" w:color="auto"/>
          <w:color w:val="auto"/>
        </w:rPr>
        <w:t>Survival of Representations</w:t>
      </w:r>
      <w:r>
        <w:rPr>
          <w:rFonts w:ascii="Arial" w:cs="Arial" w:eastAsia="Arial" w:hAnsi="Arial"/>
          <w:sz w:val="18"/>
          <w:szCs w:val="18"/>
          <w:color w:val="auto"/>
        </w:rPr>
        <w:t>. All representations and warranties of the Grantors contained in this Security Agreement shall survive the execution and delivery of this Security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8.12. </w:t>
      </w:r>
      <w:r>
        <w:rPr>
          <w:rFonts w:ascii="Arial" w:cs="Arial" w:eastAsia="Arial" w:hAnsi="Arial"/>
          <w:sz w:val="18"/>
          <w:szCs w:val="18"/>
          <w:u w:val="single" w:color="auto"/>
          <w:color w:val="auto"/>
        </w:rPr>
        <w:t>Taxes and Expenses</w:t>
      </w:r>
      <w:r>
        <w:rPr>
          <w:rFonts w:ascii="Arial" w:cs="Arial" w:eastAsia="Arial" w:hAnsi="Arial"/>
          <w:sz w:val="18"/>
          <w:szCs w:val="18"/>
          <w:color w:val="auto"/>
        </w:rPr>
        <w:t>. Any taxes (including income taxes) payable or ruled payable by Federal or State authority in respect of this Security Agreement shall be paid by the Grantors, together with interest and penalties, if any. Section 9.03(a) of the Credit Agreement is hereby incorporated by reference mutatis mutandis as if stated verbatim herein as agreements and obligations of each Grantor.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8" w:name="page219"/>
    <w:bookmarkEnd w:id="218"/>
    <w:p>
      <w:pPr>
        <w:jc w:val="both"/>
        <w:ind w:firstLine="648"/>
        <w:spacing w:after="0" w:line="277" w:lineRule="auto"/>
        <w:rPr>
          <w:sz w:val="20"/>
          <w:szCs w:val="20"/>
          <w:color w:val="auto"/>
        </w:rPr>
      </w:pPr>
      <w:r>
        <w:rPr>
          <w:rFonts w:ascii="Arial" w:cs="Arial" w:eastAsia="Arial" w:hAnsi="Arial"/>
          <w:sz w:val="18"/>
          <w:szCs w:val="18"/>
          <w:color w:val="auto"/>
        </w:rPr>
        <w:t xml:space="preserve">8.13. </w:t>
      </w:r>
      <w:r>
        <w:rPr>
          <w:rFonts w:ascii="Arial" w:cs="Arial" w:eastAsia="Arial" w:hAnsi="Arial"/>
          <w:sz w:val="18"/>
          <w:szCs w:val="18"/>
          <w:u w:val="single" w:color="auto"/>
          <w:color w:val="auto"/>
        </w:rPr>
        <w:t>Headings</w:t>
      </w:r>
      <w:r>
        <w:rPr>
          <w:rFonts w:ascii="Arial" w:cs="Arial" w:eastAsia="Arial" w:hAnsi="Arial"/>
          <w:sz w:val="18"/>
          <w:szCs w:val="18"/>
          <w:color w:val="auto"/>
        </w:rPr>
        <w:t>. The title of and section headings in this Security Agreement are for convenience of reference only, and shall not govern the interpretation of any of the terms and provisions of this Security Agreement.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8.14. </w:t>
      </w:r>
      <w:r>
        <w:rPr>
          <w:rFonts w:ascii="Arial" w:cs="Arial" w:eastAsia="Arial" w:hAnsi="Arial"/>
          <w:sz w:val="18"/>
          <w:szCs w:val="18"/>
          <w:u w:val="single" w:color="auto"/>
          <w:color w:val="auto"/>
        </w:rPr>
        <w:t>Termination</w:t>
      </w:r>
      <w:r>
        <w:rPr>
          <w:rFonts w:ascii="Arial" w:cs="Arial" w:eastAsia="Arial" w:hAnsi="Arial"/>
          <w:sz w:val="18"/>
          <w:szCs w:val="18"/>
          <w:color w:val="auto"/>
        </w:rPr>
        <w:t>. This Security Agreement shall continue in effect (notwithstanding the fact that from time to time there may be no Secured Obligations outstanding) until (a) the Credit Agreement has terminated pursuant to its express terms and (b) all of the Secured Obligations have been Paid in Full.</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8.15.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Security Agreement and the other Loan Documents embody the entire agreement and understanding between the Grantors and the Administrative Agent relating to the Collateral and supersedes all prior agreements and understandings between the Grantors and the Administrative Agent relating to the Collateral.</w:t>
      </w:r>
    </w:p>
    <w:p>
      <w:pPr>
        <w:spacing w:after="0" w:line="18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auto"/>
        </w:rPr>
        <w:t>8.16.</w:t>
      </w:r>
      <w:r>
        <w:rPr>
          <w:sz w:val="20"/>
          <w:szCs w:val="20"/>
          <w:color w:val="auto"/>
        </w:rPr>
        <w:tab/>
      </w: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THIS SECURITY AGREEMENT SHALL BE GOVERNED BY, AND CONSTRUED IN ACCORDANCE</w:t>
      </w:r>
    </w:p>
    <w:p>
      <w:pPr>
        <w:spacing w:after="0" w:line="2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b w:val="1"/>
          <w:bCs w:val="1"/>
          <w:color w:val="auto"/>
        </w:rPr>
        <w:t>WITH, THE INTERNAL LAWS OF THE STATE OF CALIFORNIA, WITHOUT REGARD FOR CONFLICT OF LAW PRINCIPLES, BUT GIVING EFFECT TO FEDERAL LAWS APPLICABLE TO NATIONAL BANKS.</w:t>
      </w:r>
    </w:p>
    <w:p>
      <w:pPr>
        <w:spacing w:after="0" w:line="18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18"/>
          <w:szCs w:val="18"/>
          <w:color w:val="auto"/>
        </w:rPr>
        <w:t>8.17.</w:t>
      </w:r>
      <w:r>
        <w:rPr>
          <w:sz w:val="20"/>
          <w:szCs w:val="20"/>
          <w:color w:val="auto"/>
        </w:rPr>
        <w:tab/>
      </w: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EACH GRANTOR HEREBY IRREVOCABLY SUBMITS, FOR ITSELF AND ITS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PROPERTY, TO THE EXCLUSIVE JURISDICTION OF ANY U.S. FEDERAL OR CALIFORNIA STATE COURT SITTING IN LOS ANGELES, CALIFORNIA IN ANY ACTION OR PROCEEDING ARISING OUT OF OR RELATING TO THIS SECURITY AGREEMENT OR ANY OTHER LOAN DOCUMENT, OR FOR RECOGNITION OR ENFORCEMENT OF ANY JUDGMENT AND EACH GRANTOR HEREBY IRREVOCABLY AND UNCONDITIONALLY AGREES THAT ALL CLAIMS IN RESPECT OF SUCH ACTION OR PROCEEDING MAY BE HEARD AND DETERMINED IN ANY SUCH COURT AND IRREVOCABLY AND UNCONDITIONALLY WAIVES, TO THE FULLEST EXTENT IT MAY LEGALLY AND EFFECTIVELY DO SO, ANY OBJECTION IT MAY NOW OR HEREAFTER HAVE AS TO THE VENUE OF ANY SUCH SUIT, ACTION OR PROCEEDING BROUGHT IN SUCH A COURT OR THAT SUCH COURT IS AN INCONVENIENT FORUM. EACH OF THE PARTIES HERETO AGREES THAT A FINAL JUDGMENT IN ANY SUCH ACTION OR PROCEEDING SHALL BE CONCLUSIVE AND MAY BE ENFORCED IN OTHER JURISDICTIONS BY SUIT ON THE JUDGMENT OR IN ANY OTHER MANNER PROVIDED BY LAW. NOTHING HEREIN SHALL AFFECT THE RIGHT OF THE ADMINISTRATIVE AGENT OR ANY LENDER TO BRING PROCEEDINGS AGAINST ANY GRANTOR IN THE COURTS OF ANY OTHER JURISDICTION. ANY JUDICIAL PROCEEDING BY ANY GRANTOR AGAINST THE ADMINISTRATIVE AGENT OR ANY LENDER OR ANY AFFILIATE OF THE ADMINISTRATIVE AGENT OR ANY LENDER INVOLVING, DIRECTLY OR INDIRECTLY, ANY MATTER IN ANY WAY ARISING OUT OF, RELATED TO OR CONNECTED WITH THIS SECURITY AGREEMENT OR ANY OTHER LOAN DOCUMENT SHALL BE BROUGHT ONLY IN A COURT IN LOS ANGELES, CALIFORNIA.</w:t>
      </w:r>
    </w:p>
    <w:p>
      <w:pPr>
        <w:spacing w:after="0" w:line="191"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8.18.</w:t>
      </w:r>
      <w:r>
        <w:rPr>
          <w:sz w:val="20"/>
          <w:szCs w:val="20"/>
          <w:color w:val="auto"/>
        </w:rPr>
        <w:tab/>
      </w:r>
      <w:r>
        <w:rPr>
          <w:rFonts w:ascii="Arial" w:cs="Arial" w:eastAsia="Arial" w:hAnsi="Arial"/>
          <w:sz w:val="18"/>
          <w:szCs w:val="18"/>
          <w:b w:val="1"/>
          <w:bCs w:val="1"/>
          <w:u w:val="single" w:color="auto"/>
          <w:color w:val="auto"/>
        </w:rPr>
        <w:t>WAIVER OF JURY TRIAL; JUDICIAL REFERENCE</w:t>
      </w:r>
      <w:r>
        <w:rPr>
          <w:rFonts w:ascii="Arial" w:cs="Arial" w:eastAsia="Arial" w:hAnsi="Arial"/>
          <w:sz w:val="18"/>
          <w:szCs w:val="18"/>
          <w:b w:val="1"/>
          <w:bCs w:val="1"/>
          <w:color w:val="auto"/>
        </w:rPr>
        <w:t>. (a) EACH PARTY HERETO HEREBY WAIVES, TO THE</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b w:val="1"/>
          <w:bCs w:val="1"/>
          <w:color w:val="auto"/>
        </w:rPr>
        <w:t>FULLEST EXTENT PERMITTED BY APPLICABLE LAW, ANY RIGHT IT MAY HAVE TO A TRIAL BY JURY IN ANY LEGAL PROCEEDING DIRECTLY OR INDIRECTLY ARISING OUT OF OR RELATING TO THIS SECURITY AGREEMENT, ANY OTHER LOAN DOCUMENT OR THE TRANSACTIONS CONTEMPLATED HEREBY OR THEREBY (WHETHER BASED ON CONTRACT, TORT OR ANY OTHER THEORY). EACH PARTY HERETO (A) CERTIFIES THAT NO REPRESENTATIVE OR OTHER AGENT (INCLUDING ANY ATTORNEY) OF ANY OTHER PARTY HAS REPRESENTED, EXPRESSLY OR OTHERWISE, THAT SUCH OTHER PARTY WOULD NOT, IN THE EVENT OF LITIGATION, SEEK TO ENFORCE THE FOREGOING WAIVER AND (B) ACKNOWLEDGES THAT IT AND THE OTHER PARTIES HERETO HAVE BEEN INDUCED TO ENTER INTO THIS SECURITY AGREEMENT BY, AMONG OTHER THINGS, THE MUTUAL WAIVERS AND CERTIFICATIONS IN THIS SECTION.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19" w:name="page220"/>
    <w:bookmarkEnd w:id="219"/>
    <w:p>
      <w:pPr>
        <w:jc w:val="both"/>
        <w:ind w:left="-20" w:firstLine="1304"/>
        <w:spacing w:after="0" w:line="256" w:lineRule="auto"/>
        <w:tabs>
          <w:tab w:leader="none" w:pos="2259"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IN THE EVENT ANY LEGAL PROCEEDING IS FILED IN A COURT OF THE STATE OF CALIFORNIA (THE “</w:t>
      </w:r>
      <w:r>
        <w:rPr>
          <w:rFonts w:ascii="Arial" w:cs="Arial" w:eastAsia="Arial" w:hAnsi="Arial"/>
          <w:sz w:val="18"/>
          <w:szCs w:val="18"/>
          <w:b w:val="1"/>
          <w:bCs w:val="1"/>
          <w:u w:val="single" w:color="auto"/>
          <w:color w:val="auto"/>
        </w:rPr>
        <w:t>COURT</w:t>
      </w:r>
      <w:r>
        <w:rPr>
          <w:rFonts w:ascii="Arial" w:cs="Arial" w:eastAsia="Arial" w:hAnsi="Arial"/>
          <w:sz w:val="18"/>
          <w:szCs w:val="18"/>
          <w:b w:val="1"/>
          <w:bCs w:val="1"/>
          <w:color w:val="auto"/>
        </w:rPr>
        <w:t>”) BY OR AGAINST EITHER PARTY HERETO IN CONNECTION WITH ANY CONTROVERSY, DISPUTE OR CLAIM DIRECTLY OR INDIRECTLY ARISING OUT OF OR RELATING TO THIS SECURITY AGREEMENT OR THE TRANSACTIONS CONTEMPLATED HEREBY (WHETHER BASED ON CONTRACT, TORT OR ANY OTHER THEORY) (EACH, A “</w:t>
      </w:r>
      <w:r>
        <w:rPr>
          <w:rFonts w:ascii="Arial" w:cs="Arial" w:eastAsia="Arial" w:hAnsi="Arial"/>
          <w:sz w:val="18"/>
          <w:szCs w:val="18"/>
          <w:b w:val="1"/>
          <w:bCs w:val="1"/>
          <w:u w:val="single" w:color="auto"/>
          <w:color w:val="auto"/>
        </w:rPr>
        <w:t>CLAIM</w:t>
      </w:r>
      <w:r>
        <w:rPr>
          <w:rFonts w:ascii="Arial" w:cs="Arial" w:eastAsia="Arial" w:hAnsi="Arial"/>
          <w:sz w:val="18"/>
          <w:szCs w:val="18"/>
          <w:b w:val="1"/>
          <w:bCs w:val="1"/>
          <w:color w:val="auto"/>
        </w:rPr>
        <w:t>”) AND THE WAIVER SET FORTH IN THE PRECEDING PARAGRAPH IS NOT ENFORCEABLE IN SUCH ACTION OR PROCEEDING, EACH PARTY HERETO (BY ITS ACCEPTANCE HEREOF) AGREE AS FOLLOWS:</w:t>
      </w:r>
    </w:p>
    <w:p>
      <w:pPr>
        <w:spacing w:after="0" w:line="191" w:lineRule="exact"/>
        <w:rPr>
          <w:rFonts w:ascii="Arial" w:cs="Arial" w:eastAsia="Arial" w:hAnsi="Arial"/>
          <w:sz w:val="18"/>
          <w:szCs w:val="18"/>
          <w:color w:val="auto"/>
        </w:rPr>
      </w:pPr>
    </w:p>
    <w:p>
      <w:pPr>
        <w:jc w:val="both"/>
        <w:ind w:left="960" w:firstLine="648"/>
        <w:spacing w:after="0" w:line="253" w:lineRule="auto"/>
        <w:tabs>
          <w:tab w:leader="none" w:pos="2448"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WITH THE EXCEPTION OF THE MATTERS SPECIFIED IN </w:t>
      </w:r>
      <w:r>
        <w:rPr>
          <w:rFonts w:ascii="Arial" w:cs="Arial" w:eastAsia="Arial" w:hAnsi="Arial"/>
          <w:sz w:val="18"/>
          <w:szCs w:val="18"/>
          <w:u w:val="single" w:color="auto"/>
          <w:color w:val="auto"/>
        </w:rPr>
        <w:t>PARAGRAPH (ii)</w:t>
      </w:r>
      <w:r>
        <w:rPr>
          <w:rFonts w:ascii="Arial" w:cs="Arial" w:eastAsia="Arial" w:hAnsi="Arial"/>
          <w:sz w:val="18"/>
          <w:szCs w:val="18"/>
          <w:color w:val="auto"/>
        </w:rPr>
        <w:t xml:space="preserve"> BELOW, ANY CLAIM WILL BE DETERMINED BY A GENERAL REFERENCE PROCEEDING IN ACCORDANCE WITH THE PROVISIONS OF CALIFORNIA CODE OF CIVIL PROCEDURE SECTIONS 638 THROUGH 645.2, INCLUDING ANY REVISION OR REPLACEMENT OF SUCH STATUTES OR RULES HEREAFTER ENACTED. EACH PARTY HERETO INTEND THIS GENERAL REFERENCE AGREEMENT TO BE SPECIFICALLY ENFORCEABLE IN ACCORDANCE WITH CALIFORNIA CODE OF CIVIL PROCEDURE SECTION 638, INCLUDING ANY REVISION OR REPLACEMENT OF SUCH STATUTE OR RULE HEREAFTER ENACTED. EXCEPT AS OTHERWISE PROVIDED IN THIS AND THE OTHER RELATED DOCUMENTS, VENUE FOR THE REFERENCE PROCEEDING WILL BE IN THE STATE OR FEDERAL COURT IN THE COUNTY OR DISTRICT WHERE VENUE IS OTHERWISE APPROPRIATE UNDER APPLICABLE LAW.</w:t>
      </w:r>
    </w:p>
    <w:p>
      <w:pPr>
        <w:spacing w:after="0" w:line="196" w:lineRule="exact"/>
        <w:rPr>
          <w:rFonts w:ascii="Arial" w:cs="Arial" w:eastAsia="Arial" w:hAnsi="Arial"/>
          <w:sz w:val="18"/>
          <w:szCs w:val="18"/>
          <w:color w:val="auto"/>
        </w:rPr>
      </w:pPr>
    </w:p>
    <w:p>
      <w:pPr>
        <w:jc w:val="both"/>
        <w:ind w:left="960" w:firstLine="648"/>
        <w:spacing w:after="0" w:line="254" w:lineRule="auto"/>
        <w:tabs>
          <w:tab w:leader="none" w:pos="2273"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FOLLOWING MATTERS SHALL NOT BE SUBJECT TO A GENERAL REFERENCE PROCEEDING: (A) NON-JUDICIAL FORECLOSURE OF ANY SECURITY INTERESTS IN REAL OR PERSONAL PROPERTY; (B) EXERCISE OF SELF-HELP REMEDIES (INCLUDING, WITHOUT LIMITATION, SET-OFF); (C) APPOINTMENT OF A RECEIVER; AND (D) TEMPORARY, PROVISIONAL OR ANCILLARY REMEDIES (INCLUDING, WITHOUT LIMITATION, WRITS OF ATTACHMENT, WRITS OF POSSESSION, TEMPORARY RESTRAINING ORDERS OR PRELIMINARY INJUNCTIONS). THIS SECURITY AGREEMENT DOES NOT LIMIT THE RIGHT OF ANY PARTY HERETO TO EXERCISE OR OPPOSE ANY OF THE RIGHTS AND REMEDIES DESCRIBED IN CLAUSES (A) - (D) AND ANY SUCH EXERCISE OR OPPOSITION DOES NOT WAIVE THE RIGHT OF EACH PARTY HERETO TO A REFERENCE PROCEEDING PURSUANT TO THIS SECURITY AGREEMENT.</w:t>
      </w:r>
    </w:p>
    <w:p>
      <w:pPr>
        <w:spacing w:after="0" w:line="191" w:lineRule="exact"/>
        <w:rPr>
          <w:rFonts w:ascii="Arial" w:cs="Arial" w:eastAsia="Arial" w:hAnsi="Arial"/>
          <w:sz w:val="18"/>
          <w:szCs w:val="18"/>
          <w:color w:val="auto"/>
        </w:rPr>
      </w:pPr>
    </w:p>
    <w:p>
      <w:pPr>
        <w:jc w:val="both"/>
        <w:ind w:left="960" w:firstLine="648"/>
        <w:spacing w:after="0" w:line="257" w:lineRule="auto"/>
        <w:tabs>
          <w:tab w:leader="none" w:pos="226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UPON THE WRITTEN REQUEST OF ANY PARTY HERETO, EACH PARTY HERETO SHALL SELECT A SINGLE REFEREE, WHO SHALL BE A RETIRED JUDGE OR JUSTICE. IF THE PARTIES HERETO DO NOT AGREE UPON A REFEREE WITHIN TEN (10) DAYS OF SUCH WRITTEN REQUEST, THEN EACH PARTY HERETO MAY REQUEST THE COURT TO APPOINT A REFEREE PURSUANT TO CALIFORNIA CODE OF CIVIL PROCEDURE SECTION 640(B), INCLUDING ANY REVISION OR REPLACEMENT OF SUCH STATUTE OR RULE HEREAFTER ENACTED.</w:t>
      </w:r>
    </w:p>
    <w:p>
      <w:pPr>
        <w:spacing w:after="0" w:line="187" w:lineRule="exact"/>
        <w:rPr>
          <w:rFonts w:ascii="Arial" w:cs="Arial" w:eastAsia="Arial" w:hAnsi="Arial"/>
          <w:sz w:val="18"/>
          <w:szCs w:val="18"/>
          <w:color w:val="auto"/>
        </w:rPr>
      </w:pPr>
    </w:p>
    <w:p>
      <w:pPr>
        <w:jc w:val="both"/>
        <w:ind w:left="960" w:firstLine="648"/>
        <w:spacing w:after="0" w:line="255" w:lineRule="auto"/>
        <w:tabs>
          <w:tab w:leader="none" w:pos="229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 xml:space="preserve">ALL PROCEEDINGS AND HEARINGS CONDUCTED BEFORE THE REFEREE, EXCEPT FOR TRIAL, SHALL BE CONDUCTED WITHOUT A COURT REPORTER, EXCEPT WHEN EITHER PARTY HERETO SO REQUESTS, A COURT REPORTER WILL BE USED AND THE REFEREE WILL BE PROVIDED A COURTESY COPY OF THE TRANSCRIPT. THE PARTY MAKING SUCH REQUEST SHALL HAVE THE OBLIGATION TO ARRANGE FOR AND PAY COSTS OF THE COURT REPORTER,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COSTS, ALONG WITH THE REFEREE’S FEES, SHALL ULTIMATELY BE BORNE BY THE PARTY WHO DOES NOT PREVAIL, AS DETERMINED BY THE REFEREE.</w:t>
      </w:r>
    </w:p>
    <w:p>
      <w:pPr>
        <w:spacing w:after="0" w:line="192" w:lineRule="exact"/>
        <w:rPr>
          <w:rFonts w:ascii="Arial" w:cs="Arial" w:eastAsia="Arial" w:hAnsi="Arial"/>
          <w:sz w:val="18"/>
          <w:szCs w:val="18"/>
          <w:color w:val="auto"/>
        </w:rPr>
      </w:pPr>
    </w:p>
    <w:p>
      <w:pPr>
        <w:jc w:val="both"/>
        <w:ind w:left="960" w:firstLine="648"/>
        <w:spacing w:after="0" w:line="253" w:lineRule="auto"/>
        <w:tabs>
          <w:tab w:leader="none" w:pos="2335" w:val="left"/>
        </w:tabs>
        <w:numPr>
          <w:ilvl w:val="1"/>
          <w:numId w:val="227"/>
        </w:numPr>
        <w:rPr>
          <w:rFonts w:ascii="Arial" w:cs="Arial" w:eastAsia="Arial" w:hAnsi="Arial"/>
          <w:sz w:val="18"/>
          <w:szCs w:val="18"/>
          <w:color w:val="auto"/>
        </w:rPr>
      </w:pPr>
      <w:r>
        <w:rPr>
          <w:rFonts w:ascii="Arial" w:cs="Arial" w:eastAsia="Arial" w:hAnsi="Arial"/>
          <w:sz w:val="18"/>
          <w:szCs w:val="18"/>
          <w:color w:val="auto"/>
        </w:rPr>
        <w:t>THE REFEREE MAY REQUIRE ONE OR MORE PREHEARING CONFERENCES. EACH PARTY HERETO SHALL BE ENTITLED TO DISCOVERY, AND THE REFEREE SHALL OVERSEE DISCOVERY IN ACCORDANCE WITH THE RULES OF DISCOVERY, AND MAY ENFORCE ALL DISCOVERY ORDERS IN THE SAME MANNER AS ANY TRIAL COURT JUDGE IN PROCEEDINGS AT LAW IN THE STATE OF CALIFORNIA. THE REFEREE SHALL APPLY THE RULES OF EVIDENCE APPLICABLE TO PROCEEDINGS AT LAW IN THE STATE OF CALIFORNIA AND SHALL DETERMINE ALL ISSUES IN ACCORDANCE WITH APPLICABLE STATE AND FEDERAL LAW. THE REFEREE SHALL BE EMPOWERED TO ENTER EQUITABLE AS WELL AS LEGAL RELIEF AND RULE ON ANY MOTION WHICH WOULD BE AUTHORIZED IN A TRIAL, INCLUDING, WITHOUT LIMITATION, MOTIONS FOR DEFAULT JUDGMENT OR SUMMARY JUDGMENT. THE REFEREE SHALL REPORT THE REFEREE’S DECISION, WHICH REPORT SHALL ALSO INCLUDE FINDINGS OF FACT AND CONCLUSIONS OF LAW.</w:t>
      </w:r>
    </w:p>
    <w:p>
      <w:pPr>
        <w:spacing w:after="0" w:line="194" w:lineRule="exact"/>
        <w:rPr>
          <w:rFonts w:ascii="Arial" w:cs="Arial" w:eastAsia="Arial" w:hAnsi="Arial"/>
          <w:sz w:val="18"/>
          <w:szCs w:val="18"/>
          <w:color w:val="auto"/>
        </w:rPr>
      </w:pPr>
    </w:p>
    <w:p>
      <w:pPr>
        <w:ind w:left="960" w:right="20" w:firstLine="648"/>
        <w:spacing w:after="0" w:line="277" w:lineRule="auto"/>
        <w:tabs>
          <w:tab w:leader="none" w:pos="2241" w:val="left"/>
        </w:tabs>
        <w:numPr>
          <w:ilvl w:val="1"/>
          <w:numId w:val="227"/>
        </w:numPr>
        <w:rPr>
          <w:rFonts w:ascii="Arial" w:cs="Arial" w:eastAsia="Arial" w:hAnsi="Arial"/>
          <w:sz w:val="18"/>
          <w:szCs w:val="18"/>
          <w:color w:val="auto"/>
        </w:rPr>
      </w:pPr>
      <w:r>
        <w:rPr>
          <w:rFonts w:ascii="Arial" w:cs="Arial" w:eastAsia="Arial" w:hAnsi="Arial"/>
          <w:sz w:val="18"/>
          <w:szCs w:val="18"/>
          <w:color w:val="auto"/>
        </w:rPr>
        <w:t>EACH PARTY HERETO RECOGNIZE AND AGREE THAT ALL CLAIMS RESOLVED IN A GENERAL REFERENCE PROCEEDING PURSUANT HERETO WILL BE DECIDED BY A REFEREE AND NOT BY A JURY.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796" w:right="339" w:bottom="1440" w:gutter="0" w:footer="0" w:header="0"/>
        </w:sectPr>
      </w:pPr>
    </w:p>
    <w:bookmarkStart w:id="220" w:name="page221"/>
    <w:bookmarkEnd w:id="220"/>
    <w:p>
      <w:pPr>
        <w:jc w:val="both"/>
        <w:ind w:firstLine="648"/>
        <w:spacing w:after="0" w:line="269" w:lineRule="auto"/>
        <w:rPr>
          <w:sz w:val="20"/>
          <w:szCs w:val="20"/>
          <w:color w:val="auto"/>
        </w:rPr>
      </w:pPr>
      <w:r>
        <w:rPr>
          <w:rFonts w:ascii="Arial" w:cs="Arial" w:eastAsia="Arial" w:hAnsi="Arial"/>
          <w:sz w:val="17"/>
          <w:szCs w:val="17"/>
          <w:color w:val="auto"/>
        </w:rPr>
        <w:t xml:space="preserve">8.19. </w:t>
      </w:r>
      <w:r>
        <w:rPr>
          <w:rFonts w:ascii="Arial" w:cs="Arial" w:eastAsia="Arial" w:hAnsi="Arial"/>
          <w:sz w:val="17"/>
          <w:szCs w:val="17"/>
          <w:u w:val="single" w:color="auto"/>
          <w:color w:val="auto"/>
        </w:rPr>
        <w:t>Indemnity</w:t>
      </w:r>
      <w:r>
        <w:rPr>
          <w:rFonts w:ascii="Arial" w:cs="Arial" w:eastAsia="Arial" w:hAnsi="Arial"/>
          <w:sz w:val="17"/>
          <w:szCs w:val="17"/>
          <w:color w:val="auto"/>
        </w:rPr>
        <w:t>. Each Grantor hereby agrees to indemnify the Administrative Agent and the other Secured Parties, and their respective successors, assigns, officers, directors, advisors, agents and employees, from and against any and all liabilities, losses, claims (including intraparty claims), demands, damages, penalties, suits, fees, costs, and expenses of any kind and nature (including, without limitation, all expenses of litigation or preparation therefor whether or not the Administrative Agent or any other Secured Party is a party thereto) imposed on, incurred by or asserted against the Administrative Agent or the other Secured Parties, or their respective successors, assigns, officers, directors, advisors, agents and employees, in any way relating to or arising out of this Security Agreement, or the manufacture, purchase, acceptance, rejection, ownership, delivery, lease, possession, use, operation, condition, sale, return or other disposition of any Collateral (including, without limitation, latent and other defects, whether or not discoverable by the Administrative Agent or the other Secured Parties or any Grantor, and any claim for Patent, Trademark or Copyright infringement), except as due to the gross negligence or willful misconduct as determined by a court of competent jurisdiction by final and non-appealable of the Administrative Agent or Secured Parties.</w:t>
      </w:r>
    </w:p>
    <w:p>
      <w:pPr>
        <w:spacing w:after="0" w:line="1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8.20. </w:t>
      </w:r>
      <w:r>
        <w:rPr>
          <w:rFonts w:ascii="Arial" w:cs="Arial" w:eastAsia="Arial" w:hAnsi="Arial"/>
          <w:sz w:val="18"/>
          <w:szCs w:val="18"/>
          <w:u w:val="single" w:color="auto"/>
          <w:color w:val="auto"/>
        </w:rPr>
        <w:t>Counterparts</w:t>
      </w:r>
      <w:r>
        <w:rPr>
          <w:rFonts w:ascii="Arial" w:cs="Arial" w:eastAsia="Arial" w:hAnsi="Arial"/>
          <w:sz w:val="18"/>
          <w:szCs w:val="18"/>
          <w:color w:val="auto"/>
        </w:rPr>
        <w:t>. This Security Agreement may be executed in any number of counterparts, each of which shall be an original, and all of which, when taken together, shall constitute one agreement. Subject to the terms of the Credit Agreement, delivery of an executed counterpart of a signature page of this Security Agreement that is an Electronic Signature (as defined in the Credit Agreement) transmitted by facsimile, emailed pdf. or any other electronic means that reproduces an image of the actual executed signature page shall be effective as delivery of a manually executed counterpart of this Security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Sending Notices</w:t>
      </w:r>
      <w:r>
        <w:rPr>
          <w:rFonts w:ascii="Arial" w:cs="Arial" w:eastAsia="Arial" w:hAnsi="Arial"/>
          <w:sz w:val="16"/>
          <w:szCs w:val="16"/>
          <w:color w:val="auto"/>
        </w:rPr>
        <w:t>. Any notice required or permitted to be given under this Security Agreement shall be sent in accordance with Section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9.01 of the Credit Agreement.</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Change in Address for Notices</w:t>
      </w:r>
      <w:r>
        <w:rPr>
          <w:rFonts w:ascii="Arial" w:cs="Arial" w:eastAsia="Arial" w:hAnsi="Arial"/>
          <w:sz w:val="18"/>
          <w:szCs w:val="18"/>
          <w:color w:val="auto"/>
        </w:rPr>
        <w:t>. Each of the Grantors, the Administrative Agent and the Lenders may change the address for service of notice upon it by a notice in writing to the other parties.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ADMINISTRATIVE AGENT</w:t>
      </w:r>
    </w:p>
    <w:p>
      <w:pPr>
        <w:spacing w:after="0" w:line="21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JPMorgan Chase Bank, N.A. has been appointed Administrative Agent for the other Secured Parties hereunder pursuant to Article VIII of the Credit Agreement. It is expressly understood and agreed by the parties to this Security Agreement that any authority conferred upon the Administrative Agent hereunder is subject to the terms of the delegation of authority made by the Secured Parties to the Administrative Agent pursuant to Article VIII of the Credit Agreement, and that the Administrative Agent has agreed to act (and any successor Administrative Agent shall act) as such hereunder only on the express conditions contained in such Article VIII of the Credit Agreement. Any successor Administrative Agent appointed pursuant to Article VIII of the Credit Agreement shall be entitled to all the rights, interests and benefits of the Administrative Agent hereunder.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1" w:name="page222"/>
    <w:bookmarkEnd w:id="221"/>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Grantors and the Administrative Agent have executed this Security Agreement as of the date first above written.</w:t>
      </w:r>
    </w:p>
    <w:p>
      <w:pPr>
        <w:sectPr>
          <w:pgSz w:w="11900" w:h="16838" w:orient="portrait"/>
          <w:cols w:equalWidth="0" w:num="1">
            <w:col w:w="10340"/>
          </w:cols>
          <w:pgMar w:left="980" w:top="1440" w:right="579" w:bottom="1440" w:gutter="0" w:footer="0" w:header="0"/>
        </w:sectPr>
      </w:pPr>
    </w:p>
    <w:p>
      <w:pPr>
        <w:spacing w:after="0" w:line="248"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GRANTORS: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Kevin Vassily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E MARKETING SOLUTION INC,</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Kevin Vassily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GLOBAL PRODUCT MARKETING INC.,</w:t>
      </w:r>
    </w:p>
    <w:p>
      <w:pPr>
        <w:spacing w:after="0" w:line="3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Kevin Vassily</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as Administrative Agent</w:t>
      </w:r>
    </w:p>
    <w:p>
      <w:pPr>
        <w:spacing w:after="0" w:line="200" w:lineRule="exact"/>
        <w:rPr>
          <w:sz w:val="20"/>
          <w:szCs w:val="20"/>
          <w:color w:val="auto"/>
        </w:rPr>
      </w:pPr>
    </w:p>
    <w:p>
      <w:pPr>
        <w:spacing w:after="0" w:line="22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By:________________________</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Terry Luh</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29210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40"/>
          </w:cols>
          <w:pgMar w:left="980" w:top="1440" w:right="579" w:bottom="1440" w:gutter="0" w:footer="0" w:header="0"/>
          <w:type w:val="continuous"/>
        </w:sectPr>
      </w:pPr>
    </w:p>
    <w:bookmarkStart w:id="222" w:name="page223"/>
    <w:bookmarkEnd w:id="222"/>
    <w:p>
      <w:pPr>
        <w:jc w:val="center"/>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Sections 3.2, 3.3, 3.4, 3.9 and 9.1 of Security Agreement)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INFORMATION AND COLLATERAL LOCATIONS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IPOWER INC.</w:t>
      </w:r>
    </w:p>
    <w:p>
      <w:pPr>
        <w:spacing w:after="0" w:line="200" w:lineRule="exact"/>
        <w:rPr>
          <w:sz w:val="20"/>
          <w:szCs w:val="20"/>
          <w:color w:val="auto"/>
        </w:rPr>
      </w:pPr>
    </w:p>
    <w:p>
      <w:pPr>
        <w:spacing w:after="0" w:line="223" w:lineRule="exact"/>
        <w:rPr>
          <w:sz w:val="20"/>
          <w:szCs w:val="20"/>
          <w:color w:val="auto"/>
        </w:rPr>
      </w:pPr>
    </w:p>
    <w:p>
      <w:pPr>
        <w:ind w:left="740" w:hanging="732"/>
        <w:spacing w:after="0"/>
        <w:tabs>
          <w:tab w:leader="none" w:pos="740" w:val="left"/>
        </w:tabs>
        <w:numPr>
          <w:ilvl w:val="0"/>
          <w:numId w:val="228"/>
        </w:numPr>
        <w:rPr>
          <w:rFonts w:ascii="Arial" w:cs="Arial" w:eastAsia="Arial" w:hAnsi="Arial"/>
          <w:sz w:val="18"/>
          <w:szCs w:val="18"/>
          <w:color w:val="auto"/>
        </w:rPr>
      </w:pPr>
      <w:r>
        <w:rPr>
          <w:rFonts w:ascii="Arial" w:cs="Arial" w:eastAsia="Arial" w:hAnsi="Arial"/>
          <w:sz w:val="18"/>
          <w:szCs w:val="18"/>
          <w:b w:val="1"/>
          <w:bCs w:val="1"/>
          <w:color w:val="auto"/>
        </w:rPr>
        <w:t>Name of Grantor</w:t>
      </w:r>
      <w:r>
        <w:rPr>
          <w:rFonts w:ascii="Arial" w:cs="Arial" w:eastAsia="Arial" w:hAnsi="Arial"/>
          <w:sz w:val="18"/>
          <w:szCs w:val="18"/>
          <w:color w:val="auto"/>
        </w:rPr>
        <w:t>: iPower Inc.</w:t>
      </w:r>
    </w:p>
    <w:p>
      <w:pPr>
        <w:spacing w:after="0" w:line="225" w:lineRule="exact"/>
        <w:rPr>
          <w:sz w:val="20"/>
          <w:szCs w:val="20"/>
          <w:color w:val="auto"/>
        </w:rPr>
      </w:pPr>
    </w:p>
    <w:p>
      <w:pPr>
        <w:ind w:left="760" w:hanging="752"/>
        <w:spacing w:after="0"/>
        <w:tabs>
          <w:tab w:leader="none" w:pos="760" w:val="left"/>
        </w:tabs>
        <w:numPr>
          <w:ilvl w:val="0"/>
          <w:numId w:val="229"/>
        </w:numPr>
        <w:rPr>
          <w:rFonts w:ascii="Arial" w:cs="Arial" w:eastAsia="Arial" w:hAnsi="Arial"/>
          <w:sz w:val="18"/>
          <w:szCs w:val="18"/>
          <w:color w:val="auto"/>
        </w:rPr>
      </w:pPr>
      <w:r>
        <w:rPr>
          <w:rFonts w:ascii="Arial" w:cs="Arial" w:eastAsia="Arial" w:hAnsi="Arial"/>
          <w:sz w:val="18"/>
          <w:szCs w:val="18"/>
          <w:b w:val="1"/>
          <w:bCs w:val="1"/>
          <w:color w:val="auto"/>
        </w:rPr>
        <w:t>State of Incorporation or Organization</w:t>
      </w:r>
      <w:r>
        <w:rPr>
          <w:rFonts w:ascii="Arial" w:cs="Arial" w:eastAsia="Arial" w:hAnsi="Arial"/>
          <w:sz w:val="18"/>
          <w:szCs w:val="18"/>
          <w:color w:val="auto"/>
        </w:rPr>
        <w:t>: Nevada</w:t>
      </w:r>
    </w:p>
    <w:p>
      <w:pPr>
        <w:spacing w:after="0" w:line="225" w:lineRule="exact"/>
        <w:rPr>
          <w:sz w:val="20"/>
          <w:szCs w:val="20"/>
          <w:color w:val="auto"/>
        </w:rPr>
      </w:pPr>
    </w:p>
    <w:p>
      <w:pPr>
        <w:ind w:left="780" w:hanging="772"/>
        <w:spacing w:after="0"/>
        <w:tabs>
          <w:tab w:leader="none" w:pos="780" w:val="left"/>
        </w:tabs>
        <w:numPr>
          <w:ilvl w:val="0"/>
          <w:numId w:val="230"/>
        </w:numPr>
        <w:rPr>
          <w:rFonts w:ascii="Arial" w:cs="Arial" w:eastAsia="Arial" w:hAnsi="Arial"/>
          <w:sz w:val="18"/>
          <w:szCs w:val="18"/>
          <w:color w:val="auto"/>
        </w:rPr>
      </w:pPr>
      <w:r>
        <w:rPr>
          <w:rFonts w:ascii="Arial" w:cs="Arial" w:eastAsia="Arial" w:hAnsi="Arial"/>
          <w:sz w:val="18"/>
          <w:szCs w:val="18"/>
          <w:b w:val="1"/>
          <w:bCs w:val="1"/>
          <w:color w:val="auto"/>
        </w:rPr>
        <w:t>Type of Entity</w:t>
      </w:r>
      <w:r>
        <w:rPr>
          <w:rFonts w:ascii="Arial" w:cs="Arial" w:eastAsia="Arial" w:hAnsi="Arial"/>
          <w:sz w:val="18"/>
          <w:szCs w:val="18"/>
          <w:color w:val="auto"/>
        </w:rPr>
        <w:t>: Corporation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b w:val="1"/>
          <w:bCs w:val="1"/>
          <w:color w:val="auto"/>
        </w:rPr>
        <w:t>Organizational Number assigned by State of Incorporation or Organization</w:t>
      </w:r>
      <w:r>
        <w:rPr>
          <w:rFonts w:ascii="Arial" w:cs="Arial" w:eastAsia="Arial" w:hAnsi="Arial"/>
          <w:sz w:val="18"/>
          <w:szCs w:val="18"/>
          <w:color w:val="auto"/>
        </w:rPr>
        <w:t>: E0177432018-7</w:t>
      </w:r>
    </w:p>
    <w:p>
      <w:pPr>
        <w:spacing w:after="0" w:line="225" w:lineRule="exact"/>
        <w:rPr>
          <w:sz w:val="20"/>
          <w:szCs w:val="20"/>
          <w:color w:val="auto"/>
        </w:rPr>
      </w:pPr>
    </w:p>
    <w:p>
      <w:pPr>
        <w:ind w:left="740" w:hanging="732"/>
        <w:spacing w:after="0"/>
        <w:tabs>
          <w:tab w:leader="none" w:pos="74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Federal Identification Number</w:t>
      </w:r>
      <w:r>
        <w:rPr>
          <w:rFonts w:ascii="Arial" w:cs="Arial" w:eastAsia="Arial" w:hAnsi="Arial"/>
          <w:sz w:val="18"/>
          <w:szCs w:val="18"/>
          <w:color w:val="auto"/>
        </w:rPr>
        <w:t>: 82-5144171</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b w:val="1"/>
          <w:bCs w:val="1"/>
          <w:color w:val="auto"/>
        </w:rPr>
        <w:t xml:space="preserve">Place of Business </w:t>
      </w:r>
      <w:r>
        <w:rPr>
          <w:rFonts w:ascii="Arial" w:cs="Arial" w:eastAsia="Arial" w:hAnsi="Arial"/>
          <w:sz w:val="18"/>
          <w:szCs w:val="18"/>
          <w:color w:val="auto"/>
        </w:rPr>
        <w:t>(if it has only one)</w:t>
      </w:r>
      <w:r>
        <w:rPr>
          <w:rFonts w:ascii="Arial" w:cs="Arial" w:eastAsia="Arial" w:hAnsi="Arial"/>
          <w:sz w:val="18"/>
          <w:szCs w:val="18"/>
          <w:b w:val="1"/>
          <w:bCs w:val="1"/>
          <w:color w:val="auto"/>
        </w:rPr>
        <w:t xml:space="preserve"> or Chief Executive Office </w:t>
      </w:r>
      <w:r>
        <w:rPr>
          <w:rFonts w:ascii="Arial" w:cs="Arial" w:eastAsia="Arial" w:hAnsi="Arial"/>
          <w:sz w:val="18"/>
          <w:szCs w:val="18"/>
          <w:color w:val="auto"/>
        </w:rPr>
        <w:t>(if more than one place of business)</w:t>
      </w:r>
      <w:r>
        <w:rPr>
          <w:rFonts w:ascii="Arial" w:cs="Arial" w:eastAsia="Arial" w:hAnsi="Arial"/>
          <w:sz w:val="18"/>
          <w:szCs w:val="18"/>
          <w:b w:val="1"/>
          <w:bCs w:val="1"/>
          <w:color w:val="auto"/>
        </w:rPr>
        <w:t xml:space="preserve"> and Mailing Address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2399 Bateman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Duarte, CA 91010</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Attention: Kevin Vassily</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b w:val="1"/>
          <w:bCs w:val="1"/>
          <w:color w:val="auto"/>
        </w:rPr>
        <w:t>Locations of Collateral</w:t>
      </w:r>
      <w:r>
        <w:rPr>
          <w:rFonts w:ascii="Arial" w:cs="Arial" w:eastAsia="Arial" w:hAnsi="Arial"/>
          <w:sz w:val="18"/>
          <w:szCs w:val="18"/>
          <w:color w:val="auto"/>
        </w:rPr>
        <w:t>:</w:t>
      </w:r>
    </w:p>
    <w:p>
      <w:pPr>
        <w:spacing w:after="0" w:line="229" w:lineRule="exact"/>
        <w:rPr>
          <w:sz w:val="20"/>
          <w:szCs w:val="20"/>
          <w:color w:val="auto"/>
        </w:rPr>
      </w:pPr>
    </w:p>
    <w:p>
      <w:pPr>
        <w:ind w:left="1300" w:right="7640" w:hanging="644"/>
        <w:spacing w:after="0" w:line="500" w:lineRule="auto"/>
        <w:tabs>
          <w:tab w:leader="none" w:pos="1166"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Properties Owned by the Grantor</w:t>
      </w:r>
      <w:r>
        <w:rPr>
          <w:rFonts w:ascii="Arial" w:cs="Arial" w:eastAsia="Arial" w:hAnsi="Arial"/>
          <w:sz w:val="18"/>
          <w:szCs w:val="18"/>
          <w:color w:val="auto"/>
        </w:rPr>
        <w:t>: None.</w:t>
      </w:r>
    </w:p>
    <w:p>
      <w:pPr>
        <w:spacing w:after="0" w:line="1" w:lineRule="exact"/>
        <w:rPr>
          <w:rFonts w:ascii="Arial" w:cs="Arial" w:eastAsia="Arial" w:hAnsi="Arial"/>
          <w:sz w:val="18"/>
          <w:szCs w:val="18"/>
          <w:color w:val="auto"/>
        </w:rPr>
      </w:pPr>
    </w:p>
    <w:p>
      <w:pPr>
        <w:ind w:left="1180" w:hanging="524"/>
        <w:spacing w:after="0"/>
        <w:tabs>
          <w:tab w:leader="none" w:pos="118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Properties Leased by the Grantor</w:t>
      </w:r>
      <w:r>
        <w:rPr>
          <w:rFonts w:ascii="Arial" w:cs="Arial" w:eastAsia="Arial" w:hAnsi="Arial"/>
          <w:sz w:val="18"/>
          <w:szCs w:val="18"/>
          <w:color w:val="auto"/>
        </w:rPr>
        <w:t xml:space="preserve"> (Include Landlord’s Name):</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640" w:type="dxa"/>
            <w:vAlign w:val="bottom"/>
            <w:tcBorders>
              <w:top w:val="single" w:sz="8" w:color="auto"/>
              <w:left w:val="single" w:sz="8" w:color="auto"/>
              <w:bottom w:val="single" w:sz="8" w:color="auto"/>
              <w:right w:val="single" w:sz="8" w:color="auto"/>
            </w:tcBorders>
            <w:shd w:val="clear" w:color="auto" w:fill="BFBFBF"/>
          </w:tcPr>
          <w:p>
            <w:pPr>
              <w:ind w:left="2500"/>
              <w:spacing w:after="0"/>
              <w:rPr>
                <w:sz w:val="20"/>
                <w:szCs w:val="20"/>
                <w:color w:val="auto"/>
              </w:rPr>
            </w:pPr>
            <w:r>
              <w:rPr>
                <w:rFonts w:ascii="Arial" w:cs="Arial" w:eastAsia="Arial" w:hAnsi="Arial"/>
                <w:sz w:val="18"/>
                <w:szCs w:val="18"/>
                <w:b w:val="1"/>
                <w:bCs w:val="1"/>
                <w:color w:val="auto"/>
              </w:rPr>
              <w:t>Address</w:t>
            </w:r>
          </w:p>
        </w:tc>
        <w:tc>
          <w:tcPr>
            <w:tcW w:w="5600" w:type="dxa"/>
            <w:vAlign w:val="bottom"/>
            <w:tcBorders>
              <w:top w:val="single" w:sz="8" w:color="auto"/>
              <w:bottom w:val="single" w:sz="8" w:color="auto"/>
              <w:right w:val="single" w:sz="8" w:color="auto"/>
            </w:tcBorders>
            <w:shd w:val="clear" w:color="auto" w:fill="BFBFBF"/>
          </w:tcPr>
          <w:p>
            <w:pPr>
              <w:ind w:left="2420"/>
              <w:spacing w:after="0"/>
              <w:rPr>
                <w:sz w:val="20"/>
                <w:szCs w:val="20"/>
                <w:color w:val="auto"/>
              </w:rPr>
            </w:pPr>
            <w:r>
              <w:rPr>
                <w:rFonts w:ascii="Arial" w:cs="Arial" w:eastAsia="Arial" w:hAnsi="Arial"/>
                <w:sz w:val="18"/>
                <w:szCs w:val="18"/>
                <w:b w:val="1"/>
                <w:bCs w:val="1"/>
                <w:color w:val="auto"/>
              </w:rPr>
              <w:t>Landlord</w:t>
            </w:r>
          </w:p>
        </w:tc>
      </w:tr>
      <w:tr>
        <w:trPr>
          <w:trHeight w:val="195"/>
        </w:trPr>
        <w:tc>
          <w:tcPr>
            <w:tcW w:w="5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2399 Bateman Avenue</w:t>
            </w:r>
          </w:p>
        </w:tc>
        <w:tc>
          <w:tcPr>
            <w:tcW w:w="56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DDCC Group, LLC (Sublessor: BizRight, LLC)</w:t>
            </w:r>
          </w:p>
        </w:tc>
      </w:tr>
      <w:tr>
        <w:trPr>
          <w:trHeight w:val="230"/>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Duarte, CA 91010</w:t>
            </w:r>
          </w:p>
        </w:tc>
        <w:tc>
          <w:tcPr>
            <w:tcW w:w="5600" w:type="dxa"/>
            <w:vAlign w:val="bottom"/>
            <w:tcBorders>
              <w:bottom w:val="single" w:sz="8" w:color="auto"/>
              <w:right w:val="single" w:sz="8" w:color="auto"/>
            </w:tcBorders>
          </w:tcPr>
          <w:p>
            <w:pPr>
              <w:spacing w:after="0"/>
              <w:rPr>
                <w:sz w:val="20"/>
                <w:szCs w:val="20"/>
                <w:color w:val="auto"/>
              </w:rPr>
            </w:pPr>
          </w:p>
        </w:tc>
      </w:tr>
      <w:tr>
        <w:trPr>
          <w:trHeight w:val="195"/>
        </w:trPr>
        <w:tc>
          <w:tcPr>
            <w:tcW w:w="5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8798 E. 9th Street,</w:t>
            </w:r>
          </w:p>
        </w:tc>
        <w:tc>
          <w:tcPr>
            <w:tcW w:w="56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9th &amp; Vineyard, LLC</w:t>
            </w:r>
          </w:p>
        </w:tc>
      </w:tr>
      <w:tr>
        <w:trPr>
          <w:trHeight w:val="230"/>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Rancho Cucamonga, CA 91730</w:t>
            </w:r>
          </w:p>
        </w:tc>
        <w:tc>
          <w:tcPr>
            <w:tcW w:w="5600" w:type="dxa"/>
            <w:vAlign w:val="bottom"/>
            <w:tcBorders>
              <w:bottom w:val="single" w:sz="8" w:color="auto"/>
              <w:right w:val="single" w:sz="8" w:color="auto"/>
            </w:tcBorders>
          </w:tcPr>
          <w:p>
            <w:pPr>
              <w:spacing w:after="0"/>
              <w:rPr>
                <w:sz w:val="20"/>
                <w:szCs w:val="20"/>
                <w:color w:val="auto"/>
              </w:rPr>
            </w:pPr>
          </w:p>
        </w:tc>
      </w:tr>
      <w:tr>
        <w:trPr>
          <w:trHeight w:val="195"/>
        </w:trPr>
        <w:tc>
          <w:tcPr>
            <w:tcW w:w="56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14750 E. Nelson Ave., Unit 1,</w:t>
            </w:r>
          </w:p>
        </w:tc>
        <w:tc>
          <w:tcPr>
            <w:tcW w:w="56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Rexford Industrial – Nelson, LLC</w:t>
            </w:r>
          </w:p>
        </w:tc>
      </w:tr>
      <w:tr>
        <w:trPr>
          <w:trHeight w:val="230"/>
        </w:trPr>
        <w:tc>
          <w:tcPr>
            <w:tcW w:w="56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City of Industry, CA 91744</w:t>
            </w:r>
          </w:p>
        </w:tc>
        <w:tc>
          <w:tcPr>
            <w:tcW w:w="5600" w:type="dxa"/>
            <w:vAlign w:val="bottom"/>
            <w:tcBorders>
              <w:bottom w:val="single" w:sz="8" w:color="auto"/>
              <w:right w:val="single" w:sz="8" w:color="auto"/>
            </w:tcBorders>
          </w:tcPr>
          <w:p>
            <w:pPr>
              <w:spacing w:after="0"/>
              <w:rPr>
                <w:sz w:val="20"/>
                <w:szCs w:val="20"/>
                <w:color w:val="auto"/>
              </w:rPr>
            </w:pPr>
          </w:p>
        </w:tc>
      </w:tr>
    </w:tbl>
    <w:p>
      <w:pPr>
        <w:spacing w:after="0" w:line="202" w:lineRule="exact"/>
        <w:rPr>
          <w:sz w:val="20"/>
          <w:szCs w:val="20"/>
          <w:color w:val="auto"/>
        </w:rPr>
      </w:pPr>
    </w:p>
    <w:p>
      <w:pPr>
        <w:ind w:right="120" w:firstLine="656"/>
        <w:spacing w:after="0" w:line="277" w:lineRule="auto"/>
        <w:tabs>
          <w:tab w:leader="none" w:pos="1162"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Public Warehouses or other Locations pursuant to Bailment or Consignment Arrangements</w:t>
      </w:r>
      <w:r>
        <w:rPr>
          <w:rFonts w:ascii="Arial" w:cs="Arial" w:eastAsia="Arial" w:hAnsi="Arial"/>
          <w:sz w:val="18"/>
          <w:szCs w:val="18"/>
          <w:color w:val="auto"/>
        </w:rPr>
        <w:t xml:space="preserve"> (include name of Warehouse Operator or other Bailee or Consignee):</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6220" w:type="dxa"/>
            <w:vAlign w:val="bottom"/>
            <w:tcBorders>
              <w:top w:val="single" w:sz="8" w:color="auto"/>
              <w:left w:val="single" w:sz="8" w:color="auto"/>
              <w:bottom w:val="single" w:sz="8" w:color="auto"/>
              <w:right w:val="single" w:sz="8" w:color="auto"/>
            </w:tcBorders>
            <w:shd w:val="clear" w:color="auto" w:fill="BFBFBF"/>
          </w:tcPr>
          <w:p>
            <w:pPr>
              <w:ind w:left="2760"/>
              <w:spacing w:after="0"/>
              <w:rPr>
                <w:sz w:val="20"/>
                <w:szCs w:val="20"/>
                <w:color w:val="auto"/>
              </w:rPr>
            </w:pPr>
            <w:r>
              <w:rPr>
                <w:rFonts w:ascii="Arial" w:cs="Arial" w:eastAsia="Arial" w:hAnsi="Arial"/>
                <w:sz w:val="18"/>
                <w:szCs w:val="18"/>
                <w:b w:val="1"/>
                <w:bCs w:val="1"/>
                <w:color w:val="auto"/>
              </w:rPr>
              <w:t>Location</w:t>
            </w:r>
          </w:p>
        </w:tc>
        <w:tc>
          <w:tcPr>
            <w:tcW w:w="2240" w:type="dxa"/>
            <w:vAlign w:val="bottom"/>
            <w:tcBorders>
              <w:top w:val="single" w:sz="8" w:color="auto"/>
              <w:bottom w:val="single" w:sz="8" w:color="auto"/>
              <w:right w:val="single" w:sz="8" w:color="auto"/>
            </w:tcBorders>
            <w:shd w:val="clear" w:color="auto" w:fill="BFBFBF"/>
          </w:tcPr>
          <w:p>
            <w:pPr>
              <w:ind w:left="280"/>
              <w:spacing w:after="0"/>
              <w:rPr>
                <w:sz w:val="20"/>
                <w:szCs w:val="20"/>
                <w:color w:val="auto"/>
              </w:rPr>
            </w:pPr>
            <w:r>
              <w:rPr>
                <w:rFonts w:ascii="Arial" w:cs="Arial" w:eastAsia="Arial" w:hAnsi="Arial"/>
                <w:sz w:val="18"/>
                <w:szCs w:val="18"/>
                <w:b w:val="1"/>
                <w:bCs w:val="1"/>
                <w:color w:val="auto"/>
              </w:rPr>
              <w:t>Warehouse Operator</w:t>
            </w:r>
          </w:p>
        </w:tc>
        <w:tc>
          <w:tcPr>
            <w:tcW w:w="2780" w:type="dxa"/>
            <w:vAlign w:val="bottom"/>
            <w:tcBorders>
              <w:top w:val="single" w:sz="8" w:color="auto"/>
              <w:bottom w:val="single" w:sz="8" w:color="auto"/>
              <w:right w:val="single" w:sz="8" w:color="auto"/>
            </w:tcBorders>
            <w:shd w:val="clear" w:color="auto" w:fill="BFBFBF"/>
          </w:tcPr>
          <w:p>
            <w:pPr>
              <w:ind w:left="660"/>
              <w:spacing w:after="0"/>
              <w:rPr>
                <w:sz w:val="20"/>
                <w:szCs w:val="20"/>
                <w:color w:val="auto"/>
              </w:rPr>
            </w:pPr>
            <w:r>
              <w:rPr>
                <w:rFonts w:ascii="Arial" w:cs="Arial" w:eastAsia="Arial" w:hAnsi="Arial"/>
                <w:sz w:val="18"/>
                <w:szCs w:val="18"/>
                <w:b w:val="1"/>
                <w:bCs w:val="1"/>
                <w:color w:val="auto"/>
              </w:rPr>
              <w:t>Bailee or Cosignee</w:t>
            </w:r>
          </w:p>
        </w:tc>
      </w:tr>
      <w:tr>
        <w:trPr>
          <w:trHeight w:val="210"/>
        </w:trPr>
        <w:tc>
          <w:tcPr>
            <w:tcW w:w="62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Various Amazon Fulfillment Centers throughout the United States</w:t>
            </w:r>
          </w:p>
        </w:tc>
        <w:tc>
          <w:tcPr>
            <w:tcW w:w="22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Amazon</w:t>
            </w:r>
          </w:p>
        </w:tc>
        <w:tc>
          <w:tcPr>
            <w:tcW w:w="27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Amazon</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3" w:name="page224"/>
    <w:bookmarkEnd w:id="223"/>
    <w:p>
      <w:pPr>
        <w:jc w:val="center"/>
        <w:ind w:right="-79"/>
        <w:spacing w:after="0"/>
        <w:rPr>
          <w:sz w:val="20"/>
          <w:szCs w:val="20"/>
          <w:color w:val="auto"/>
        </w:rPr>
      </w:pPr>
      <w:r>
        <w:rPr>
          <w:rFonts w:ascii="Arial" w:cs="Arial" w:eastAsia="Arial" w:hAnsi="Arial"/>
          <w:sz w:val="18"/>
          <w:szCs w:val="18"/>
          <w:color w:val="auto"/>
        </w:rPr>
        <w:t>INFORMATION AND COLLATERAL LOCATIONS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 MARKETING SOLUTION INC.</w:t>
      </w:r>
    </w:p>
    <w:p>
      <w:pPr>
        <w:spacing w:after="0" w:line="200" w:lineRule="exact"/>
        <w:rPr>
          <w:sz w:val="20"/>
          <w:szCs w:val="20"/>
          <w:color w:val="auto"/>
        </w:rPr>
      </w:pPr>
    </w:p>
    <w:p>
      <w:pPr>
        <w:spacing w:after="0" w:line="223" w:lineRule="exact"/>
        <w:rPr>
          <w:sz w:val="20"/>
          <w:szCs w:val="20"/>
          <w:color w:val="auto"/>
        </w:rPr>
      </w:pPr>
    </w:p>
    <w:p>
      <w:pPr>
        <w:ind w:left="740" w:hanging="732"/>
        <w:spacing w:after="0"/>
        <w:tabs>
          <w:tab w:leader="none" w:pos="740" w:val="left"/>
        </w:tabs>
        <w:numPr>
          <w:ilvl w:val="0"/>
          <w:numId w:val="234"/>
        </w:numPr>
        <w:rPr>
          <w:rFonts w:ascii="Arial" w:cs="Arial" w:eastAsia="Arial" w:hAnsi="Arial"/>
          <w:sz w:val="18"/>
          <w:szCs w:val="18"/>
          <w:color w:val="auto"/>
        </w:rPr>
      </w:pPr>
      <w:r>
        <w:rPr>
          <w:rFonts w:ascii="Arial" w:cs="Arial" w:eastAsia="Arial" w:hAnsi="Arial"/>
          <w:sz w:val="18"/>
          <w:szCs w:val="18"/>
          <w:b w:val="1"/>
          <w:bCs w:val="1"/>
          <w:color w:val="auto"/>
        </w:rPr>
        <w:t>Name of Grantor</w:t>
      </w:r>
      <w:r>
        <w:rPr>
          <w:rFonts w:ascii="Arial" w:cs="Arial" w:eastAsia="Arial" w:hAnsi="Arial"/>
          <w:sz w:val="18"/>
          <w:szCs w:val="18"/>
          <w:color w:val="auto"/>
        </w:rPr>
        <w:t>: E Marketing Solution Inc.</w:t>
      </w:r>
    </w:p>
    <w:p>
      <w:pPr>
        <w:spacing w:after="0" w:line="225" w:lineRule="exact"/>
        <w:rPr>
          <w:sz w:val="20"/>
          <w:szCs w:val="20"/>
          <w:color w:val="auto"/>
        </w:rPr>
      </w:pPr>
    </w:p>
    <w:p>
      <w:pPr>
        <w:ind w:left="760" w:hanging="752"/>
        <w:spacing w:after="0"/>
        <w:tabs>
          <w:tab w:leader="none" w:pos="760" w:val="left"/>
        </w:tabs>
        <w:numPr>
          <w:ilvl w:val="0"/>
          <w:numId w:val="235"/>
        </w:numPr>
        <w:rPr>
          <w:rFonts w:ascii="Arial" w:cs="Arial" w:eastAsia="Arial" w:hAnsi="Arial"/>
          <w:sz w:val="18"/>
          <w:szCs w:val="18"/>
          <w:color w:val="auto"/>
        </w:rPr>
      </w:pPr>
      <w:r>
        <w:rPr>
          <w:rFonts w:ascii="Arial" w:cs="Arial" w:eastAsia="Arial" w:hAnsi="Arial"/>
          <w:sz w:val="18"/>
          <w:szCs w:val="18"/>
          <w:b w:val="1"/>
          <w:bCs w:val="1"/>
          <w:color w:val="auto"/>
        </w:rPr>
        <w:t>State of Incorporation or Organization</w:t>
      </w:r>
      <w:r>
        <w:rPr>
          <w:rFonts w:ascii="Arial" w:cs="Arial" w:eastAsia="Arial" w:hAnsi="Arial"/>
          <w:sz w:val="18"/>
          <w:szCs w:val="18"/>
          <w:color w:val="auto"/>
        </w:rPr>
        <w:t>: California</w:t>
      </w:r>
    </w:p>
    <w:p>
      <w:pPr>
        <w:spacing w:after="0" w:line="225" w:lineRule="exact"/>
        <w:rPr>
          <w:sz w:val="20"/>
          <w:szCs w:val="20"/>
          <w:color w:val="auto"/>
        </w:rPr>
      </w:pPr>
    </w:p>
    <w:p>
      <w:pPr>
        <w:ind w:left="780" w:hanging="772"/>
        <w:spacing w:after="0"/>
        <w:tabs>
          <w:tab w:leader="none" w:pos="780" w:val="left"/>
        </w:tabs>
        <w:numPr>
          <w:ilvl w:val="0"/>
          <w:numId w:val="236"/>
        </w:numPr>
        <w:rPr>
          <w:rFonts w:ascii="Arial" w:cs="Arial" w:eastAsia="Arial" w:hAnsi="Arial"/>
          <w:sz w:val="18"/>
          <w:szCs w:val="18"/>
          <w:color w:val="auto"/>
        </w:rPr>
      </w:pPr>
      <w:r>
        <w:rPr>
          <w:rFonts w:ascii="Arial" w:cs="Arial" w:eastAsia="Arial" w:hAnsi="Arial"/>
          <w:sz w:val="18"/>
          <w:szCs w:val="18"/>
          <w:b w:val="1"/>
          <w:bCs w:val="1"/>
          <w:color w:val="auto"/>
        </w:rPr>
        <w:t>Type of Entity</w:t>
      </w:r>
      <w:r>
        <w:rPr>
          <w:rFonts w:ascii="Arial" w:cs="Arial" w:eastAsia="Arial" w:hAnsi="Arial"/>
          <w:sz w:val="18"/>
          <w:szCs w:val="18"/>
          <w:color w:val="auto"/>
        </w:rPr>
        <w: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0" w:hanging="732"/>
        <w:spacing w:after="0"/>
        <w:tabs>
          <w:tab w:leader="none" w:pos="740" w:val="left"/>
        </w:tabs>
        <w:numPr>
          <w:ilvl w:val="0"/>
          <w:numId w:val="237"/>
        </w:numPr>
        <w:rPr>
          <w:rFonts w:ascii="Arial" w:cs="Arial" w:eastAsia="Arial" w:hAnsi="Arial"/>
          <w:sz w:val="18"/>
          <w:szCs w:val="18"/>
          <w:color w:val="auto"/>
        </w:rPr>
      </w:pPr>
      <w:r>
        <w:rPr>
          <w:rFonts w:ascii="Arial" w:cs="Arial" w:eastAsia="Arial" w:hAnsi="Arial"/>
          <w:sz w:val="18"/>
          <w:szCs w:val="18"/>
          <w:b w:val="1"/>
          <w:bCs w:val="1"/>
          <w:color w:val="auto"/>
        </w:rPr>
        <w:t>Federal Identification Number</w:t>
      </w:r>
      <w:r>
        <w:rPr>
          <w:rFonts w:ascii="Arial" w:cs="Arial" w:eastAsia="Arial" w:hAnsi="Arial"/>
          <w:sz w:val="18"/>
          <w:szCs w:val="18"/>
          <w:color w:val="auto"/>
        </w:rPr>
        <w:t>: 82-3323234</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b w:val="1"/>
          <w:bCs w:val="1"/>
          <w:color w:val="auto"/>
        </w:rPr>
        <w:t xml:space="preserve">Place of Business </w:t>
      </w:r>
      <w:r>
        <w:rPr>
          <w:rFonts w:ascii="Arial" w:cs="Arial" w:eastAsia="Arial" w:hAnsi="Arial"/>
          <w:sz w:val="18"/>
          <w:szCs w:val="18"/>
          <w:color w:val="auto"/>
        </w:rPr>
        <w:t>(if it has only one)</w:t>
      </w:r>
      <w:r>
        <w:rPr>
          <w:rFonts w:ascii="Arial" w:cs="Arial" w:eastAsia="Arial" w:hAnsi="Arial"/>
          <w:sz w:val="18"/>
          <w:szCs w:val="18"/>
          <w:b w:val="1"/>
          <w:bCs w:val="1"/>
          <w:color w:val="auto"/>
        </w:rPr>
        <w:t xml:space="preserve"> or Chief Executive Office </w:t>
      </w:r>
      <w:r>
        <w:rPr>
          <w:rFonts w:ascii="Arial" w:cs="Arial" w:eastAsia="Arial" w:hAnsi="Arial"/>
          <w:sz w:val="18"/>
          <w:szCs w:val="18"/>
          <w:color w:val="auto"/>
        </w:rPr>
        <w:t>(if more than one place of business)</w:t>
      </w:r>
      <w:r>
        <w:rPr>
          <w:rFonts w:ascii="Arial" w:cs="Arial" w:eastAsia="Arial" w:hAnsi="Arial"/>
          <w:sz w:val="18"/>
          <w:szCs w:val="18"/>
          <w:b w:val="1"/>
          <w:bCs w:val="1"/>
          <w:color w:val="auto"/>
        </w:rPr>
        <w:t xml:space="preserve"> and Mailing Address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2399 Bateman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Duarte, CA 91010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Kevin Vassily</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b w:val="1"/>
          <w:bCs w:val="1"/>
          <w:color w:val="auto"/>
        </w:rPr>
        <w:t>Locations of Collateral</w:t>
      </w:r>
      <w:r>
        <w:rPr>
          <w:rFonts w:ascii="Arial" w:cs="Arial" w:eastAsia="Arial" w:hAnsi="Arial"/>
          <w:sz w:val="18"/>
          <w:szCs w:val="18"/>
          <w:color w:val="auto"/>
        </w:rPr>
        <w:t>:</w:t>
      </w:r>
    </w:p>
    <w:p>
      <w:pPr>
        <w:spacing w:after="0" w:line="229" w:lineRule="exact"/>
        <w:rPr>
          <w:sz w:val="20"/>
          <w:szCs w:val="20"/>
          <w:color w:val="auto"/>
        </w:rPr>
      </w:pPr>
    </w:p>
    <w:p>
      <w:pPr>
        <w:ind w:left="1300" w:right="7560" w:hanging="644"/>
        <w:spacing w:after="0" w:line="500" w:lineRule="auto"/>
        <w:tabs>
          <w:tab w:leader="none" w:pos="1166"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Properties Owned by the Grantor</w:t>
      </w:r>
      <w:r>
        <w:rPr>
          <w:rFonts w:ascii="Arial" w:cs="Arial" w:eastAsia="Arial" w:hAnsi="Arial"/>
          <w:sz w:val="18"/>
          <w:szCs w:val="18"/>
          <w:color w:val="auto"/>
        </w:rPr>
        <w:t>: None.</w:t>
      </w:r>
    </w:p>
    <w:p>
      <w:pPr>
        <w:spacing w:after="0" w:line="1" w:lineRule="exact"/>
        <w:rPr>
          <w:rFonts w:ascii="Arial" w:cs="Arial" w:eastAsia="Arial" w:hAnsi="Arial"/>
          <w:sz w:val="18"/>
          <w:szCs w:val="18"/>
          <w:color w:val="auto"/>
        </w:rPr>
      </w:pPr>
    </w:p>
    <w:p>
      <w:pPr>
        <w:ind w:left="1300" w:right="5540" w:hanging="644"/>
        <w:spacing w:after="0" w:line="500" w:lineRule="auto"/>
        <w:tabs>
          <w:tab w:leader="none" w:pos="1177"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Properties Leased by the Grantor</w:t>
      </w:r>
      <w:r>
        <w:rPr>
          <w:rFonts w:ascii="Arial" w:cs="Arial" w:eastAsia="Arial" w:hAnsi="Arial"/>
          <w:sz w:val="18"/>
          <w:szCs w:val="18"/>
          <w:color w:val="auto"/>
        </w:rPr>
        <w:t xml:space="preserve"> (Include Landlord’s Name): None.</w:t>
      </w:r>
    </w:p>
    <w:p>
      <w:pPr>
        <w:spacing w:after="0" w:line="1" w:lineRule="exact"/>
        <w:rPr>
          <w:rFonts w:ascii="Arial" w:cs="Arial" w:eastAsia="Arial" w:hAnsi="Arial"/>
          <w:sz w:val="18"/>
          <w:szCs w:val="18"/>
          <w:color w:val="auto"/>
        </w:rPr>
      </w:pPr>
    </w:p>
    <w:p>
      <w:pPr>
        <w:ind w:firstLine="656"/>
        <w:spacing w:after="0" w:line="277" w:lineRule="auto"/>
        <w:tabs>
          <w:tab w:leader="none" w:pos="1207"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Public Warehouses or other Locations pursuant to Bailment or Consignment Arrangements</w:t>
      </w:r>
      <w:r>
        <w:rPr>
          <w:rFonts w:ascii="Arial" w:cs="Arial" w:eastAsia="Arial" w:hAnsi="Arial"/>
          <w:sz w:val="18"/>
          <w:szCs w:val="18"/>
          <w:color w:val="auto"/>
        </w:rPr>
        <w:t xml:space="preserve"> (include name of Warehouse Operator or other Bailee or Consignee):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800" w:right="419" w:bottom="1440" w:gutter="0" w:footer="0" w:header="0"/>
        </w:sectPr>
      </w:pPr>
    </w:p>
    <w:bookmarkStart w:id="224" w:name="page225"/>
    <w:bookmarkEnd w:id="224"/>
    <w:p>
      <w:pPr>
        <w:jc w:val="center"/>
        <w:ind w:right="-119"/>
        <w:spacing w:after="0"/>
        <w:rPr>
          <w:sz w:val="20"/>
          <w:szCs w:val="20"/>
          <w:color w:val="auto"/>
        </w:rPr>
      </w:pPr>
      <w:r>
        <w:rPr>
          <w:rFonts w:ascii="Arial" w:cs="Arial" w:eastAsia="Arial" w:hAnsi="Arial"/>
          <w:sz w:val="18"/>
          <w:szCs w:val="18"/>
          <w:color w:val="auto"/>
        </w:rPr>
        <w:t>INFORMATION AND COLLATERAL LOCATIONS</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GLOBAL PRODUCT MARKETING INC.</w:t>
      </w:r>
    </w:p>
    <w:p>
      <w:pPr>
        <w:spacing w:after="0" w:line="200" w:lineRule="exact"/>
        <w:rPr>
          <w:sz w:val="20"/>
          <w:szCs w:val="20"/>
          <w:color w:val="auto"/>
        </w:rPr>
      </w:pPr>
    </w:p>
    <w:p>
      <w:pPr>
        <w:spacing w:after="0" w:line="223" w:lineRule="exact"/>
        <w:rPr>
          <w:sz w:val="20"/>
          <w:szCs w:val="20"/>
          <w:color w:val="auto"/>
        </w:rPr>
      </w:pPr>
    </w:p>
    <w:p>
      <w:pPr>
        <w:ind w:left="740" w:hanging="732"/>
        <w:spacing w:after="0"/>
        <w:tabs>
          <w:tab w:leader="none" w:pos="74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Name of Grantor</w:t>
      </w:r>
      <w:r>
        <w:rPr>
          <w:rFonts w:ascii="Arial" w:cs="Arial" w:eastAsia="Arial" w:hAnsi="Arial"/>
          <w:sz w:val="18"/>
          <w:szCs w:val="18"/>
          <w:color w:val="auto"/>
        </w:rPr>
        <w:t>: Global Product Marketing Inc.</w:t>
      </w:r>
    </w:p>
    <w:p>
      <w:pPr>
        <w:spacing w:after="0" w:line="225" w:lineRule="exact"/>
        <w:rPr>
          <w:sz w:val="20"/>
          <w:szCs w:val="20"/>
          <w:color w:val="auto"/>
        </w:rPr>
      </w:pPr>
    </w:p>
    <w:p>
      <w:pPr>
        <w:ind w:left="760" w:hanging="752"/>
        <w:spacing w:after="0"/>
        <w:tabs>
          <w:tab w:leader="none" w:pos="760" w:val="left"/>
        </w:tabs>
        <w:numPr>
          <w:ilvl w:val="0"/>
          <w:numId w:val="240"/>
        </w:numPr>
        <w:rPr>
          <w:rFonts w:ascii="Arial" w:cs="Arial" w:eastAsia="Arial" w:hAnsi="Arial"/>
          <w:sz w:val="18"/>
          <w:szCs w:val="18"/>
          <w:color w:val="auto"/>
        </w:rPr>
      </w:pPr>
      <w:r>
        <w:rPr>
          <w:rFonts w:ascii="Arial" w:cs="Arial" w:eastAsia="Arial" w:hAnsi="Arial"/>
          <w:sz w:val="18"/>
          <w:szCs w:val="18"/>
          <w:b w:val="1"/>
          <w:bCs w:val="1"/>
          <w:color w:val="auto"/>
        </w:rPr>
        <w:t>State of Incorporation or Organization</w:t>
      </w:r>
      <w:r>
        <w:rPr>
          <w:rFonts w:ascii="Arial" w:cs="Arial" w:eastAsia="Arial" w:hAnsi="Arial"/>
          <w:sz w:val="18"/>
          <w:szCs w:val="18"/>
          <w:color w:val="auto"/>
        </w:rPr>
        <w:t>: Nevada</w:t>
      </w:r>
    </w:p>
    <w:p>
      <w:pPr>
        <w:spacing w:after="0" w:line="225" w:lineRule="exact"/>
        <w:rPr>
          <w:sz w:val="20"/>
          <w:szCs w:val="20"/>
          <w:color w:val="auto"/>
        </w:rPr>
      </w:pPr>
    </w:p>
    <w:p>
      <w:pPr>
        <w:ind w:left="780" w:hanging="772"/>
        <w:spacing w:after="0"/>
        <w:tabs>
          <w:tab w:leader="none" w:pos="780" w:val="left"/>
        </w:tabs>
        <w:numPr>
          <w:ilvl w:val="0"/>
          <w:numId w:val="241"/>
        </w:numPr>
        <w:rPr>
          <w:rFonts w:ascii="Arial" w:cs="Arial" w:eastAsia="Arial" w:hAnsi="Arial"/>
          <w:sz w:val="18"/>
          <w:szCs w:val="18"/>
          <w:color w:val="auto"/>
        </w:rPr>
      </w:pPr>
      <w:r>
        <w:rPr>
          <w:rFonts w:ascii="Arial" w:cs="Arial" w:eastAsia="Arial" w:hAnsi="Arial"/>
          <w:sz w:val="18"/>
          <w:szCs w:val="18"/>
          <w:b w:val="1"/>
          <w:bCs w:val="1"/>
          <w:color w:val="auto"/>
        </w:rPr>
        <w:t>Type of Entity</w:t>
      </w:r>
      <w:r>
        <w:rPr>
          <w:rFonts w:ascii="Arial" w:cs="Arial" w:eastAsia="Arial" w:hAnsi="Arial"/>
          <w:sz w:val="18"/>
          <w:szCs w:val="18"/>
          <w:color w:val="auto"/>
        </w:rPr>
        <w: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40" w:hanging="732"/>
        <w:spacing w:after="0"/>
        <w:tabs>
          <w:tab w:leader="none" w:pos="740" w:val="left"/>
        </w:tabs>
        <w:numPr>
          <w:ilvl w:val="0"/>
          <w:numId w:val="242"/>
        </w:numPr>
        <w:rPr>
          <w:rFonts w:ascii="Arial" w:cs="Arial" w:eastAsia="Arial" w:hAnsi="Arial"/>
          <w:sz w:val="18"/>
          <w:szCs w:val="18"/>
          <w:color w:val="auto"/>
        </w:rPr>
      </w:pPr>
      <w:r>
        <w:rPr>
          <w:rFonts w:ascii="Arial" w:cs="Arial" w:eastAsia="Arial" w:hAnsi="Arial"/>
          <w:sz w:val="18"/>
          <w:szCs w:val="18"/>
          <w:b w:val="1"/>
          <w:bCs w:val="1"/>
          <w:color w:val="auto"/>
        </w:rPr>
        <w:t>Federal Identification Number</w:t>
      </w:r>
      <w:r>
        <w:rPr>
          <w:rFonts w:ascii="Arial" w:cs="Arial" w:eastAsia="Arial" w:hAnsi="Arial"/>
          <w:sz w:val="18"/>
          <w:szCs w:val="18"/>
          <w:color w:val="auto"/>
        </w:rPr>
        <w:t>: 85-2934404</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VI.</w:t>
      </w:r>
      <w:r>
        <w:rPr>
          <w:sz w:val="20"/>
          <w:szCs w:val="20"/>
          <w:color w:val="auto"/>
        </w:rPr>
        <w:tab/>
      </w:r>
      <w:r>
        <w:rPr>
          <w:rFonts w:ascii="Arial" w:cs="Arial" w:eastAsia="Arial" w:hAnsi="Arial"/>
          <w:sz w:val="18"/>
          <w:szCs w:val="18"/>
          <w:b w:val="1"/>
          <w:bCs w:val="1"/>
          <w:color w:val="auto"/>
        </w:rPr>
        <w:t xml:space="preserve">Place of Business </w:t>
      </w:r>
      <w:r>
        <w:rPr>
          <w:rFonts w:ascii="Arial" w:cs="Arial" w:eastAsia="Arial" w:hAnsi="Arial"/>
          <w:sz w:val="18"/>
          <w:szCs w:val="18"/>
          <w:color w:val="auto"/>
        </w:rPr>
        <w:t>(if it has only one)</w:t>
      </w:r>
      <w:r>
        <w:rPr>
          <w:rFonts w:ascii="Arial" w:cs="Arial" w:eastAsia="Arial" w:hAnsi="Arial"/>
          <w:sz w:val="18"/>
          <w:szCs w:val="18"/>
          <w:b w:val="1"/>
          <w:bCs w:val="1"/>
          <w:color w:val="auto"/>
        </w:rPr>
        <w:t xml:space="preserve"> or Chief Executive Office </w:t>
      </w:r>
      <w:r>
        <w:rPr>
          <w:rFonts w:ascii="Arial" w:cs="Arial" w:eastAsia="Arial" w:hAnsi="Arial"/>
          <w:sz w:val="18"/>
          <w:szCs w:val="18"/>
          <w:color w:val="auto"/>
        </w:rPr>
        <w:t>(if more than one place of business)</w:t>
      </w:r>
      <w:r>
        <w:rPr>
          <w:rFonts w:ascii="Arial" w:cs="Arial" w:eastAsia="Arial" w:hAnsi="Arial"/>
          <w:sz w:val="18"/>
          <w:szCs w:val="18"/>
          <w:b w:val="1"/>
          <w:bCs w:val="1"/>
          <w:color w:val="auto"/>
        </w:rPr>
        <w:t xml:space="preserve"> and Mailing Address</w:t>
      </w:r>
      <w:r>
        <w:rPr>
          <w:rFonts w:ascii="Arial" w:cs="Arial" w:eastAsia="Arial" w:hAnsi="Arial"/>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2399 Bateman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Duarte, CA 91010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Kevin Vassily</w:t>
      </w:r>
    </w:p>
    <w:p>
      <w:pPr>
        <w:spacing w:after="0" w:line="22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8"/>
          <w:szCs w:val="18"/>
          <w:b w:val="1"/>
          <w:bCs w:val="1"/>
          <w:color w:val="auto"/>
        </w:rPr>
        <w:t>Locations of Collateral</w:t>
      </w:r>
      <w:r>
        <w:rPr>
          <w:rFonts w:ascii="Arial" w:cs="Arial" w:eastAsia="Arial" w:hAnsi="Arial"/>
          <w:sz w:val="18"/>
          <w:szCs w:val="18"/>
          <w:color w:val="auto"/>
        </w:rPr>
        <w:t>:</w:t>
      </w:r>
    </w:p>
    <w:p>
      <w:pPr>
        <w:spacing w:after="0" w:line="229" w:lineRule="exact"/>
        <w:rPr>
          <w:sz w:val="20"/>
          <w:szCs w:val="20"/>
          <w:color w:val="auto"/>
        </w:rPr>
      </w:pPr>
    </w:p>
    <w:p>
      <w:pPr>
        <w:ind w:left="1300" w:right="7520" w:hanging="644"/>
        <w:spacing w:after="0" w:line="500" w:lineRule="auto"/>
        <w:tabs>
          <w:tab w:leader="none" w:pos="1166"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Properties Owned by the Grantor</w:t>
      </w:r>
      <w:r>
        <w:rPr>
          <w:rFonts w:ascii="Arial" w:cs="Arial" w:eastAsia="Arial" w:hAnsi="Arial"/>
          <w:sz w:val="18"/>
          <w:szCs w:val="18"/>
          <w:color w:val="auto"/>
        </w:rPr>
        <w:t>: None.</w:t>
      </w:r>
    </w:p>
    <w:p>
      <w:pPr>
        <w:spacing w:after="0" w:line="1" w:lineRule="exact"/>
        <w:rPr>
          <w:rFonts w:ascii="Arial" w:cs="Arial" w:eastAsia="Arial" w:hAnsi="Arial"/>
          <w:sz w:val="18"/>
          <w:szCs w:val="18"/>
          <w:color w:val="auto"/>
        </w:rPr>
      </w:pPr>
    </w:p>
    <w:p>
      <w:pPr>
        <w:ind w:left="1300" w:right="5500" w:hanging="644"/>
        <w:spacing w:after="0" w:line="500" w:lineRule="auto"/>
        <w:tabs>
          <w:tab w:leader="none" w:pos="1177"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Properties Leased by the Grantor</w:t>
      </w:r>
      <w:r>
        <w:rPr>
          <w:rFonts w:ascii="Arial" w:cs="Arial" w:eastAsia="Arial" w:hAnsi="Arial"/>
          <w:sz w:val="18"/>
          <w:szCs w:val="18"/>
          <w:color w:val="auto"/>
        </w:rPr>
        <w:t xml:space="preserve"> (Include Landlord’s Name): None.</w:t>
      </w:r>
    </w:p>
    <w:p>
      <w:pPr>
        <w:spacing w:after="0" w:line="1" w:lineRule="exact"/>
        <w:rPr>
          <w:rFonts w:ascii="Arial" w:cs="Arial" w:eastAsia="Arial" w:hAnsi="Arial"/>
          <w:sz w:val="18"/>
          <w:szCs w:val="18"/>
          <w:color w:val="auto"/>
        </w:rPr>
      </w:pPr>
    </w:p>
    <w:p>
      <w:pPr>
        <w:ind w:firstLine="656"/>
        <w:spacing w:after="0" w:line="277" w:lineRule="auto"/>
        <w:tabs>
          <w:tab w:leader="none" w:pos="1162"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Public Warehouses or other Locations pursuant to Bailment or Consignment Arrangements</w:t>
      </w:r>
      <w:r>
        <w:rPr>
          <w:rFonts w:ascii="Arial" w:cs="Arial" w:eastAsia="Arial" w:hAnsi="Arial"/>
          <w:sz w:val="18"/>
          <w:szCs w:val="18"/>
          <w:color w:val="auto"/>
        </w:rPr>
        <w:t xml:space="preserve"> (include name of Warehouse Operator or other Bailee or Consignee):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00" w:right="459" w:bottom="1440" w:gutter="0" w:footer="0" w:header="0"/>
        </w:sectPr>
      </w:pPr>
    </w:p>
    <w:bookmarkStart w:id="225" w:name="page226"/>
    <w:bookmarkEnd w:id="225"/>
    <w:p>
      <w:pPr>
        <w:jc w:val="center"/>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Sections 3.5 and 7.1 of Security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DEPOSIT ACCOUNTS</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shd w:val="clear" w:color="auto" w:fill="BFBFBF"/>
          </w:tcPr>
          <w:p>
            <w:pPr>
              <w:spacing w:after="0"/>
              <w:rPr>
                <w:sz w:val="18"/>
                <w:szCs w:val="18"/>
                <w:color w:val="auto"/>
              </w:rPr>
            </w:pPr>
          </w:p>
        </w:tc>
        <w:tc>
          <w:tcPr>
            <w:tcW w:w="2240" w:type="dxa"/>
            <w:vAlign w:val="bottom"/>
            <w:tcBorders>
              <w:top w:val="single" w:sz="8" w:color="auto"/>
              <w:right w:val="single" w:sz="8" w:color="auto"/>
            </w:tcBorders>
            <w:shd w:val="clear" w:color="auto" w:fill="BFBFBF"/>
          </w:tcPr>
          <w:p>
            <w:pPr>
              <w:spacing w:after="0"/>
              <w:rPr>
                <w:sz w:val="18"/>
                <w:szCs w:val="18"/>
                <w:color w:val="auto"/>
              </w:rPr>
            </w:pPr>
          </w:p>
        </w:tc>
        <w:tc>
          <w:tcPr>
            <w:tcW w:w="2240" w:type="dxa"/>
            <w:vAlign w:val="bottom"/>
            <w:tcBorders>
              <w:top w:val="single" w:sz="8" w:color="auto"/>
              <w:right w:val="single" w:sz="8" w:color="auto"/>
            </w:tcBorders>
            <w:shd w:val="clear" w:color="auto" w:fill="BFBFBF"/>
          </w:tcPr>
          <w:p>
            <w:pPr>
              <w:spacing w:after="0"/>
              <w:rPr>
                <w:sz w:val="18"/>
                <w:szCs w:val="18"/>
                <w:color w:val="auto"/>
              </w:rPr>
            </w:pPr>
          </w:p>
        </w:tc>
        <w:tc>
          <w:tcPr>
            <w:tcW w:w="22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0"/>
              </w:rPr>
              <w:t>Check here if Deposit</w:t>
            </w:r>
          </w:p>
        </w:tc>
        <w:tc>
          <w:tcPr>
            <w:tcW w:w="22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Description of Deposit</w:t>
            </w:r>
          </w:p>
        </w:tc>
      </w:tr>
      <w:tr>
        <w:trPr>
          <w:trHeight w:val="216"/>
        </w:trPr>
        <w:tc>
          <w:tcPr>
            <w:tcW w:w="2280" w:type="dxa"/>
            <w:vAlign w:val="bottom"/>
            <w:tcBorders>
              <w:left w:val="single" w:sz="8" w:color="auto"/>
              <w:right w:val="single" w:sz="8" w:color="auto"/>
            </w:tcBorders>
            <w:shd w:val="clear" w:color="auto" w:fill="BFBFBF"/>
          </w:tcPr>
          <w:p>
            <w:pPr>
              <w:spacing w:after="0"/>
              <w:rPr>
                <w:sz w:val="18"/>
                <w:szCs w:val="18"/>
                <w:color w:val="auto"/>
              </w:rPr>
            </w:pPr>
          </w:p>
        </w:tc>
        <w:tc>
          <w:tcPr>
            <w:tcW w:w="2240" w:type="dxa"/>
            <w:vAlign w:val="bottom"/>
            <w:tcBorders>
              <w:right w:val="single" w:sz="8" w:color="auto"/>
            </w:tcBorders>
            <w:shd w:val="clear" w:color="auto" w:fill="BFBFBF"/>
          </w:tcPr>
          <w:p>
            <w:pPr>
              <w:spacing w:after="0"/>
              <w:rPr>
                <w:sz w:val="18"/>
                <w:szCs w:val="18"/>
                <w:color w:val="auto"/>
              </w:rPr>
            </w:pPr>
          </w:p>
        </w:tc>
        <w:tc>
          <w:tcPr>
            <w:tcW w:w="2240" w:type="dxa"/>
            <w:vAlign w:val="bottom"/>
            <w:tcBorders>
              <w:right w:val="single" w:sz="8" w:color="auto"/>
            </w:tcBorders>
            <w:shd w:val="clear" w:color="auto" w:fill="BFBFBF"/>
          </w:tcPr>
          <w:p>
            <w:pPr>
              <w:spacing w:after="0"/>
              <w:rPr>
                <w:sz w:val="18"/>
                <w:szCs w:val="18"/>
                <w:color w:val="auto"/>
              </w:rPr>
            </w:pPr>
          </w:p>
        </w:tc>
        <w:tc>
          <w:tcPr>
            <w:tcW w:w="22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9"/>
              </w:rPr>
              <w:t>Account is a Collateral</w:t>
            </w:r>
          </w:p>
        </w:tc>
        <w:tc>
          <w:tcPr>
            <w:tcW w:w="224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Account if not a Collateral</w:t>
            </w:r>
          </w:p>
        </w:tc>
      </w:tr>
      <w:tr>
        <w:trPr>
          <w:trHeight w:val="234"/>
        </w:trPr>
        <w:tc>
          <w:tcPr>
            <w:tcW w:w="2280" w:type="dxa"/>
            <w:vAlign w:val="bottom"/>
            <w:tcBorders>
              <w:left w:val="single" w:sz="8" w:color="auto"/>
              <w:bottom w:val="single" w:sz="8" w:color="auto"/>
              <w:right w:val="single" w:sz="8" w:color="auto"/>
            </w:tcBorders>
            <w:shd w:val="clear" w:color="auto" w:fill="BFBFBF"/>
          </w:tcPr>
          <w:p>
            <w:pPr>
              <w:ind w:left="480"/>
              <w:spacing w:after="0"/>
              <w:rPr>
                <w:sz w:val="20"/>
                <w:szCs w:val="20"/>
                <w:color w:val="auto"/>
              </w:rPr>
            </w:pPr>
            <w:r>
              <w:rPr>
                <w:rFonts w:ascii="Arial" w:cs="Arial" w:eastAsia="Arial" w:hAnsi="Arial"/>
                <w:sz w:val="18"/>
                <w:szCs w:val="18"/>
                <w:b w:val="1"/>
                <w:bCs w:val="1"/>
                <w:color w:val="auto"/>
              </w:rPr>
              <w:t>Name of Grantor</w:t>
            </w:r>
          </w:p>
        </w:tc>
        <w:tc>
          <w:tcPr>
            <w:tcW w:w="2240" w:type="dxa"/>
            <w:vAlign w:val="bottom"/>
            <w:tcBorders>
              <w:bottom w:val="single" w:sz="8" w:color="auto"/>
              <w:right w:val="single" w:sz="8" w:color="auto"/>
            </w:tcBorders>
            <w:shd w:val="clear" w:color="auto" w:fill="BFBFBF"/>
          </w:tcPr>
          <w:p>
            <w:pPr>
              <w:ind w:left="360"/>
              <w:spacing w:after="0"/>
              <w:rPr>
                <w:sz w:val="20"/>
                <w:szCs w:val="20"/>
                <w:color w:val="auto"/>
              </w:rPr>
            </w:pPr>
            <w:r>
              <w:rPr>
                <w:rFonts w:ascii="Arial" w:cs="Arial" w:eastAsia="Arial" w:hAnsi="Arial"/>
                <w:sz w:val="18"/>
                <w:szCs w:val="18"/>
                <w:b w:val="1"/>
                <w:bCs w:val="1"/>
                <w:color w:val="auto"/>
              </w:rPr>
              <w:t>Name of Institution</w:t>
            </w:r>
          </w:p>
        </w:tc>
        <w:tc>
          <w:tcPr>
            <w:tcW w:w="22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Account Number</w:t>
            </w:r>
          </w:p>
        </w:tc>
        <w:tc>
          <w:tcPr>
            <w:tcW w:w="22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Deposit Account</w:t>
            </w:r>
          </w:p>
        </w:tc>
        <w:tc>
          <w:tcPr>
            <w:tcW w:w="224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88"/>
              </w:rPr>
              <w:t>Deposit Account</w:t>
            </w:r>
          </w:p>
        </w:tc>
      </w:tr>
      <w:tr>
        <w:trPr>
          <w:trHeight w:val="21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 Marketing Solution Inc.</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w w:val="93"/>
              </w:rPr>
              <w:t>Global Product Marketing Inc.</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tcPr>
          <w:p>
            <w:pPr>
              <w:spacing w:after="0"/>
              <w:rPr>
                <w:sz w:val="18"/>
                <w:szCs w:val="18"/>
                <w:color w:val="auto"/>
              </w:rPr>
            </w:pPr>
          </w:p>
        </w:tc>
      </w:tr>
      <w:tr>
        <w:trPr>
          <w:trHeight w:val="858"/>
        </w:trPr>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6"/>
              </w:rPr>
              <w:t>LOCK BOXES</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SECURITIES ACCOUNTS</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2"/>
        </w:trPr>
        <w:tc>
          <w:tcPr>
            <w:tcW w:w="2280" w:type="dxa"/>
            <w:vAlign w:val="bottom"/>
          </w:tcPr>
          <w:p>
            <w:pPr>
              <w:spacing w:after="0"/>
              <w:rPr>
                <w:sz w:val="20"/>
                <w:szCs w:val="20"/>
                <w:color w:val="auto"/>
              </w:rPr>
            </w:pPr>
            <w:r>
              <w:rPr>
                <w:rFonts w:ascii="Arial" w:cs="Arial" w:eastAsia="Arial" w:hAnsi="Arial"/>
                <w:sz w:val="18"/>
                <w:szCs w:val="18"/>
                <w:color w:val="auto"/>
              </w:rPr>
              <w:t>None.</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6" w:name="page227"/>
    <w:bookmarkEnd w:id="226"/>
    <w:p>
      <w:pPr>
        <w:jc w:val="center"/>
        <w:ind w:right="-1100"/>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(See Section 3.7 of Security Agreement)</w:t>
      </w:r>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LETTER OF CREDIT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CHATTEL PAPER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27" w:name="page228"/>
    <w:bookmarkEnd w:id="227"/>
    <w:p>
      <w:pPr>
        <w:jc w:val="center"/>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 3.10 and 3.11 of Security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PATENT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TRADEMARKS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TRADEMARKS: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60" w:type="dxa"/>
            <w:vAlign w:val="bottom"/>
            <w:tcBorders>
              <w:top w:val="single" w:sz="8" w:color="auto"/>
              <w:left w:val="single" w:sz="8" w:color="auto"/>
              <w:bottom w:val="single" w:sz="8" w:color="auto"/>
            </w:tcBorders>
            <w:shd w:val="clear" w:color="auto" w:fill="BFBFBF"/>
          </w:tcPr>
          <w:p>
            <w:pPr>
              <w:spacing w:after="0"/>
              <w:rPr>
                <w:sz w:val="19"/>
                <w:szCs w:val="19"/>
                <w:color w:val="auto"/>
              </w:rPr>
            </w:pPr>
          </w:p>
        </w:tc>
        <w:tc>
          <w:tcPr>
            <w:tcW w:w="2580" w:type="dxa"/>
            <w:vAlign w:val="bottom"/>
            <w:tcBorders>
              <w:top w:val="single" w:sz="8" w:color="auto"/>
              <w:bottom w:val="single" w:sz="8" w:color="auto"/>
              <w:right w:val="single" w:sz="8" w:color="auto"/>
            </w:tcBorders>
            <w:shd w:val="clear" w:color="auto" w:fill="BFBFBF"/>
          </w:tcPr>
          <w:p>
            <w:pPr>
              <w:ind w:left="400"/>
              <w:spacing w:after="0"/>
              <w:rPr>
                <w:sz w:val="20"/>
                <w:szCs w:val="20"/>
                <w:color w:val="auto"/>
              </w:rPr>
            </w:pPr>
            <w:r>
              <w:rPr>
                <w:rFonts w:ascii="Arial" w:cs="Arial" w:eastAsia="Arial" w:hAnsi="Arial"/>
                <w:sz w:val="18"/>
                <w:szCs w:val="18"/>
                <w:b w:val="1"/>
                <w:bCs w:val="1"/>
                <w:color w:val="auto"/>
              </w:rPr>
              <w:t>Owner</w:t>
            </w:r>
          </w:p>
        </w:tc>
        <w:tc>
          <w:tcPr>
            <w:tcW w:w="820" w:type="dxa"/>
            <w:vAlign w:val="bottom"/>
            <w:tcBorders>
              <w:top w:val="single" w:sz="8" w:color="auto"/>
              <w:bottom w:val="single" w:sz="8" w:color="auto"/>
            </w:tcBorders>
            <w:shd w:val="clear" w:color="auto" w:fill="BFBFBF"/>
          </w:tcPr>
          <w:p>
            <w:pPr>
              <w:spacing w:after="0"/>
              <w:rPr>
                <w:sz w:val="19"/>
                <w:szCs w:val="19"/>
                <w:color w:val="auto"/>
              </w:rPr>
            </w:pPr>
          </w:p>
        </w:tc>
        <w:tc>
          <w:tcPr>
            <w:tcW w:w="2880" w:type="dxa"/>
            <w:vAlign w:val="bottom"/>
            <w:tcBorders>
              <w:top w:val="single" w:sz="8" w:color="auto"/>
              <w:bottom w:val="single" w:sz="8" w:color="auto"/>
              <w:right w:val="single" w:sz="8" w:color="auto"/>
            </w:tcBorders>
            <w:shd w:val="clear" w:color="auto" w:fill="BFBFBF"/>
          </w:tcPr>
          <w:p>
            <w:pPr>
              <w:ind w:left="200"/>
              <w:spacing w:after="0"/>
              <w:rPr>
                <w:sz w:val="20"/>
                <w:szCs w:val="20"/>
                <w:color w:val="auto"/>
              </w:rPr>
            </w:pPr>
            <w:r>
              <w:rPr>
                <w:rFonts w:ascii="Arial" w:cs="Arial" w:eastAsia="Arial" w:hAnsi="Arial"/>
                <w:sz w:val="18"/>
                <w:szCs w:val="18"/>
                <w:b w:val="1"/>
                <w:bCs w:val="1"/>
                <w:color w:val="auto"/>
              </w:rPr>
              <w:t>Registration Number</w:t>
            </w:r>
          </w:p>
        </w:tc>
        <w:tc>
          <w:tcPr>
            <w:tcW w:w="3700" w:type="dxa"/>
            <w:vAlign w:val="bottom"/>
            <w:tcBorders>
              <w:top w:val="single" w:sz="8" w:color="auto"/>
              <w:bottom w:val="single" w:sz="8" w:color="auto"/>
              <w:right w:val="single" w:sz="8" w:color="auto"/>
            </w:tcBorders>
            <w:shd w:val="clear" w:color="auto" w:fill="BFBFBF"/>
          </w:tcPr>
          <w:p>
            <w:pPr>
              <w:ind w:left="1400"/>
              <w:spacing w:after="0"/>
              <w:rPr>
                <w:sz w:val="20"/>
                <w:szCs w:val="20"/>
                <w:color w:val="auto"/>
              </w:rPr>
            </w:pPr>
            <w:r>
              <w:rPr>
                <w:rFonts w:ascii="Arial" w:cs="Arial" w:eastAsia="Arial" w:hAnsi="Arial"/>
                <w:sz w:val="18"/>
                <w:szCs w:val="18"/>
                <w:b w:val="1"/>
                <w:bCs w:val="1"/>
                <w:color w:val="auto"/>
              </w:rPr>
              <w:t>Trademark</w:t>
            </w:r>
          </w:p>
        </w:tc>
      </w:tr>
      <w:tr>
        <w:trPr>
          <w:trHeight w:val="22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580" w:type="dxa"/>
            <w:vAlign w:val="bottom"/>
            <w:tcBorders>
              <w:right w:val="single" w:sz="8" w:color="auto"/>
            </w:tcBorders>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88"/>
              </w:rPr>
              <w:t>4248807</w:t>
            </w:r>
          </w:p>
        </w:tc>
        <w:tc>
          <w:tcPr>
            <w:tcW w:w="28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iPower</w:t>
            </w: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r>
      <w:tr>
        <w:trPr>
          <w:trHeight w:val="224"/>
        </w:trPr>
        <w:tc>
          <w:tcPr>
            <w:tcW w:w="126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580" w:type="dxa"/>
            <w:vAlign w:val="bottom"/>
            <w:tcBorders>
              <w:right w:val="single" w:sz="8" w:color="auto"/>
            </w:tcBorders>
          </w:tcPr>
          <w:p>
            <w:pPr>
              <w:spacing w:after="0"/>
              <w:rPr>
                <w:sz w:val="19"/>
                <w:szCs w:val="19"/>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w w:val="88"/>
              </w:rPr>
              <w:t>6006647</w:t>
            </w:r>
          </w:p>
        </w:tc>
        <w:tc>
          <w:tcPr>
            <w:tcW w:w="288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iPower</w:t>
            </w:r>
          </w:p>
        </w:tc>
      </w:tr>
      <w:tr>
        <w:trPr>
          <w:trHeight w:val="202"/>
        </w:trPr>
        <w:tc>
          <w:tcPr>
            <w:tcW w:w="1260" w:type="dxa"/>
            <w:vAlign w:val="bottom"/>
            <w:tcBorders>
              <w:left w:val="single" w:sz="8" w:color="auto"/>
              <w:bottom w:val="single" w:sz="8" w:color="auto"/>
            </w:tcBorders>
          </w:tcPr>
          <w:p>
            <w:pPr>
              <w:spacing w:after="0"/>
              <w:rPr>
                <w:sz w:val="17"/>
                <w:szCs w:val="17"/>
                <w:color w:val="auto"/>
              </w:rPr>
            </w:pPr>
          </w:p>
        </w:tc>
        <w:tc>
          <w:tcPr>
            <w:tcW w:w="2580" w:type="dxa"/>
            <w:vAlign w:val="bottom"/>
            <w:tcBorders>
              <w:bottom w:val="single" w:sz="8" w:color="auto"/>
              <w:right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80" w:type="dxa"/>
            <w:vAlign w:val="bottom"/>
            <w:tcBorders>
              <w:bottom w:val="single" w:sz="8" w:color="auto"/>
              <w:right w:val="single" w:sz="8" w:color="auto"/>
            </w:tcBorders>
          </w:tcPr>
          <w:p>
            <w:pPr>
              <w:spacing w:after="0"/>
              <w:rPr>
                <w:sz w:val="17"/>
                <w:szCs w:val="17"/>
                <w:color w:val="auto"/>
              </w:rPr>
            </w:pPr>
          </w:p>
        </w:tc>
        <w:tc>
          <w:tcPr>
            <w:tcW w:w="3700" w:type="dxa"/>
            <w:vAlign w:val="bottom"/>
            <w:tcBorders>
              <w:bottom w:val="single" w:sz="8" w:color="auto"/>
              <w:right w:val="single" w:sz="8" w:color="auto"/>
            </w:tcBorders>
          </w:tcPr>
          <w:p>
            <w:pPr>
              <w:spacing w:after="0"/>
              <w:rPr>
                <w:sz w:val="17"/>
                <w:szCs w:val="17"/>
                <w:color w:val="auto"/>
              </w:rPr>
            </w:pPr>
          </w:p>
        </w:tc>
      </w:tr>
      <w:tr>
        <w:trPr>
          <w:trHeight w:val="210"/>
        </w:trPr>
        <w:tc>
          <w:tcPr>
            <w:tcW w:w="126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58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8"/>
              </w:rPr>
              <w:t>5755589</w:t>
            </w:r>
          </w:p>
        </w:tc>
        <w:tc>
          <w:tcPr>
            <w:tcW w:w="28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Simple Deluxe</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TRADEMARK APPLICATIONS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TRADEMARK APPLICATIONS:</w:t>
      </w: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220" w:type="dxa"/>
            <w:vAlign w:val="bottom"/>
            <w:tcBorders>
              <w:top w:val="single" w:sz="8" w:color="auto"/>
              <w:left w:val="single" w:sz="8" w:color="auto"/>
              <w:bottom w:val="single" w:sz="8" w:color="auto"/>
            </w:tcBorders>
            <w:shd w:val="clear" w:color="auto" w:fill="BFBFBF"/>
          </w:tcPr>
          <w:p>
            <w:pPr>
              <w:spacing w:after="0"/>
              <w:rPr>
                <w:sz w:val="19"/>
                <w:szCs w:val="19"/>
                <w:color w:val="auto"/>
              </w:rPr>
            </w:pPr>
          </w:p>
        </w:tc>
        <w:tc>
          <w:tcPr>
            <w:tcW w:w="2520" w:type="dxa"/>
            <w:vAlign w:val="bottom"/>
            <w:tcBorders>
              <w:top w:val="single" w:sz="8" w:color="auto"/>
              <w:bottom w:val="single" w:sz="8" w:color="auto"/>
              <w:right w:val="single" w:sz="8" w:color="auto"/>
            </w:tcBorders>
            <w:shd w:val="clear" w:color="auto" w:fill="BFBFBF"/>
          </w:tcPr>
          <w:p>
            <w:pPr>
              <w:ind w:left="380"/>
              <w:spacing w:after="0"/>
              <w:rPr>
                <w:sz w:val="20"/>
                <w:szCs w:val="20"/>
                <w:color w:val="auto"/>
              </w:rPr>
            </w:pPr>
            <w:r>
              <w:rPr>
                <w:rFonts w:ascii="Arial" w:cs="Arial" w:eastAsia="Arial" w:hAnsi="Arial"/>
                <w:sz w:val="18"/>
                <w:szCs w:val="18"/>
                <w:b w:val="1"/>
                <w:bCs w:val="1"/>
                <w:color w:val="auto"/>
              </w:rPr>
              <w:t>Owner</w:t>
            </w:r>
          </w:p>
        </w:tc>
        <w:tc>
          <w:tcPr>
            <w:tcW w:w="1000" w:type="dxa"/>
            <w:vAlign w:val="bottom"/>
            <w:tcBorders>
              <w:top w:val="single" w:sz="8" w:color="auto"/>
              <w:bottom w:val="single" w:sz="8" w:color="auto"/>
            </w:tcBorders>
            <w:shd w:val="clear" w:color="auto" w:fill="BFBFBF"/>
          </w:tcPr>
          <w:p>
            <w:pPr>
              <w:spacing w:after="0"/>
              <w:rPr>
                <w:sz w:val="19"/>
                <w:szCs w:val="19"/>
                <w:color w:val="auto"/>
              </w:rPr>
            </w:pPr>
          </w:p>
        </w:tc>
        <w:tc>
          <w:tcPr>
            <w:tcW w:w="2700" w:type="dxa"/>
            <w:vAlign w:val="bottom"/>
            <w:tcBorders>
              <w:top w:val="single" w:sz="8" w:color="auto"/>
              <w:bottom w:val="single" w:sz="8" w:color="auto"/>
              <w:right w:val="single" w:sz="8" w:color="auto"/>
            </w:tcBorders>
            <w:shd w:val="clear" w:color="auto" w:fill="BFBFBF"/>
          </w:tcPr>
          <w:p>
            <w:pPr>
              <w:ind w:left="260"/>
              <w:spacing w:after="0"/>
              <w:rPr>
                <w:sz w:val="20"/>
                <w:szCs w:val="20"/>
                <w:color w:val="auto"/>
              </w:rPr>
            </w:pPr>
            <w:r>
              <w:rPr>
                <w:rFonts w:ascii="Arial" w:cs="Arial" w:eastAsia="Arial" w:hAnsi="Arial"/>
                <w:sz w:val="18"/>
                <w:szCs w:val="18"/>
                <w:b w:val="1"/>
                <w:bCs w:val="1"/>
                <w:color w:val="auto"/>
              </w:rPr>
              <w:t>Serial Number</w:t>
            </w:r>
          </w:p>
        </w:tc>
        <w:tc>
          <w:tcPr>
            <w:tcW w:w="3800" w:type="dxa"/>
            <w:vAlign w:val="bottom"/>
            <w:tcBorders>
              <w:top w:val="single" w:sz="8" w:color="auto"/>
              <w:bottom w:val="single" w:sz="8" w:color="auto"/>
              <w:right w:val="single" w:sz="8" w:color="auto"/>
            </w:tcBorders>
            <w:shd w:val="clear" w:color="auto" w:fill="BFBFBF"/>
          </w:tcPr>
          <w:p>
            <w:pPr>
              <w:ind w:left="1460"/>
              <w:spacing w:after="0"/>
              <w:rPr>
                <w:sz w:val="20"/>
                <w:szCs w:val="20"/>
                <w:color w:val="auto"/>
              </w:rPr>
            </w:pPr>
            <w:r>
              <w:rPr>
                <w:rFonts w:ascii="Arial" w:cs="Arial" w:eastAsia="Arial" w:hAnsi="Arial"/>
                <w:sz w:val="18"/>
                <w:szCs w:val="18"/>
                <w:b w:val="1"/>
                <w:bCs w:val="1"/>
                <w:color w:val="auto"/>
              </w:rPr>
              <w:t>Trademark</w:t>
            </w:r>
          </w:p>
        </w:tc>
      </w:tr>
      <w:tr>
        <w:trPr>
          <w:trHeight w:val="224"/>
        </w:trPr>
        <w:tc>
          <w:tcPr>
            <w:tcW w:w="1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520" w:type="dxa"/>
            <w:vAlign w:val="bottom"/>
            <w:tcBorders>
              <w:right w:val="single" w:sz="8" w:color="auto"/>
            </w:tcBorders>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90820606</w:t>
            </w:r>
          </w:p>
        </w:tc>
        <w:tc>
          <w:tcPr>
            <w:tcW w:w="2700" w:type="dxa"/>
            <w:vAlign w:val="bottom"/>
            <w:tcBorders>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Flourish</w:t>
            </w:r>
          </w:p>
        </w:tc>
      </w:tr>
      <w:tr>
        <w:trPr>
          <w:trHeight w:val="202"/>
        </w:trPr>
        <w:tc>
          <w:tcPr>
            <w:tcW w:w="1220" w:type="dxa"/>
            <w:vAlign w:val="bottom"/>
            <w:tcBorders>
              <w:left w:val="single" w:sz="8" w:color="auto"/>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224"/>
        </w:trPr>
        <w:tc>
          <w:tcPr>
            <w:tcW w:w="1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520" w:type="dxa"/>
            <w:vAlign w:val="bottom"/>
            <w:tcBorders>
              <w:right w:val="single" w:sz="8" w:color="auto"/>
            </w:tcBorders>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90807305</w:t>
            </w:r>
          </w:p>
        </w:tc>
        <w:tc>
          <w:tcPr>
            <w:tcW w:w="2700" w:type="dxa"/>
            <w:vAlign w:val="bottom"/>
            <w:tcBorders>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Flora Harvest</w:t>
            </w:r>
          </w:p>
        </w:tc>
      </w:tr>
      <w:tr>
        <w:trPr>
          <w:trHeight w:val="202"/>
        </w:trPr>
        <w:tc>
          <w:tcPr>
            <w:tcW w:w="1220" w:type="dxa"/>
            <w:vAlign w:val="bottom"/>
            <w:tcBorders>
              <w:left w:val="single" w:sz="8" w:color="auto"/>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224"/>
        </w:trPr>
        <w:tc>
          <w:tcPr>
            <w:tcW w:w="1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520" w:type="dxa"/>
            <w:vAlign w:val="bottom"/>
            <w:tcBorders>
              <w:right w:val="single" w:sz="8" w:color="auto"/>
            </w:tcBorders>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90782582</w:t>
            </w:r>
          </w:p>
        </w:tc>
        <w:tc>
          <w:tcPr>
            <w:tcW w:w="2700" w:type="dxa"/>
            <w:vAlign w:val="bottom"/>
            <w:tcBorders>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iGarden</w:t>
            </w:r>
          </w:p>
        </w:tc>
      </w:tr>
      <w:tr>
        <w:trPr>
          <w:trHeight w:val="202"/>
        </w:trPr>
        <w:tc>
          <w:tcPr>
            <w:tcW w:w="1220" w:type="dxa"/>
            <w:vAlign w:val="bottom"/>
            <w:tcBorders>
              <w:left w:val="single" w:sz="8" w:color="auto"/>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r>
        <w:trPr>
          <w:trHeight w:val="224"/>
        </w:trPr>
        <w:tc>
          <w:tcPr>
            <w:tcW w:w="12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520" w:type="dxa"/>
            <w:vAlign w:val="bottom"/>
            <w:tcBorders>
              <w:right w:val="single" w:sz="8" w:color="auto"/>
            </w:tcBorders>
          </w:tcPr>
          <w:p>
            <w:pPr>
              <w:spacing w:after="0"/>
              <w:rPr>
                <w:sz w:val="19"/>
                <w:szCs w:val="19"/>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color w:val="auto"/>
                <w:w w:val="87"/>
              </w:rPr>
              <w:t>90780948</w:t>
            </w:r>
          </w:p>
        </w:tc>
        <w:tc>
          <w:tcPr>
            <w:tcW w:w="2700" w:type="dxa"/>
            <w:vAlign w:val="bottom"/>
            <w:tcBorders>
              <w:right w:val="single" w:sz="8" w:color="auto"/>
            </w:tcBorders>
          </w:tcPr>
          <w:p>
            <w:pPr>
              <w:spacing w:after="0"/>
              <w:rPr>
                <w:sz w:val="19"/>
                <w:szCs w:val="19"/>
                <w:color w:val="auto"/>
              </w:rPr>
            </w:pPr>
          </w:p>
        </w:tc>
        <w:tc>
          <w:tcPr>
            <w:tcW w:w="3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iFarm</w:t>
            </w:r>
          </w:p>
        </w:tc>
      </w:tr>
      <w:tr>
        <w:trPr>
          <w:trHeight w:val="202"/>
        </w:trPr>
        <w:tc>
          <w:tcPr>
            <w:tcW w:w="1220" w:type="dxa"/>
            <w:vAlign w:val="bottom"/>
            <w:tcBorders>
              <w:left w:val="single" w:sz="8" w:color="auto"/>
              <w:bottom w:val="single" w:sz="8" w:color="auto"/>
            </w:tcBorders>
          </w:tcPr>
          <w:p>
            <w:pPr>
              <w:spacing w:after="0"/>
              <w:rPr>
                <w:sz w:val="17"/>
                <w:szCs w:val="17"/>
                <w:color w:val="auto"/>
              </w:rPr>
            </w:pPr>
          </w:p>
        </w:tc>
        <w:tc>
          <w:tcPr>
            <w:tcW w:w="25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17"/>
                <w:szCs w:val="17"/>
                <w:color w:val="auto"/>
              </w:rPr>
            </w:pPr>
          </w:p>
        </w:tc>
        <w:tc>
          <w:tcPr>
            <w:tcW w:w="3800" w:type="dxa"/>
            <w:vAlign w:val="bottom"/>
            <w:tcBorders>
              <w:bottom w:val="single" w:sz="8" w:color="auto"/>
              <w:right w:val="single" w:sz="8" w:color="auto"/>
            </w:tcBorders>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 APPLICATIONS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color w:val="auto"/>
        </w:rPr>
        <w:t>INTELLECTUAL PROPERTY LICENSES</w:t>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720" w:type="dxa"/>
            <w:vAlign w:val="bottom"/>
            <w:tcBorders>
              <w:top w:val="single" w:sz="8" w:color="auto"/>
              <w:left w:val="single" w:sz="8" w:color="auto"/>
              <w:bottom w:val="single" w:sz="8" w:color="auto"/>
              <w:right w:val="single" w:sz="8" w:color="auto"/>
            </w:tcBorders>
            <w:shd w:val="clear" w:color="auto" w:fill="BFBFBF"/>
          </w:tcPr>
          <w:p>
            <w:pPr>
              <w:ind w:left="540"/>
              <w:spacing w:after="0"/>
              <w:rPr>
                <w:sz w:val="20"/>
                <w:szCs w:val="20"/>
                <w:color w:val="auto"/>
              </w:rPr>
            </w:pPr>
            <w:r>
              <w:rPr>
                <w:rFonts w:ascii="Arial" w:cs="Arial" w:eastAsia="Arial" w:hAnsi="Arial"/>
                <w:sz w:val="18"/>
                <w:szCs w:val="18"/>
                <w:b w:val="1"/>
                <w:bCs w:val="1"/>
                <w:color w:val="auto"/>
              </w:rPr>
              <w:t>Grantor</w:t>
            </w:r>
          </w:p>
        </w:tc>
        <w:tc>
          <w:tcPr>
            <w:tcW w:w="3180" w:type="dxa"/>
            <w:vAlign w:val="bottom"/>
            <w:tcBorders>
              <w:top w:val="single" w:sz="8" w:color="auto"/>
              <w:bottom w:val="single" w:sz="8" w:color="auto"/>
            </w:tcBorders>
            <w:shd w:val="clear" w:color="auto" w:fill="BFBFBF"/>
          </w:tcPr>
          <w:p>
            <w:pPr>
              <w:ind w:left="1180"/>
              <w:spacing w:after="0"/>
              <w:rPr>
                <w:sz w:val="20"/>
                <w:szCs w:val="20"/>
                <w:color w:val="auto"/>
              </w:rPr>
            </w:pPr>
            <w:r>
              <w:rPr>
                <w:rFonts w:ascii="Arial" w:cs="Arial" w:eastAsia="Arial" w:hAnsi="Arial"/>
                <w:sz w:val="18"/>
                <w:szCs w:val="18"/>
                <w:b w:val="1"/>
                <w:bCs w:val="1"/>
                <w:color w:val="auto"/>
              </w:rPr>
              <w:t>Name of Agreement</w:t>
            </w:r>
          </w:p>
        </w:tc>
        <w:tc>
          <w:tcPr>
            <w:tcW w:w="740" w:type="dxa"/>
            <w:vAlign w:val="bottom"/>
            <w:tcBorders>
              <w:top w:val="single" w:sz="8" w:color="auto"/>
              <w:bottom w:val="single" w:sz="8" w:color="auto"/>
              <w:right w:val="single" w:sz="8" w:color="auto"/>
            </w:tcBorders>
            <w:shd w:val="clear" w:color="auto" w:fill="BFBFBF"/>
          </w:tcPr>
          <w:p>
            <w:pPr>
              <w:spacing w:after="0"/>
              <w:rPr>
                <w:sz w:val="19"/>
                <w:szCs w:val="19"/>
                <w:color w:val="auto"/>
              </w:rPr>
            </w:pPr>
          </w:p>
        </w:tc>
        <w:tc>
          <w:tcPr>
            <w:tcW w:w="1700" w:type="dxa"/>
            <w:vAlign w:val="bottom"/>
            <w:tcBorders>
              <w:top w:val="single" w:sz="8" w:color="auto"/>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w w:val="96"/>
              </w:rPr>
              <w:t>Date of Agreement</w:t>
            </w:r>
          </w:p>
        </w:tc>
        <w:tc>
          <w:tcPr>
            <w:tcW w:w="3900" w:type="dxa"/>
            <w:vAlign w:val="bottom"/>
            <w:tcBorders>
              <w:top w:val="single" w:sz="8" w:color="auto"/>
              <w:bottom w:val="single" w:sz="8" w:color="auto"/>
              <w:right w:val="single" w:sz="8" w:color="auto"/>
            </w:tcBorders>
            <w:shd w:val="clear" w:color="auto" w:fill="BFBFBF"/>
          </w:tcPr>
          <w:p>
            <w:pPr>
              <w:ind w:left="1120"/>
              <w:spacing w:after="0"/>
              <w:rPr>
                <w:sz w:val="20"/>
                <w:szCs w:val="20"/>
                <w:color w:val="auto"/>
              </w:rPr>
            </w:pPr>
            <w:r>
              <w:rPr>
                <w:rFonts w:ascii="Arial" w:cs="Arial" w:eastAsia="Arial" w:hAnsi="Arial"/>
                <w:sz w:val="18"/>
                <w:szCs w:val="18"/>
                <w:b w:val="1"/>
                <w:bCs w:val="1"/>
                <w:color w:val="auto"/>
              </w:rPr>
              <w:t>Parties to Agreement</w:t>
            </w:r>
          </w:p>
        </w:tc>
      </w:tr>
      <w:tr>
        <w:trPr>
          <w:trHeight w:val="224"/>
        </w:trPr>
        <w:tc>
          <w:tcPr>
            <w:tcW w:w="17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3180" w:type="dxa"/>
            <w:vAlign w:val="bottom"/>
          </w:tcPr>
          <w:p>
            <w:pPr>
              <w:spacing w:after="0"/>
              <w:rPr>
                <w:sz w:val="20"/>
                <w:szCs w:val="20"/>
                <w:color w:val="auto"/>
              </w:rPr>
            </w:pPr>
            <w:r>
              <w:rPr>
                <w:rFonts w:ascii="Arial" w:cs="Arial" w:eastAsia="Arial" w:hAnsi="Arial"/>
                <w:sz w:val="18"/>
                <w:szCs w:val="18"/>
                <w:color w:val="auto"/>
                <w:w w:val="90"/>
              </w:rPr>
              <w:t>Exclusive Business Cooperation Agreement</w:t>
            </w:r>
          </w:p>
        </w:tc>
        <w:tc>
          <w:tcPr>
            <w:tcW w:w="74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September 4, 2020</w:t>
            </w:r>
          </w:p>
        </w:tc>
        <w:tc>
          <w:tcPr>
            <w:tcW w:w="39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iPower Inc. and Global Product Marketing Inc.</w:t>
            </w:r>
          </w:p>
        </w:tc>
      </w:tr>
      <w:tr>
        <w:trPr>
          <w:trHeight w:val="202"/>
        </w:trPr>
        <w:tc>
          <w:tcPr>
            <w:tcW w:w="1720" w:type="dxa"/>
            <w:vAlign w:val="bottom"/>
            <w:tcBorders>
              <w:left w:val="single" w:sz="8" w:color="auto"/>
              <w:bottom w:val="single" w:sz="8" w:color="auto"/>
              <w:right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spacing w:after="0"/>
              <w:rPr>
                <w:sz w:val="17"/>
                <w:szCs w:val="17"/>
                <w:color w:val="auto"/>
              </w:rPr>
            </w:pPr>
          </w:p>
        </w:tc>
      </w:tr>
      <w:tr>
        <w:trPr>
          <w:trHeight w:val="195"/>
        </w:trPr>
        <w:tc>
          <w:tcPr>
            <w:tcW w:w="172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iPower Inc.</w:t>
            </w:r>
          </w:p>
        </w:tc>
        <w:tc>
          <w:tcPr>
            <w:tcW w:w="3180" w:type="dxa"/>
            <w:vAlign w:val="bottom"/>
          </w:tcPr>
          <w:p>
            <w:pPr>
              <w:spacing w:after="0" w:line="195" w:lineRule="exact"/>
              <w:rPr>
                <w:sz w:val="20"/>
                <w:szCs w:val="20"/>
                <w:color w:val="auto"/>
              </w:rPr>
            </w:pPr>
            <w:r>
              <w:rPr>
                <w:rFonts w:ascii="Arial" w:cs="Arial" w:eastAsia="Arial" w:hAnsi="Arial"/>
                <w:sz w:val="18"/>
                <w:szCs w:val="18"/>
                <w:color w:val="auto"/>
                <w:w w:val="90"/>
              </w:rPr>
              <w:t>Amended and Restated Exclusive Business</w:t>
            </w:r>
          </w:p>
        </w:tc>
        <w:tc>
          <w:tcPr>
            <w:tcW w:w="74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October 26, 2020</w:t>
            </w:r>
          </w:p>
        </w:tc>
        <w:tc>
          <w:tcPr>
            <w:tcW w:w="390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iPower Inc. and E Marketing Solution Inc.</w:t>
            </w:r>
          </w:p>
        </w:tc>
      </w:tr>
      <w:tr>
        <w:trPr>
          <w:trHeight w:val="230"/>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Cooperation Agreement</w:t>
            </w:r>
          </w:p>
        </w:tc>
        <w:tc>
          <w:tcPr>
            <w:tcW w:w="74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3900" w:type="dxa"/>
            <w:vAlign w:val="bottom"/>
            <w:tcBorders>
              <w:bottom w:val="single" w:sz="8" w:color="auto"/>
              <w:right w:val="single" w:sz="8" w:color="auto"/>
            </w:tcBorders>
          </w:tcPr>
          <w:p>
            <w:pPr>
              <w:spacing w:after="0"/>
              <w:rPr>
                <w:sz w:val="20"/>
                <w:szCs w:val="20"/>
                <w:color w:val="auto"/>
              </w:rPr>
            </w:pPr>
          </w:p>
        </w:tc>
      </w:tr>
      <w:tr>
        <w:trPr>
          <w:trHeight w:val="641"/>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440" w:type="dxa"/>
            <w:vAlign w:val="bottom"/>
            <w:gridSpan w:val="2"/>
          </w:tcPr>
          <w:p>
            <w:pPr>
              <w:ind w:left="20"/>
              <w:spacing w:after="0"/>
              <w:rPr>
                <w:sz w:val="20"/>
                <w:szCs w:val="20"/>
                <w:color w:val="auto"/>
              </w:rPr>
            </w:pPr>
            <w:r>
              <w:rPr>
                <w:rFonts w:ascii="Arial" w:cs="Arial" w:eastAsia="Arial" w:hAnsi="Arial"/>
                <w:sz w:val="18"/>
                <w:szCs w:val="18"/>
                <w:color w:val="auto"/>
              </w:rPr>
              <w:t>DOMAIN NAMES</w:t>
            </w:r>
          </w:p>
        </w:tc>
        <w:tc>
          <w:tcPr>
            <w:tcW w:w="3900" w:type="dxa"/>
            <w:vAlign w:val="bottom"/>
          </w:tcPr>
          <w:p>
            <w:pPr>
              <w:spacing w:after="0"/>
              <w:rPr>
                <w:sz w:val="24"/>
                <w:szCs w:val="24"/>
                <w:color w:val="auto"/>
              </w:rPr>
            </w:pPr>
          </w:p>
        </w:tc>
      </w:tr>
      <w:tr>
        <w:trPr>
          <w:trHeight w:val="216"/>
        </w:trPr>
        <w:tc>
          <w:tcPr>
            <w:tcW w:w="172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tcPr>
          <w:p>
            <w:pPr>
              <w:spacing w:after="0"/>
              <w:rPr>
                <w:sz w:val="18"/>
                <w:szCs w:val="18"/>
                <w:color w:val="auto"/>
              </w:rPr>
            </w:pPr>
          </w:p>
        </w:tc>
      </w:tr>
      <w:tr>
        <w:trPr>
          <w:trHeight w:val="210"/>
        </w:trPr>
        <w:tc>
          <w:tcPr>
            <w:tcW w:w="1720" w:type="dxa"/>
            <w:vAlign w:val="bottom"/>
            <w:tcBorders>
              <w:left w:val="single" w:sz="8" w:color="auto"/>
              <w:bottom w:val="single" w:sz="8" w:color="auto"/>
              <w:right w:val="single" w:sz="8" w:color="BFBFBF"/>
            </w:tcBorders>
            <w:shd w:val="clear" w:color="auto" w:fill="BFBFBF"/>
          </w:tcPr>
          <w:p>
            <w:pPr>
              <w:spacing w:after="0"/>
              <w:rPr>
                <w:sz w:val="18"/>
                <w:szCs w:val="18"/>
                <w:color w:val="auto"/>
              </w:rPr>
            </w:pPr>
          </w:p>
        </w:tc>
        <w:tc>
          <w:tcPr>
            <w:tcW w:w="3180" w:type="dxa"/>
            <w:vAlign w:val="bottom"/>
            <w:tcBorders>
              <w:bottom w:val="single" w:sz="8" w:color="auto"/>
            </w:tcBorders>
            <w:shd w:val="clear" w:color="auto" w:fill="BFBFBF"/>
          </w:tcPr>
          <w:p>
            <w:pPr>
              <w:ind w:left="560"/>
              <w:spacing w:after="0"/>
              <w:rPr>
                <w:sz w:val="20"/>
                <w:szCs w:val="20"/>
                <w:color w:val="auto"/>
              </w:rPr>
            </w:pPr>
            <w:r>
              <w:rPr>
                <w:rFonts w:ascii="Arial" w:cs="Arial" w:eastAsia="Arial" w:hAnsi="Arial"/>
                <w:sz w:val="18"/>
                <w:szCs w:val="18"/>
                <w:b w:val="1"/>
                <w:bCs w:val="1"/>
                <w:color w:val="auto"/>
              </w:rPr>
              <w:t>Domain Name</w:t>
            </w:r>
          </w:p>
        </w:tc>
        <w:tc>
          <w:tcPr>
            <w:tcW w:w="740" w:type="dxa"/>
            <w:vAlign w:val="bottom"/>
            <w:tcBorders>
              <w:bottom w:val="single" w:sz="8" w:color="auto"/>
              <w:right w:val="single" w:sz="8" w:color="auto"/>
            </w:tcBorders>
            <w:shd w:val="clear" w:color="auto" w:fill="BFBFBF"/>
          </w:tcPr>
          <w:p>
            <w:pPr>
              <w:spacing w:after="0"/>
              <w:rPr>
                <w:sz w:val="18"/>
                <w:szCs w:val="18"/>
                <w:color w:val="auto"/>
              </w:rPr>
            </w:pPr>
          </w:p>
        </w:tc>
        <w:tc>
          <w:tcPr>
            <w:tcW w:w="1700" w:type="dxa"/>
            <w:vAlign w:val="bottom"/>
            <w:tcBorders>
              <w:bottom w:val="single" w:sz="8" w:color="auto"/>
              <w:right w:val="single" w:sz="8" w:color="BFBFBF"/>
            </w:tcBorders>
            <w:shd w:val="clear" w:color="auto" w:fill="BFBFBF"/>
          </w:tcPr>
          <w:p>
            <w:pPr>
              <w:spacing w:after="0"/>
              <w:rPr>
                <w:sz w:val="18"/>
                <w:szCs w:val="18"/>
                <w:color w:val="auto"/>
              </w:rPr>
            </w:pPr>
          </w:p>
        </w:tc>
        <w:tc>
          <w:tcPr>
            <w:tcW w:w="3900" w:type="dxa"/>
            <w:vAlign w:val="bottom"/>
            <w:tcBorders>
              <w:bottom w:val="single" w:sz="8" w:color="auto"/>
              <w:right w:val="single" w:sz="8" w:color="auto"/>
            </w:tcBorders>
            <w:shd w:val="clear" w:color="auto" w:fill="BFBFBF"/>
          </w:tcPr>
          <w:p>
            <w:pPr>
              <w:ind w:left="680"/>
              <w:spacing w:after="0"/>
              <w:rPr>
                <w:sz w:val="20"/>
                <w:szCs w:val="20"/>
                <w:color w:val="auto"/>
              </w:rPr>
            </w:pPr>
            <w:r>
              <w:rPr>
                <w:rFonts w:ascii="Arial" w:cs="Arial" w:eastAsia="Arial" w:hAnsi="Arial"/>
                <w:sz w:val="18"/>
                <w:szCs w:val="18"/>
                <w:b w:val="1"/>
                <w:bCs w:val="1"/>
                <w:color w:val="auto"/>
              </w:rPr>
              <w:t>Registrant</w:t>
            </w:r>
          </w:p>
        </w:tc>
      </w:tr>
      <w:tr>
        <w:trPr>
          <w:trHeight w:val="209"/>
        </w:trPr>
        <w:tc>
          <w:tcPr>
            <w:tcW w:w="17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meetipower.com</w:t>
            </w:r>
          </w:p>
        </w:tc>
        <w:tc>
          <w:tcPr>
            <w:tcW w:w="318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Domains By Proxy</w:t>
            </w:r>
          </w:p>
        </w:tc>
        <w:tc>
          <w:tcPr>
            <w:tcW w:w="3900" w:type="dxa"/>
            <w:vAlign w:val="bottom"/>
            <w:tcBorders>
              <w:bottom w:val="single" w:sz="8" w:color="auto"/>
              <w:right w:val="single" w:sz="8" w:color="auto"/>
            </w:tcBorders>
          </w:tcPr>
          <w:p>
            <w:pPr>
              <w:spacing w:after="0"/>
              <w:rPr>
                <w:sz w:val="18"/>
                <w:szCs w:val="18"/>
                <w:color w:val="auto"/>
              </w:rPr>
            </w:pPr>
          </w:p>
        </w:tc>
      </w:tr>
      <w:tr>
        <w:trPr>
          <w:trHeight w:val="224"/>
        </w:trPr>
        <w:tc>
          <w:tcPr>
            <w:tcW w:w="17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zenHydro.com</w:t>
            </w:r>
          </w:p>
        </w:tc>
        <w:tc>
          <w:tcPr>
            <w:tcW w:w="318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iPower Inc.</w:t>
            </w:r>
          </w:p>
        </w:tc>
        <w:tc>
          <w:tcPr>
            <w:tcW w:w="3900" w:type="dxa"/>
            <w:vAlign w:val="bottom"/>
            <w:tcBorders>
              <w:right w:val="single" w:sz="8" w:color="auto"/>
            </w:tcBorders>
          </w:tcPr>
          <w:p>
            <w:pPr>
              <w:spacing w:after="0"/>
              <w:rPr>
                <w:sz w:val="19"/>
                <w:szCs w:val="19"/>
                <w:color w:val="auto"/>
              </w:rPr>
            </w:pPr>
          </w:p>
        </w:tc>
      </w:tr>
      <w:tr>
        <w:trPr>
          <w:trHeight w:val="202"/>
        </w:trPr>
        <w:tc>
          <w:tcPr>
            <w:tcW w:w="1720" w:type="dxa"/>
            <w:vAlign w:val="bottom"/>
            <w:tcBorders>
              <w:left w:val="single" w:sz="8" w:color="auto"/>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spacing w:after="0"/>
              <w:rPr>
                <w:sz w:val="17"/>
                <w:szCs w:val="17"/>
                <w:color w:val="auto"/>
              </w:rPr>
            </w:pPr>
          </w:p>
        </w:tc>
      </w:tr>
      <w:tr>
        <w:trPr>
          <w:trHeight w:val="224"/>
        </w:trPr>
        <w:tc>
          <w:tcPr>
            <w:tcW w:w="172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simpledeluxe.com</w:t>
            </w:r>
          </w:p>
        </w:tc>
        <w:tc>
          <w:tcPr>
            <w:tcW w:w="3180" w:type="dxa"/>
            <w:vAlign w:val="bottom"/>
          </w:tcPr>
          <w:p>
            <w:pPr>
              <w:spacing w:after="0"/>
              <w:rPr>
                <w:sz w:val="19"/>
                <w:szCs w:val="19"/>
                <w:color w:val="auto"/>
              </w:rPr>
            </w:pPr>
          </w:p>
        </w:tc>
        <w:tc>
          <w:tcPr>
            <w:tcW w:w="740" w:type="dxa"/>
            <w:vAlign w:val="bottom"/>
            <w:tcBorders>
              <w:right w:val="single" w:sz="8" w:color="auto"/>
            </w:tcBorders>
          </w:tcPr>
          <w:p>
            <w:pPr>
              <w:spacing w:after="0"/>
              <w:rPr>
                <w:sz w:val="19"/>
                <w:szCs w:val="19"/>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iPower Inc.</w:t>
            </w:r>
          </w:p>
        </w:tc>
        <w:tc>
          <w:tcPr>
            <w:tcW w:w="3900" w:type="dxa"/>
            <w:vAlign w:val="bottom"/>
            <w:tcBorders>
              <w:right w:val="single" w:sz="8" w:color="auto"/>
            </w:tcBorders>
          </w:tcPr>
          <w:p>
            <w:pPr>
              <w:spacing w:after="0"/>
              <w:rPr>
                <w:sz w:val="19"/>
                <w:szCs w:val="19"/>
                <w:color w:val="auto"/>
              </w:rPr>
            </w:pPr>
          </w:p>
        </w:tc>
      </w:tr>
      <w:tr>
        <w:trPr>
          <w:trHeight w:val="202"/>
        </w:trPr>
        <w:tc>
          <w:tcPr>
            <w:tcW w:w="1720" w:type="dxa"/>
            <w:vAlign w:val="bottom"/>
            <w:tcBorders>
              <w:left w:val="single" w:sz="8" w:color="auto"/>
              <w:bottom w:val="single" w:sz="8" w:color="auto"/>
            </w:tcBorders>
          </w:tcPr>
          <w:p>
            <w:pPr>
              <w:spacing w:after="0"/>
              <w:rPr>
                <w:sz w:val="17"/>
                <w:szCs w:val="17"/>
                <w:color w:val="auto"/>
              </w:rPr>
            </w:pPr>
          </w:p>
        </w:tc>
        <w:tc>
          <w:tcPr>
            <w:tcW w:w="318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3900" w:type="dxa"/>
            <w:vAlign w:val="bottom"/>
            <w:tcBorders>
              <w:bottom w:val="single" w:sz="8" w:color="auto"/>
              <w:right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29" w:name="page230"/>
    <w:bookmarkEnd w:id="229"/>
    <w:p>
      <w:pPr>
        <w:jc w:val="center"/>
        <w:ind w:right="-1100"/>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(See Section 3.11 of Security Agreement)</w:t>
      </w:r>
    </w:p>
    <w:p>
      <w:pPr>
        <w:spacing w:after="0" w:line="234"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TITLE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Vehicles subject to certificates of 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right="3879" w:firstLine="8"/>
        <w:spacing w:after="0" w:line="527" w:lineRule="auto"/>
        <w:tabs>
          <w:tab w:leader="none" w:pos="21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Aircraft/engines/parts, ships, railcars and other vehicles governed by federal statute: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30" w:name="page231"/>
    <w:bookmarkEnd w:id="230"/>
    <w:p>
      <w:pPr>
        <w:jc w:val="center"/>
        <w:ind w:right="-1120"/>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(See Section 3.11 of Security Agreement)</w:t>
      </w:r>
    </w:p>
    <w:p>
      <w:pPr>
        <w:spacing w:after="0" w:line="21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FIXTURES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I. Legal description, county and street address of property on which Fixtures are located (by Grantor):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right="7199" w:firstLine="8"/>
        <w:spacing w:after="0" w:line="527" w:lineRule="auto"/>
        <w:tabs>
          <w:tab w:leader="none" w:pos="21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Name and Address of Record Owner: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31" w:name="page232"/>
    <w:bookmarkEnd w:id="231"/>
    <w:p>
      <w:pPr>
        <w:jc w:val="center"/>
        <w:spacing w:after="0"/>
        <w:rPr>
          <w:sz w:val="20"/>
          <w:szCs w:val="20"/>
          <w:color w:val="auto"/>
        </w:rPr>
      </w:pPr>
      <w:r>
        <w:rPr>
          <w:rFonts w:ascii="Arial" w:cs="Arial" w:eastAsia="Arial" w:hAnsi="Arial"/>
          <w:sz w:val="18"/>
          <w:szCs w:val="18"/>
          <w:b w:val="1"/>
          <w:bCs w:val="1"/>
          <w:color w:val="auto"/>
        </w:rPr>
        <w:t>EXHIBIT 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Section 3.13 of Security Agreement and Definition of “Pledged Collateral”)</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PLEDGED COLLATERAL, SECURITIES AND OTHER INVESTMENT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GOVERNMENT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SECURITIES OR OTHER INVESTMENT PROPERTY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(CERTIFICATED AND UNCERTIFICATED)</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shd w:val="clear" w:color="auto" w:fill="BFBFBF"/>
          </w:tcPr>
          <w:p>
            <w:pPr>
              <w:ind w:left="760"/>
              <w:spacing w:after="0"/>
              <w:rPr>
                <w:sz w:val="20"/>
                <w:szCs w:val="20"/>
                <w:color w:val="auto"/>
              </w:rPr>
            </w:pPr>
            <w:r>
              <w:rPr>
                <w:rFonts w:ascii="Arial" w:cs="Arial" w:eastAsia="Arial" w:hAnsi="Arial"/>
                <w:sz w:val="18"/>
                <w:szCs w:val="18"/>
                <w:b w:val="1"/>
                <w:bCs w:val="1"/>
                <w:color w:val="auto"/>
              </w:rPr>
              <w:t>Name of Grantor</w:t>
            </w:r>
          </w:p>
        </w:tc>
        <w:tc>
          <w:tcPr>
            <w:tcW w:w="2800" w:type="dxa"/>
            <w:vAlign w:val="bottom"/>
            <w:tcBorders>
              <w:top w:val="single" w:sz="8" w:color="auto"/>
              <w:bottom w:val="single" w:sz="8" w:color="auto"/>
              <w:right w:val="single" w:sz="8" w:color="auto"/>
            </w:tcBorders>
            <w:shd w:val="clear" w:color="auto" w:fill="BFBFBF"/>
          </w:tcPr>
          <w:p>
            <w:pPr>
              <w:ind w:left="1160"/>
              <w:spacing w:after="0"/>
              <w:rPr>
                <w:sz w:val="20"/>
                <w:szCs w:val="20"/>
                <w:color w:val="auto"/>
              </w:rPr>
            </w:pPr>
            <w:r>
              <w:rPr>
                <w:rFonts w:ascii="Arial" w:cs="Arial" w:eastAsia="Arial" w:hAnsi="Arial"/>
                <w:sz w:val="18"/>
                <w:szCs w:val="18"/>
                <w:b w:val="1"/>
                <w:bCs w:val="1"/>
                <w:color w:val="auto"/>
              </w:rPr>
              <w:t>Issuer</w:t>
            </w:r>
          </w:p>
        </w:tc>
        <w:tc>
          <w:tcPr>
            <w:tcW w:w="2820" w:type="dxa"/>
            <w:vAlign w:val="bottom"/>
            <w:tcBorders>
              <w:top w:val="single" w:sz="8" w:color="auto"/>
              <w:bottom w:val="single" w:sz="8" w:color="auto"/>
              <w:right w:val="single" w:sz="8" w:color="auto"/>
            </w:tcBorders>
            <w:shd w:val="clear" w:color="auto" w:fill="BFBFBF"/>
          </w:tcPr>
          <w:p>
            <w:pPr>
              <w:ind w:left="400"/>
              <w:spacing w:after="0"/>
              <w:rPr>
                <w:sz w:val="20"/>
                <w:szCs w:val="20"/>
                <w:color w:val="auto"/>
              </w:rPr>
            </w:pPr>
            <w:r>
              <w:rPr>
                <w:rFonts w:ascii="Arial" w:cs="Arial" w:eastAsia="Arial" w:hAnsi="Arial"/>
                <w:sz w:val="18"/>
                <w:szCs w:val="18"/>
                <w:b w:val="1"/>
                <w:bCs w:val="1"/>
                <w:color w:val="auto"/>
              </w:rPr>
              <w:t>Description of Collateral*</w:t>
            </w:r>
          </w:p>
        </w:tc>
        <w:tc>
          <w:tcPr>
            <w:tcW w:w="2780" w:type="dxa"/>
            <w:vAlign w:val="bottom"/>
            <w:tcBorders>
              <w:top w:val="single" w:sz="8" w:color="auto"/>
              <w:bottom w:val="single" w:sz="8" w:color="auto"/>
              <w:right w:val="single" w:sz="8" w:color="auto"/>
            </w:tcBorders>
            <w:shd w:val="clear" w:color="auto" w:fill="BFBFBF"/>
          </w:tcPr>
          <w:p>
            <w:pPr>
              <w:jc w:val="right"/>
              <w:ind w:right="130"/>
              <w:spacing w:after="0"/>
              <w:rPr>
                <w:sz w:val="20"/>
                <w:szCs w:val="20"/>
                <w:color w:val="auto"/>
              </w:rPr>
            </w:pPr>
            <w:r>
              <w:rPr>
                <w:rFonts w:ascii="Arial" w:cs="Arial" w:eastAsia="Arial" w:hAnsi="Arial"/>
                <w:sz w:val="18"/>
                <w:szCs w:val="18"/>
                <w:b w:val="1"/>
                <w:bCs w:val="1"/>
                <w:color w:val="auto"/>
                <w:w w:val="95"/>
              </w:rPr>
              <w:t>Percentage Ownership Interest</w:t>
            </w:r>
          </w:p>
        </w:tc>
      </w:tr>
      <w:tr>
        <w:trPr>
          <w:trHeight w:val="224"/>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E Marketing Solution Inc.</w:t>
            </w:r>
          </w:p>
        </w:tc>
        <w:tc>
          <w:tcPr>
            <w:tcW w:w="2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shares of common stock</w:t>
            </w:r>
          </w:p>
        </w:tc>
        <w:tc>
          <w:tcPr>
            <w:tcW w:w="2780" w:type="dxa"/>
            <w:vAlign w:val="bottom"/>
            <w:tcBorders>
              <w:right w:val="single" w:sz="8" w:color="auto"/>
            </w:tcBorders>
          </w:tcPr>
          <w:p>
            <w:pPr>
              <w:jc w:val="right"/>
              <w:ind w:right="2290"/>
              <w:spacing w:after="0"/>
              <w:rPr>
                <w:sz w:val="20"/>
                <w:szCs w:val="20"/>
                <w:color w:val="auto"/>
              </w:rPr>
            </w:pPr>
            <w:r>
              <w:rPr>
                <w:rFonts w:ascii="Arial" w:cs="Arial" w:eastAsia="Arial" w:hAnsi="Arial"/>
                <w:sz w:val="18"/>
                <w:szCs w:val="18"/>
                <w:color w:val="auto"/>
                <w:w w:val="82"/>
              </w:rPr>
              <w:t>100%</w:t>
            </w:r>
          </w:p>
        </w:tc>
      </w:tr>
      <w:tr>
        <w:trPr>
          <w:trHeight w:val="202"/>
        </w:trPr>
        <w:tc>
          <w:tcPr>
            <w:tcW w:w="2840" w:type="dxa"/>
            <w:vAlign w:val="bottom"/>
            <w:tcBorders>
              <w:left w:val="single" w:sz="8" w:color="auto"/>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r>
        <w:trPr>
          <w:trHeight w:val="224"/>
        </w:trPr>
        <w:tc>
          <w:tcPr>
            <w:tcW w:w="28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iPower Inc.</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Global Product Marketing Inc.</w:t>
            </w:r>
          </w:p>
        </w:tc>
        <w:tc>
          <w:tcPr>
            <w:tcW w:w="28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One (1) share of common stock</w:t>
            </w:r>
          </w:p>
        </w:tc>
        <w:tc>
          <w:tcPr>
            <w:tcW w:w="2780" w:type="dxa"/>
            <w:vAlign w:val="bottom"/>
            <w:tcBorders>
              <w:right w:val="single" w:sz="8" w:color="auto"/>
            </w:tcBorders>
          </w:tcPr>
          <w:p>
            <w:pPr>
              <w:jc w:val="right"/>
              <w:ind w:right="2290"/>
              <w:spacing w:after="0"/>
              <w:rPr>
                <w:sz w:val="20"/>
                <w:szCs w:val="20"/>
                <w:color w:val="auto"/>
              </w:rPr>
            </w:pPr>
            <w:r>
              <w:rPr>
                <w:rFonts w:ascii="Arial" w:cs="Arial" w:eastAsia="Arial" w:hAnsi="Arial"/>
                <w:sz w:val="18"/>
                <w:szCs w:val="18"/>
                <w:color w:val="auto"/>
                <w:w w:val="82"/>
              </w:rPr>
              <w:t>100%</w:t>
            </w:r>
          </w:p>
        </w:tc>
      </w:tr>
      <w:tr>
        <w:trPr>
          <w:trHeight w:val="202"/>
        </w:trPr>
        <w:tc>
          <w:tcPr>
            <w:tcW w:w="2840" w:type="dxa"/>
            <w:vAlign w:val="bottom"/>
            <w:tcBorders>
              <w:left w:val="single" w:sz="8" w:color="auto"/>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c>
          <w:tcPr>
            <w:tcW w:w="2820" w:type="dxa"/>
            <w:vAlign w:val="bottom"/>
            <w:tcBorders>
              <w:bottom w:val="single" w:sz="8" w:color="auto"/>
              <w:right w:val="single" w:sz="8" w:color="auto"/>
            </w:tcBorders>
          </w:tcPr>
          <w:p>
            <w:pPr>
              <w:spacing w:after="0"/>
              <w:rPr>
                <w:sz w:val="17"/>
                <w:szCs w:val="17"/>
                <w:color w:val="auto"/>
              </w:rPr>
            </w:pPr>
          </w:p>
        </w:tc>
        <w:tc>
          <w:tcPr>
            <w:tcW w:w="2780" w:type="dxa"/>
            <w:vAlign w:val="bottom"/>
            <w:tcBorders>
              <w:bottom w:val="single" w:sz="8" w:color="auto"/>
              <w:right w:val="single" w:sz="8" w:color="auto"/>
            </w:tcBorders>
          </w:tcPr>
          <w:p>
            <w:pPr>
              <w:spacing w:after="0"/>
              <w:rPr>
                <w:sz w:val="17"/>
                <w:szCs w:val="17"/>
                <w:color w:val="auto"/>
              </w:rPr>
            </w:pPr>
          </w:p>
        </w:tc>
      </w:tr>
    </w:tbl>
    <w:p>
      <w:pPr>
        <w:jc w:val="center"/>
        <w:ind w:left="340" w:right="420"/>
        <w:spacing w:after="0" w:line="290" w:lineRule="auto"/>
        <w:rPr>
          <w:sz w:val="20"/>
          <w:szCs w:val="20"/>
          <w:color w:val="auto"/>
        </w:rPr>
      </w:pPr>
      <w:r>
        <w:rPr>
          <w:rFonts w:ascii="Arial" w:cs="Arial" w:eastAsia="Arial" w:hAnsi="Arial"/>
          <w:sz w:val="17"/>
          <w:szCs w:val="17"/>
          <w:color w:val="auto"/>
        </w:rPr>
        <w:t>*The securities listed above have been pledged and are subject to a lien in favor of the U.S. Small Business Administration pursuant to the Loan Authorization and Agreement, dated April 18, 2020, between BZRTH Inc., and U.S. Small Business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2" w:name="page233"/>
    <w:bookmarkEnd w:id="232"/>
    <w:p>
      <w:pPr>
        <w:jc w:val="center"/>
        <w:ind w:right="-1120"/>
        <w:spacing w:after="0"/>
        <w:rPr>
          <w:sz w:val="20"/>
          <w:szCs w:val="20"/>
          <w:color w:val="auto"/>
        </w:rPr>
      </w:pPr>
      <w:r>
        <w:rPr>
          <w:rFonts w:ascii="Arial" w:cs="Arial" w:eastAsia="Arial" w:hAnsi="Arial"/>
          <w:sz w:val="18"/>
          <w:szCs w:val="18"/>
          <w:b w:val="1"/>
          <w:bCs w:val="1"/>
          <w:color w:val="auto"/>
        </w:rPr>
        <w:t>EXHIBIT H</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(See Section 3.1 of Security Agreement)</w:t>
      </w:r>
    </w:p>
    <w:p>
      <w:pPr>
        <w:spacing w:after="0" w:line="211" w:lineRule="exact"/>
        <w:rPr>
          <w:sz w:val="20"/>
          <w:szCs w:val="20"/>
          <w:color w:val="auto"/>
        </w:rPr>
      </w:pPr>
    </w:p>
    <w:p>
      <w:pPr>
        <w:jc w:val="right"/>
        <w:ind w:right="1799"/>
        <w:spacing w:after="0"/>
        <w:rPr>
          <w:sz w:val="20"/>
          <w:szCs w:val="20"/>
          <w:color w:val="auto"/>
        </w:rPr>
      </w:pPr>
      <w:r>
        <w:rPr>
          <w:rFonts w:ascii="Arial" w:cs="Arial" w:eastAsia="Arial" w:hAnsi="Arial"/>
          <w:sz w:val="18"/>
          <w:szCs w:val="18"/>
          <w:color w:val="auto"/>
        </w:rPr>
        <w:t>OFFICES IN WHICH FINANCING STATEMENTS HAVE BEEN FILED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Nevada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Secretary of State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b w:val="1"/>
          <w:bCs w:val="1"/>
          <w:color w:val="auto"/>
        </w:rPr>
        <w:t>EXHIBIT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Section 4.4 and 4.8 of Security Agreement)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dated ________________, ___ is delivered pursuant to Section [4.4][4.8] of the Security Agreement referred to below. All defined terms</w:t>
      </w:r>
    </w:p>
    <w:p>
      <w:pPr>
        <w:spacing w:after="0" w:line="4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herein shall have the meanings ascribed thereto or incorporated by reference in the Security Agreement. The undersigned hereby certifies that the representations and warranties in Article III of the Security Agreement are and continue to be true and correct. The undersigned further agrees that this Amendment may be attached to that certain Pledge and Security Agreement, dated November 12, 2021, between the undersigned, as the Grantors, and JPMorgan Chase Bank, N.A., as the Administrative Agent (as amended, restated, supplemented or otherwise modified from time to time prior to the date hereof, the “</w:t>
      </w:r>
      <w:r>
        <w:rPr>
          <w:rFonts w:ascii="Arial" w:cs="Arial" w:eastAsia="Arial" w:hAnsi="Arial"/>
          <w:sz w:val="17"/>
          <w:szCs w:val="17"/>
          <w:u w:val="single" w:color="auto"/>
          <w:color w:val="auto"/>
        </w:rPr>
        <w:t>Security Agreement</w:t>
      </w:r>
      <w:r>
        <w:rPr>
          <w:rFonts w:ascii="Arial" w:cs="Arial" w:eastAsia="Arial" w:hAnsi="Arial"/>
          <w:sz w:val="17"/>
          <w:szCs w:val="17"/>
          <w:color w:val="auto"/>
        </w:rPr>
        <w:t xml:space="preserve">”) and that the Collateral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this Amendment shall be and become a part of the Collateral referred to in said Security Agreement and shall secure all Secured Obligations referred to in the Security Agreement.</w:t>
      </w:r>
    </w:p>
    <w:p>
      <w:pPr>
        <w:spacing w:after="0" w:line="17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IPOWER INC.,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_________________________</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E MARKETING SOLUTION INC,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California corporation</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GLOBAL PRODUCT MARKETING INC.,</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 Nevada corporation</w:t>
      </w:r>
    </w:p>
    <w:p>
      <w:pPr>
        <w:spacing w:after="0" w:line="200" w:lineRule="exact"/>
        <w:rPr>
          <w:sz w:val="20"/>
          <w:szCs w:val="20"/>
          <w:color w:val="auto"/>
        </w:rPr>
      </w:pPr>
    </w:p>
    <w:p>
      <w:pPr>
        <w:spacing w:after="0" w:line="2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 ________________________</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color w:val="auto"/>
        </w:rPr>
        <w:t>SCHEDULE I TO AMENDMENT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280" w:type="dxa"/>
            <w:vAlign w:val="bottom"/>
            <w:tcBorders>
              <w:top w:val="single" w:sz="8" w:color="auto"/>
              <w:left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230"/>
        </w:trPr>
        <w:tc>
          <w:tcPr>
            <w:tcW w:w="2280" w:type="dxa"/>
            <w:vAlign w:val="bottom"/>
            <w:tcBorders>
              <w:left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Name of Grantor</w:t>
            </w:r>
          </w:p>
        </w:tc>
        <w:tc>
          <w:tcPr>
            <w:tcW w:w="1800" w:type="dxa"/>
            <w:vAlign w:val="bottom"/>
            <w:tcBorders>
              <w:right w:val="single" w:sz="8" w:color="auto"/>
            </w:tcBorders>
            <w:vMerge w:val="restart"/>
          </w:tcPr>
          <w:p>
            <w:pPr>
              <w:ind w:left="680"/>
              <w:spacing w:after="0"/>
              <w:rPr>
                <w:sz w:val="20"/>
                <w:szCs w:val="20"/>
                <w:color w:val="auto"/>
              </w:rPr>
            </w:pPr>
            <w:r>
              <w:rPr>
                <w:rFonts w:ascii="Arial" w:cs="Arial" w:eastAsia="Arial" w:hAnsi="Arial"/>
                <w:sz w:val="18"/>
                <w:szCs w:val="18"/>
                <w:color w:val="auto"/>
              </w:rPr>
              <w:t>Issuer</w:t>
            </w:r>
          </w:p>
        </w:tc>
        <w:tc>
          <w:tcPr>
            <w:tcW w:w="18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Certificate Number(s)</w:t>
            </w:r>
          </w:p>
        </w:tc>
        <w:tc>
          <w:tcPr>
            <w:tcW w:w="17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Number of Shares</w:t>
            </w:r>
          </w:p>
        </w:tc>
        <w:tc>
          <w:tcPr>
            <w:tcW w:w="1800" w:type="dxa"/>
            <w:vAlign w:val="bottom"/>
            <w:tcBorders>
              <w:right w:val="single" w:sz="8" w:color="auto"/>
            </w:tcBorders>
            <w:vMerge w:val="restart"/>
          </w:tcPr>
          <w:p>
            <w:pPr>
              <w:ind w:left="380"/>
              <w:spacing w:after="0"/>
              <w:rPr>
                <w:sz w:val="20"/>
                <w:szCs w:val="20"/>
                <w:color w:val="auto"/>
              </w:rPr>
            </w:pPr>
            <w:r>
              <w:rPr>
                <w:rFonts w:ascii="Arial" w:cs="Arial" w:eastAsia="Arial" w:hAnsi="Arial"/>
                <w:sz w:val="18"/>
                <w:szCs w:val="18"/>
                <w:color w:val="auto"/>
              </w:rPr>
              <w:t>Class of Stock</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Outstanding Shares</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vMerge w:val="continue"/>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vMerge w:val="continue"/>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BONDS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280" w:type="dxa"/>
            <w:vAlign w:val="bottom"/>
            <w:tcBorders>
              <w:top w:val="single" w:sz="8" w:color="auto"/>
              <w:left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Name of Grantor</w:t>
            </w:r>
          </w:p>
        </w:tc>
        <w:tc>
          <w:tcPr>
            <w:tcW w:w="180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Issuer</w:t>
            </w:r>
          </w:p>
        </w:tc>
        <w:tc>
          <w:tcPr>
            <w:tcW w:w="180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Number</w:t>
            </w:r>
          </w:p>
        </w:tc>
        <w:tc>
          <w:tcPr>
            <w:tcW w:w="1780" w:type="dxa"/>
            <w:vAlign w:val="bottom"/>
            <w:tcBorders>
              <w:top w:val="single" w:sz="8" w:color="auto"/>
              <w:bottom w:val="single" w:sz="8" w:color="auto"/>
              <w:right w:val="single" w:sz="8" w:color="auto"/>
            </w:tcBorders>
          </w:tcPr>
          <w:p>
            <w:pPr>
              <w:ind w:left="400"/>
              <w:spacing w:after="0"/>
              <w:rPr>
                <w:sz w:val="20"/>
                <w:szCs w:val="20"/>
                <w:color w:val="auto"/>
              </w:rPr>
            </w:pPr>
            <w:r>
              <w:rPr>
                <w:rFonts w:ascii="Arial" w:cs="Arial" w:eastAsia="Arial" w:hAnsi="Arial"/>
                <w:sz w:val="18"/>
                <w:szCs w:val="18"/>
                <w:color w:val="auto"/>
              </w:rPr>
              <w:t>Face Amount</w:t>
            </w:r>
          </w:p>
        </w:tc>
        <w:tc>
          <w:tcPr>
            <w:tcW w:w="1800" w:type="dxa"/>
            <w:vAlign w:val="bottom"/>
            <w:tcBorders>
              <w:top w:val="single" w:sz="8" w:color="auto"/>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Coupon Rate</w:t>
            </w:r>
          </w:p>
        </w:tc>
        <w:tc>
          <w:tcPr>
            <w:tcW w:w="178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Maturity</w:t>
            </w: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09"/>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bl>
    <w:p>
      <w:pPr>
        <w:jc w:val="center"/>
        <w:spacing w:after="0"/>
        <w:rPr>
          <w:sz w:val="20"/>
          <w:szCs w:val="20"/>
          <w:color w:val="auto"/>
        </w:rPr>
      </w:pPr>
      <w:r>
        <w:rPr>
          <w:rFonts w:ascii="Arial" w:cs="Arial" w:eastAsia="Arial" w:hAnsi="Arial"/>
          <w:sz w:val="18"/>
          <w:szCs w:val="18"/>
          <w:color w:val="auto"/>
        </w:rPr>
        <w:t>GOVERNMENT SECURITIES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1820" w:type="dxa"/>
            <w:vAlign w:val="bottom"/>
            <w:tcBorders>
              <w:top w:val="single" w:sz="8" w:color="auto"/>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Name of Grantor</w:t>
            </w:r>
          </w:p>
        </w:tc>
        <w:tc>
          <w:tcPr>
            <w:tcW w:w="1580" w:type="dxa"/>
            <w:vAlign w:val="bottom"/>
            <w:tcBorders>
              <w:top w:val="single" w:sz="8" w:color="auto"/>
              <w:bottom w:val="single" w:sz="8" w:color="auto"/>
              <w:right w:val="single" w:sz="8" w:color="auto"/>
            </w:tcBorders>
          </w:tcPr>
          <w:p>
            <w:pPr>
              <w:ind w:left="560"/>
              <w:spacing w:after="0"/>
              <w:rPr>
                <w:sz w:val="20"/>
                <w:szCs w:val="20"/>
                <w:color w:val="auto"/>
              </w:rPr>
            </w:pPr>
            <w:r>
              <w:rPr>
                <w:rFonts w:ascii="Arial" w:cs="Arial" w:eastAsia="Arial" w:hAnsi="Arial"/>
                <w:sz w:val="18"/>
                <w:szCs w:val="18"/>
                <w:color w:val="auto"/>
              </w:rPr>
              <w:t>Issuer</w:t>
            </w:r>
          </w:p>
        </w:tc>
        <w:tc>
          <w:tcPr>
            <w:tcW w:w="1580" w:type="dxa"/>
            <w:vAlign w:val="bottom"/>
            <w:tcBorders>
              <w:top w:val="single" w:sz="8" w:color="auto"/>
              <w:bottom w:val="single" w:sz="8" w:color="auto"/>
              <w:right w:val="single" w:sz="8" w:color="auto"/>
            </w:tcBorders>
          </w:tcPr>
          <w:p>
            <w:pPr>
              <w:ind w:left="480"/>
              <w:spacing w:after="0"/>
              <w:rPr>
                <w:sz w:val="20"/>
                <w:szCs w:val="20"/>
                <w:color w:val="auto"/>
              </w:rPr>
            </w:pPr>
            <w:r>
              <w:rPr>
                <w:rFonts w:ascii="Arial" w:cs="Arial" w:eastAsia="Arial" w:hAnsi="Arial"/>
                <w:sz w:val="18"/>
                <w:szCs w:val="18"/>
                <w:color w:val="auto"/>
              </w:rPr>
              <w:t>Number</w:t>
            </w:r>
          </w:p>
        </w:tc>
        <w:tc>
          <w:tcPr>
            <w:tcW w:w="1560" w:type="dxa"/>
            <w:vAlign w:val="bottom"/>
            <w:tcBorders>
              <w:top w:val="single" w:sz="8" w:color="auto"/>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Type</w:t>
            </w:r>
          </w:p>
        </w:tc>
        <w:tc>
          <w:tcPr>
            <w:tcW w:w="158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Face Amount</w:t>
            </w:r>
          </w:p>
        </w:tc>
        <w:tc>
          <w:tcPr>
            <w:tcW w:w="1560" w:type="dxa"/>
            <w:vAlign w:val="bottom"/>
            <w:tcBorders>
              <w:top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8"/>
                <w:szCs w:val="18"/>
                <w:color w:val="auto"/>
              </w:rPr>
              <w:t>Coupon Rate</w:t>
            </w:r>
          </w:p>
        </w:tc>
        <w:tc>
          <w:tcPr>
            <w:tcW w:w="156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18"/>
                <w:szCs w:val="18"/>
                <w:color w:val="auto"/>
              </w:rPr>
              <w:t>Maturity</w:t>
            </w:r>
          </w:p>
        </w:tc>
      </w:tr>
      <w:tr>
        <w:trPr>
          <w:trHeight w:val="210"/>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09"/>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09"/>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210"/>
        </w:trPr>
        <w:tc>
          <w:tcPr>
            <w:tcW w:w="1820" w:type="dxa"/>
            <w:vAlign w:val="bottom"/>
            <w:tcBorders>
              <w:left w:val="single" w:sz="8" w:color="auto"/>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OTHER SECURITIES OR OTHER INVESTMENT PROPERTY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(CERTIFICATED AND UNCERTIFICATED)</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840" w:type="dxa"/>
            <w:vAlign w:val="bottom"/>
            <w:tcBorders>
              <w:top w:val="single" w:sz="8" w:color="auto"/>
              <w:left w:val="single" w:sz="8" w:color="auto"/>
              <w:bottom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Name of Grantor</w:t>
            </w:r>
          </w:p>
        </w:tc>
        <w:tc>
          <w:tcPr>
            <w:tcW w:w="2800" w:type="dxa"/>
            <w:vAlign w:val="bottom"/>
            <w:tcBorders>
              <w:top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8"/>
                <w:szCs w:val="18"/>
                <w:color w:val="auto"/>
              </w:rPr>
              <w:t>Issuer</w:t>
            </w:r>
          </w:p>
        </w:tc>
        <w:tc>
          <w:tcPr>
            <w:tcW w:w="2820" w:type="dxa"/>
            <w:vAlign w:val="bottom"/>
            <w:tcBorders>
              <w:top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Description of Collateral</w:t>
            </w:r>
          </w:p>
        </w:tc>
        <w:tc>
          <w:tcPr>
            <w:tcW w:w="278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18"/>
                <w:szCs w:val="18"/>
                <w:color w:val="auto"/>
                <w:w w:val="99"/>
              </w:rPr>
              <w:t>Percentage Ownership Interest</w:t>
            </w: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09"/>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Add description of custody accounts or arrangements with securities intermediary, if applicable</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COMMERCIAL TORT CLAIMS</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840" w:type="dxa"/>
            <w:vAlign w:val="bottom"/>
            <w:tcBorders>
              <w:top w:val="single" w:sz="8" w:color="auto"/>
              <w:left w:val="single" w:sz="8" w:color="auto"/>
              <w:right w:val="single" w:sz="8" w:color="auto"/>
            </w:tcBorders>
          </w:tcPr>
          <w:p>
            <w:pPr>
              <w:ind w:left="800"/>
              <w:spacing w:after="0"/>
              <w:rPr>
                <w:sz w:val="20"/>
                <w:szCs w:val="20"/>
                <w:color w:val="auto"/>
              </w:rPr>
            </w:pPr>
            <w:r>
              <w:rPr>
                <w:rFonts w:ascii="Arial" w:cs="Arial" w:eastAsia="Arial" w:hAnsi="Arial"/>
                <w:sz w:val="18"/>
                <w:szCs w:val="18"/>
                <w:color w:val="auto"/>
              </w:rPr>
              <w:t>Name of Grantor</w:t>
            </w:r>
          </w:p>
        </w:tc>
        <w:tc>
          <w:tcPr>
            <w:tcW w:w="280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color w:val="auto"/>
              </w:rPr>
              <w:t>Description of Claim</w:t>
            </w:r>
          </w:p>
        </w:tc>
        <w:tc>
          <w:tcPr>
            <w:tcW w:w="2820" w:type="dxa"/>
            <w:vAlign w:val="bottom"/>
            <w:tcBorders>
              <w:top w:val="single" w:sz="8" w:color="auto"/>
              <w:right w:val="single" w:sz="8" w:color="auto"/>
            </w:tcBorders>
          </w:tcPr>
          <w:p>
            <w:pPr>
              <w:ind w:left="1140"/>
              <w:spacing w:after="0"/>
              <w:rPr>
                <w:sz w:val="20"/>
                <w:szCs w:val="20"/>
                <w:color w:val="auto"/>
              </w:rPr>
            </w:pPr>
            <w:r>
              <w:rPr>
                <w:rFonts w:ascii="Arial" w:cs="Arial" w:eastAsia="Arial" w:hAnsi="Arial"/>
                <w:sz w:val="18"/>
                <w:szCs w:val="18"/>
                <w:color w:val="auto"/>
              </w:rPr>
              <w:t>Parties</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Case Number; Name of Court where</w:t>
            </w:r>
          </w:p>
        </w:tc>
      </w:tr>
      <w:tr>
        <w:trPr>
          <w:trHeight w:val="230"/>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2820" w:type="dxa"/>
            <w:vAlign w:val="bottom"/>
            <w:tcBorders>
              <w:bottom w:val="single" w:sz="8" w:color="auto"/>
              <w:right w:val="single" w:sz="8" w:color="auto"/>
            </w:tcBorders>
          </w:tcPr>
          <w:p>
            <w:pPr>
              <w:spacing w:after="0"/>
              <w:rPr>
                <w:sz w:val="20"/>
                <w:szCs w:val="20"/>
                <w:color w:val="auto"/>
              </w:rPr>
            </w:pPr>
          </w:p>
        </w:tc>
        <w:tc>
          <w:tcPr>
            <w:tcW w:w="2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Case was Filed</w:t>
            </w: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r>
        <w:trPr>
          <w:trHeight w:val="210"/>
        </w:trPr>
        <w:tc>
          <w:tcPr>
            <w:tcW w:w="284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c>
          <w:tcPr>
            <w:tcW w:w="2820" w:type="dxa"/>
            <w:vAlign w:val="bottom"/>
            <w:tcBorders>
              <w:bottom w:val="single" w:sz="8" w:color="auto"/>
              <w:right w:val="single" w:sz="8" w:color="auto"/>
            </w:tcBorders>
          </w:tcPr>
          <w:p>
            <w:pPr>
              <w:spacing w:after="0"/>
              <w:rPr>
                <w:sz w:val="18"/>
                <w:szCs w:val="18"/>
                <w:color w:val="auto"/>
              </w:rPr>
            </w:pPr>
          </w:p>
        </w:tc>
        <w:tc>
          <w:tcPr>
            <w:tcW w:w="278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35" w:name="page236"/>
    <w:bookmarkEnd w:id="235"/>
    <w:p>
      <w:pPr>
        <w:jc w:val="center"/>
        <w:ind w:right="-1120"/>
        <w:spacing w:after="0"/>
        <w:rPr>
          <w:sz w:val="20"/>
          <w:szCs w:val="20"/>
          <w:color w:val="auto"/>
        </w:rPr>
      </w:pPr>
      <w:r>
        <w:rPr>
          <w:rFonts w:ascii="Arial" w:cs="Arial" w:eastAsia="Arial" w:hAnsi="Arial"/>
          <w:sz w:val="18"/>
          <w:szCs w:val="18"/>
          <w:b w:val="1"/>
          <w:bCs w:val="1"/>
          <w:color w:val="auto"/>
        </w:rPr>
        <w:t>EXHIBIT J</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(See Section 4.8 of the Security Agreement and Definition of “Commercial Tort Claims”)</w:t>
      </w:r>
    </w:p>
    <w:p>
      <w:pPr>
        <w:spacing w:after="0" w:line="234"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COMMERCIAL TORT CLAIMS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6" w:right="1440"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ANNEX I TO PLEDGE AND SECURITY AGREEMENT</w:t>
      </w:r>
    </w:p>
    <w:p>
      <w:pPr>
        <w:spacing w:after="0" w:line="229"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Reference is hereby made to the Pledge and Security Agreement (as amended, restated, supplemented or otherwise modified from time to time, the “</w:t>
      </w:r>
      <w:r>
        <w:rPr>
          <w:rFonts w:ascii="Arial" w:cs="Arial" w:eastAsia="Arial" w:hAnsi="Arial"/>
          <w:sz w:val="16"/>
          <w:szCs w:val="16"/>
          <w:u w:val="single" w:color="auto"/>
          <w:color w:val="auto"/>
        </w:rPr>
        <w:t>Security Agreement</w:t>
      </w:r>
      <w:r>
        <w:rPr>
          <w:rFonts w:ascii="Arial" w:cs="Arial" w:eastAsia="Arial" w:hAnsi="Arial"/>
          <w:sz w:val="16"/>
          <w:szCs w:val="16"/>
          <w:color w:val="auto"/>
        </w:rPr>
        <w:t>”), dated as of November 12, 2021 by and among iPOWER Inc., a Nevada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certain other entities which become parties to the Security Agreement from time to time, including, without limitation, those that become party thereto by executing a Security Agreement Supplement in substantially the form hereof (such parties, including the undersigned, together with the Company, the “</w:t>
      </w:r>
      <w:r>
        <w:rPr>
          <w:rFonts w:ascii="Arial" w:cs="Arial" w:eastAsia="Arial" w:hAnsi="Arial"/>
          <w:sz w:val="16"/>
          <w:szCs w:val="16"/>
          <w:u w:val="single" w:color="auto"/>
          <w:color w:val="auto"/>
        </w:rPr>
        <w:t>Grantors</w:t>
      </w:r>
      <w:r>
        <w:rPr>
          <w:rFonts w:ascii="Arial" w:cs="Arial" w:eastAsia="Arial" w:hAnsi="Arial"/>
          <w:sz w:val="16"/>
          <w:szCs w:val="16"/>
          <w:color w:val="auto"/>
        </w:rPr>
        <w:t>”), in favor of JPMorgan Chase Bank, N.A., as Administrative Agent (the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for the benefit of the Secured Parties under the Credit Agreement. Each capitalized terms used herein and not defined herein shall have the meanings given to it in the Security Agreement.</w:t>
      </w:r>
    </w:p>
    <w:p>
      <w:pPr>
        <w:spacing w:after="0" w:line="16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By its execution below, the undersigned, [NAME OF NEW GRANTOR], a [__________________________] [corporation] [partnership]</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[limited liability company] (the “</w:t>
      </w:r>
      <w:r>
        <w:rPr>
          <w:rFonts w:ascii="Arial" w:cs="Arial" w:eastAsia="Arial" w:hAnsi="Arial"/>
          <w:sz w:val="17"/>
          <w:szCs w:val="17"/>
          <w:u w:val="single" w:color="auto"/>
          <w:color w:val="auto"/>
        </w:rPr>
        <w:t>New Grantor</w:t>
      </w:r>
      <w:r>
        <w:rPr>
          <w:rFonts w:ascii="Arial" w:cs="Arial" w:eastAsia="Arial" w:hAnsi="Arial"/>
          <w:sz w:val="17"/>
          <w:szCs w:val="17"/>
          <w:color w:val="auto"/>
        </w:rPr>
        <w:t>”) agrees to become, and does hereby become, a Grantor under the Security Agreement and agrees to be bound by such Security Agreement as if originally a party thereto. The New Grantor hereby pledges, assigns and grants to the Administrative Agent, on behalf of and for the ratable benefit of the Secured Parties, a security interest in all of the New Grantor’s right, title and interest in and to the Collateral, whether now owned or hereafter acquired, to secure the prompt and complete payment and performance of the Secured Obligations.</w:t>
      </w:r>
    </w:p>
    <w:p>
      <w:pPr>
        <w:spacing w:after="0" w:line="176"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By its execution below, the New Grantor represents and warrants as to itself that all of the representations and warranties contained in the Security Agreement are true and correct in all respects as of the date hereof; provided that, with respect to the representations and warranties by the New Grantor made as of the Closing Date, such representations and warranties by such New Grantor shall be deemed to be made as of the date hereof. The New Grantor represents and warrants that the supplements to the Exhibits to the Security Agreement attached hereto are true and correct in all respects and such supplements set forth all information required to be scheduled under the Security Agreement; provided, however, that with respect to the representations and warranties by the New Grantor made as of the Closing Date which incorporate such sections by reference as of such date, such representations and warranties by the New Grantor shall be deemed to be made as of the date hereof. The New Grantor shall take all steps necessary to perfect, in favor of the Administrative Agent, a first-priority security interest in and lien against the New Grantor’s Collateral, including, without limitation, delivering all certificated Pledged Collateral to the Administrative Agent (and other Collateral required to be delivered under the Security Agreement), and taking all steps necessary to properly perfect the Administrative Agent’s interest in any uncertificated Pledged Collateral.</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[NAME OF NEW GRANTOR], a [__________________] [corporation] [partnership] [limited liability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company] has executed and delivered this Annex I counterpart to the Security Agreement as of this ___________ day of ____________, ____.</w:t>
      </w:r>
    </w:p>
    <w:p>
      <w:pPr>
        <w:spacing w:after="0" w:line="218"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[NAME OF NEW GRANTOR]</w:t>
      </w:r>
    </w:p>
    <w:p>
      <w:pPr>
        <w:spacing w:after="0" w:line="22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By:_________________________________</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Name:_______________________________</w:t>
      </w:r>
    </w:p>
    <w:p>
      <w:pPr>
        <w:spacing w:after="0" w:line="9"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Chenlong Tan, certify that:</w:t>
      </w:r>
    </w:p>
    <w:p>
      <w:pPr>
        <w:spacing w:after="0" w:line="225" w:lineRule="exact"/>
        <w:rPr>
          <w:sz w:val="20"/>
          <w:szCs w:val="20"/>
          <w:color w:val="auto"/>
        </w:rPr>
      </w:pPr>
    </w:p>
    <w:p>
      <w:pPr>
        <w:ind w:firstLine="526"/>
        <w:spacing w:after="0" w:line="277" w:lineRule="auto"/>
        <w:tabs>
          <w:tab w:leader="none" w:pos="716"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September 30, 2021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24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2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2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6"/>
          <w:szCs w:val="16"/>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38" w:name="page239"/>
    <w:bookmarkEnd w:id="2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 Kevin Vassily, certify that:</w:t>
      </w:r>
    </w:p>
    <w:p>
      <w:pPr>
        <w:spacing w:after="0" w:line="225" w:lineRule="exact"/>
        <w:rPr>
          <w:sz w:val="20"/>
          <w:szCs w:val="20"/>
          <w:color w:val="auto"/>
        </w:rPr>
      </w:pPr>
    </w:p>
    <w:p>
      <w:pPr>
        <w:ind w:firstLine="526"/>
        <w:spacing w:after="0" w:line="277" w:lineRule="auto"/>
        <w:tabs>
          <w:tab w:leader="none" w:pos="716"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Pursuant to Rule 15d-2 under the Securities Exchange Act of 1934 for the period ended September 30, 2021 of iPower Inc. (the “registrant”);</w:t>
      </w:r>
    </w:p>
    <w:p>
      <w:pPr>
        <w:spacing w:after="0" w:line="170" w:lineRule="exact"/>
        <w:rPr>
          <w:rFonts w:ascii="Arial" w:cs="Arial" w:eastAsia="Arial" w:hAnsi="Arial"/>
          <w:sz w:val="18"/>
          <w:szCs w:val="18"/>
          <w:color w:val="auto"/>
        </w:rPr>
      </w:pPr>
    </w:p>
    <w:p>
      <w:pPr>
        <w:ind w:right="20" w:firstLine="526"/>
        <w:spacing w:after="0" w:line="342" w:lineRule="auto"/>
        <w:tabs>
          <w:tab w:leader="none" w:pos="7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526"/>
        <w:spacing w:after="0" w:line="277" w:lineRule="auto"/>
        <w:tabs>
          <w:tab w:leader="none" w:pos="69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526"/>
        <w:spacing w:after="0" w:line="263" w:lineRule="auto"/>
        <w:tabs>
          <w:tab w:leader="none" w:pos="71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08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915"/>
        <w:spacing w:after="0" w:line="263" w:lineRule="auto"/>
        <w:tabs>
          <w:tab w:leader="none" w:pos="1103"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915"/>
        <w:spacing w:after="0" w:line="308" w:lineRule="auto"/>
        <w:tabs>
          <w:tab w:leader="none" w:pos="110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firstLine="915"/>
        <w:spacing w:after="0" w:line="263" w:lineRule="auto"/>
        <w:tabs>
          <w:tab w:leader="none" w:pos="1107" w:val="left"/>
        </w:tabs>
        <w:numPr>
          <w:ilvl w:val="1"/>
          <w:numId w:val="2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526"/>
        <w:spacing w:after="0" w:line="308" w:lineRule="auto"/>
        <w:tabs>
          <w:tab w:leader="none" w:pos="70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right="20" w:firstLine="915"/>
        <w:spacing w:after="0" w:line="277" w:lineRule="auto"/>
        <w:tabs>
          <w:tab w:leader="none" w:pos="111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915"/>
        <w:spacing w:after="0" w:line="277" w:lineRule="auto"/>
        <w:tabs>
          <w:tab w:leader="none" w:pos="1104" w:val="left"/>
        </w:tabs>
        <w:numPr>
          <w:ilvl w:val="1"/>
          <w:numId w:val="2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6"/>
          <w:szCs w:val="16"/>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September 30, 2021,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15,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Chenlong Tan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iPower Inc. (the “Company”) on Form 10-Q pursuant to Rule 15d-2 Under the Securities Exchange Act of 1934 for the period ended September 30, 2021,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49" w:lineRule="exact"/>
        <w:rPr>
          <w:sz w:val="20"/>
          <w:szCs w:val="20"/>
          <w:color w:val="auto"/>
        </w:rPr>
      </w:pPr>
    </w:p>
    <w:p>
      <w:pPr>
        <w:ind w:left="740" w:hanging="246"/>
        <w:spacing w:after="0"/>
        <w:tabs>
          <w:tab w:leader="none" w:pos="7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40" w:firstLine="494"/>
        <w:spacing w:after="0" w:line="500" w:lineRule="auto"/>
        <w:tabs>
          <w:tab w:leader="none" w:pos="741"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15,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Kevin Vassily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161925</wp:posOffset>
            </wp:positionV>
            <wp:extent cx="1251585" cy="436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515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iPower Enters Into $25 Million Credit Facility with JPMorgan Chase</w:t>
      </w:r>
    </w:p>
    <w:p>
      <w:pPr>
        <w:spacing w:after="0" w:line="230" w:lineRule="exact"/>
        <w:rPr>
          <w:sz w:val="20"/>
          <w:szCs w:val="20"/>
          <w:color w:val="auto"/>
        </w:rPr>
      </w:pPr>
    </w:p>
    <w:p>
      <w:pPr>
        <w:spacing w:after="0" w:line="289" w:lineRule="auto"/>
        <w:rPr>
          <w:sz w:val="20"/>
          <w:szCs w:val="20"/>
          <w:color w:val="auto"/>
        </w:rPr>
      </w:pPr>
      <w:r>
        <w:rPr>
          <w:rFonts w:ascii="Arial" w:cs="Arial" w:eastAsia="Arial" w:hAnsi="Arial"/>
          <w:sz w:val="17"/>
          <w:szCs w:val="17"/>
          <w:b w:val="1"/>
          <w:bCs w:val="1"/>
          <w:color w:val="auto"/>
        </w:rPr>
        <w:t xml:space="preserve">DUARTE, CA, November 15, 2021 -- </w:t>
      </w:r>
      <w:r>
        <w:rPr>
          <w:rFonts w:ascii="Arial" w:cs="Arial" w:eastAsia="Arial" w:hAnsi="Arial"/>
          <w:sz w:val="17"/>
          <w:szCs w:val="17"/>
          <w:color w:val="auto"/>
        </w:rPr>
        <w:t>iPower Inc. (Nasdaq:IPW) (“iPower” or the “Company”), one of the leading online hydroponic equipment suppliers</w:t>
      </w:r>
      <w:r>
        <w:rPr>
          <w:rFonts w:ascii="Arial" w:cs="Arial" w:eastAsia="Arial" w:hAnsi="Arial"/>
          <w:sz w:val="17"/>
          <w:szCs w:val="17"/>
          <w:b w:val="1"/>
          <w:bCs w:val="1"/>
          <w:color w:val="auto"/>
        </w:rPr>
        <w:t xml:space="preserve"> </w:t>
      </w:r>
      <w:r>
        <w:rPr>
          <w:rFonts w:ascii="Arial" w:cs="Arial" w:eastAsia="Arial" w:hAnsi="Arial"/>
          <w:sz w:val="17"/>
          <w:szCs w:val="17"/>
          <w:color w:val="auto"/>
        </w:rPr>
        <w:t>and retailers in the United States, has entered into a three-year $25 million secured revolving credit facility with JPMorgan Chase Bank, N.A. The credit facility also provides an accordion feature to borrow an additional $25 million for a total of up to $50 million.</w:t>
      </w:r>
    </w:p>
    <w:p>
      <w:pPr>
        <w:spacing w:after="0" w:line="16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“This new credit facility is an important component of our capital structure as it provides us with the flexibility to fund our growth and execute on our strategic initiatives,” said iPower CEO Lawrence Tan. “With a strengthened balance sheet, we look forward to bolstering our product research and merchandising expertise to launch new in-house SKUs, including our own nutrients brand, as well as various next-gen product design initiatives that incorporate smart functionality and sensory capabilities.”</w:t>
      </w:r>
    </w:p>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Borrowings under the new secured credit facility bear interest at LIBOR plus 2.0%-2.25%, subject to availability based primarily on iPower’s eligible accounts receivable and inventory.</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Additional details regarding iPower’s credit agreement can be found on the Form 10-Q filed with the Securities and Exchange Commission on November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iPower Inc.</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iPower Inc. is one of the leading online retailers and suppliers of hydroponics equipment and accessories in the United States. iPower offers thousands of stock keeping units from its in-house brands as well as hundreds of other brands through its website, www.zenhydro.com, and its online platform partners. All orders are fulfilled from its two fulfillment centers in Southern California. iPower has a diverse customer base that includes both commercial businesses and individuals. For more information, please visit iPower's website at https://ir.meetipower.com/.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other than statements of historical fact in this announcement are forward-looking statements. These forward-looking statements involve known and unknown risks and uncertainties and are based on current expectations and projections about future events and financial trends that iPower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iPower undertakes no obligation to update forward-looking statements to reflect subsequent occurring events or circumstances, or changes in its expectations, except as may be required by law. Although iPower believes that the expectations expressed in these forward-looking statements are reasonable, it cannot assure you that such expectations will turn out to be correct, and iPower cautions investors that actual results may differ materially from the anticipated results and encourages investors to review other factors that may affect its future results in iPower's registration statement and in its other filings with the SEC.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&amp; Canada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Sean Mansouri,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Elevate IR</w:t>
      </w:r>
    </w:p>
    <w:p>
      <w:pPr>
        <w:spacing w:after="0" w:line="9" w:lineRule="exact"/>
        <w:rPr>
          <w:sz w:val="20"/>
          <w:szCs w:val="20"/>
          <w:color w:val="auto"/>
        </w:rPr>
      </w:pPr>
    </w:p>
    <w:p>
      <w:pPr>
        <w:jc w:val="center"/>
        <w:ind w:right="9720" w:firstLine="8"/>
        <w:spacing w:after="0" w:line="323" w:lineRule="auto"/>
        <w:tabs>
          <w:tab w:leader="none" w:pos="435" w:val="left"/>
        </w:tabs>
        <w:numPr>
          <w:ilvl w:val="0"/>
          <w:numId w:val="250"/>
        </w:numPr>
        <w:rPr>
          <w:rFonts w:ascii="Arial" w:cs="Arial" w:eastAsia="Arial" w:hAnsi="Arial"/>
          <w:sz w:val="16"/>
          <w:szCs w:val="16"/>
          <w:color w:val="auto"/>
        </w:rPr>
      </w:pPr>
      <w:r>
        <w:rPr>
          <w:rFonts w:ascii="Arial" w:cs="Arial" w:eastAsia="Arial" w:hAnsi="Arial"/>
          <w:sz w:val="16"/>
          <w:szCs w:val="16"/>
          <w:color w:val="auto"/>
        </w:rPr>
        <w:t>200-4603 IPW@elevate-ir.com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Sherry Zheng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Weitian Group LLC</w:t>
      </w:r>
    </w:p>
    <w:p>
      <w:pPr>
        <w:spacing w:after="0" w:line="9" w:lineRule="exact"/>
        <w:rPr>
          <w:sz w:val="20"/>
          <w:szCs w:val="20"/>
          <w:color w:val="auto"/>
        </w:rPr>
      </w:pPr>
    </w:p>
    <w:p>
      <w:pPr>
        <w:ind w:right="9020" w:firstLine="8"/>
        <w:spacing w:after="0" w:line="323" w:lineRule="auto"/>
        <w:tabs>
          <w:tab w:leader="none" w:pos="435" w:val="left"/>
        </w:tabs>
        <w:numPr>
          <w:ilvl w:val="0"/>
          <w:numId w:val="251"/>
        </w:numPr>
        <w:rPr>
          <w:rFonts w:ascii="Arial" w:cs="Arial" w:eastAsia="Arial" w:hAnsi="Arial"/>
          <w:sz w:val="16"/>
          <w:szCs w:val="16"/>
          <w:color w:val="auto"/>
        </w:rPr>
      </w:pPr>
      <w:r>
        <w:rPr>
          <w:rFonts w:ascii="Arial" w:cs="Arial" w:eastAsia="Arial" w:hAnsi="Arial"/>
          <w:sz w:val="16"/>
          <w:szCs w:val="16"/>
          <w:color w:val="auto"/>
        </w:rPr>
        <w:t>213-7386 shunyu.zheng@weitian-ir.com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E3149"/>
    <w:multiLevelType w:val="hybridMultilevel"/>
    <w:lvl w:ilvl="0">
      <w:lvlJc w:val="left"/>
      <w:lvlText w:val="☒"/>
      <w:numFmt w:val="bullet"/>
      <w:start w:val="1"/>
    </w:lvl>
  </w:abstractNum>
  <w:abstractNum w:abstractNumId="1">
    <w:nsid w:val="2C6E4AFD"/>
    <w:multiLevelType w:val="hybridMultilevel"/>
    <w:lvl w:ilvl="0">
      <w:lvlJc w:val="left"/>
      <w:lvlText w:val="☐"/>
      <w:numFmt w:val="bullet"/>
      <w:start w:val="1"/>
    </w:lvl>
  </w:abstractNum>
  <w:abstractNum w:abstractNumId="2">
    <w:nsid w:val="17A1B582"/>
    <w:multiLevelType w:val="hybridMultilevel"/>
    <w:lvl w:ilvl="0">
      <w:lvlJc w:val="left"/>
      <w:lvlText w:val="*"/>
      <w:numFmt w:val="bullet"/>
      <w:start w:val="1"/>
    </w:lvl>
  </w:abstractNum>
  <w:abstractNum w:abstractNumId="3">
    <w:nsid w:val="4DF72E4E"/>
    <w:multiLevelType w:val="hybridMultilevel"/>
    <w:lvl w:ilvl="0">
      <w:lvlJc w:val="left"/>
      <w:lvlText w:val="·"/>
      <w:numFmt w:val="bullet"/>
      <w:start w:val="1"/>
    </w:lvl>
  </w:abstractNum>
  <w:abstractNum w:abstractNumId="4">
    <w:nsid w:val="5046B5A9"/>
    <w:multiLevelType w:val="hybridMultilevel"/>
    <w:lvl w:ilvl="0">
      <w:lvlJc w:val="left"/>
      <w:lvlText w:val="·"/>
      <w:numFmt w:val="bullet"/>
      <w:start w:val="1"/>
    </w:lvl>
  </w:abstractNum>
  <w:abstractNum w:abstractNumId="5">
    <w:nsid w:val="5D888A08"/>
    <w:multiLevelType w:val="hybridMultilevel"/>
    <w:lvl w:ilvl="0">
      <w:lvlJc w:val="left"/>
      <w:lvlText w:val="*"/>
      <w:numFmt w:val="bullet"/>
      <w:start w:val="1"/>
    </w:lvl>
  </w:abstractNum>
  <w:abstractNum w:abstractNumId="6">
    <w:nsid w:val="2A082C70"/>
    <w:multiLevelType w:val="hybridMultilevel"/>
    <w:lvl w:ilvl="0">
      <w:lvlJc w:val="left"/>
      <w:lvlText w:val="*"/>
      <w:numFmt w:val="bullet"/>
      <w:start w:val="1"/>
    </w:lvl>
    <w:lvl w:ilvl="1">
      <w:lvlJc w:val="left"/>
      <w:lvlText w:val="*"/>
      <w:numFmt w:val="bullet"/>
      <w:start w:val="1"/>
    </w:lvl>
  </w:abstractNum>
  <w:abstractNum w:abstractNumId="7">
    <w:nsid w:val="5EC6AFD4"/>
    <w:multiLevelType w:val="hybridMultilevel"/>
    <w:lvl w:ilvl="0">
      <w:lvlJc w:val="left"/>
      <w:lvlText w:val="·"/>
      <w:numFmt w:val="bullet"/>
      <w:start w:val="1"/>
    </w:lvl>
    <w:lvl w:ilvl="1">
      <w:lvlJc w:val="left"/>
      <w:lvlText w:val="Ø"/>
      <w:numFmt w:val="bullet"/>
      <w:start w:val="1"/>
    </w:lvl>
  </w:abstractNum>
  <w:abstractNum w:abstractNumId="8">
    <w:nsid w:val="19E21BB2"/>
    <w:multiLevelType w:val="hybridMultilevel"/>
    <w:lvl w:ilvl="0">
      <w:lvlJc w:val="left"/>
      <w:lvlText w:val="%1"/>
      <w:numFmt w:val="decimal"/>
      <w:start w:val="104"/>
    </w:lvl>
  </w:abstractNum>
  <w:abstractNum w:abstractNumId="9">
    <w:nsid w:val="75E0858A"/>
    <w:multiLevelType w:val="hybridMultilevel"/>
    <w:lvl w:ilvl="0">
      <w:lvlJc w:val="left"/>
      <w:lvlText w:val="(%1)"/>
      <w:numFmt w:val="lowerLetter"/>
      <w:start w:val="1"/>
    </w:lvl>
  </w:abstractNum>
  <w:abstractNum w:abstractNumId="10">
    <w:nsid w:val="57A61A29"/>
    <w:multiLevelType w:val="hybridMultilevel"/>
    <w:lvl w:ilvl="0">
      <w:lvlJc w:val="left"/>
      <w:lvlText w:val="(%1)"/>
      <w:numFmt w:val="decimal"/>
      <w:start w:val="1"/>
    </w:lvl>
  </w:abstractNum>
  <w:abstractNum w:abstractNumId="11">
    <w:nsid w:val="5399C654"/>
    <w:multiLevelType w:val="hybridMultilevel"/>
    <w:lvl w:ilvl="0">
      <w:lvlJc w:val="left"/>
      <w:lvlText w:val="(%1)"/>
      <w:numFmt w:val="decimal"/>
      <w:start w:val="1"/>
    </w:lvl>
    <w:lvl w:ilvl="1">
      <w:lvlJc w:val="left"/>
      <w:lvlText w:val="(%2)"/>
      <w:numFmt w:val="lowerLetter"/>
      <w:start w:val="1"/>
    </w:lvl>
  </w:abstractNum>
  <w:abstractNum w:abstractNumId="12">
    <w:nsid w:val="20EE1348"/>
    <w:multiLevelType w:val="hybridMultilevel"/>
    <w:lvl w:ilvl="0">
      <w:lvlJc w:val="left"/>
      <w:lvlText w:val="(%1)"/>
      <w:numFmt w:val="decimal"/>
      <w:start w:val="2"/>
    </w:lvl>
  </w:abstractNum>
  <w:abstractNum w:abstractNumId="13">
    <w:nsid w:val="4427069A"/>
    <w:multiLevelType w:val="hybridMultilevel"/>
    <w:lvl w:ilvl="0">
      <w:lvlJc w:val="left"/>
      <w:lvlText w:val="(%1)"/>
      <w:numFmt w:val="decimal"/>
      <w:start w:val="1"/>
    </w:lvl>
  </w:abstractNum>
  <w:abstractNum w:abstractNumId="14">
    <w:nsid w:val="B37E80A"/>
    <w:multiLevelType w:val="hybridMultilevel"/>
    <w:lvl w:ilvl="0">
      <w:lvlJc w:val="left"/>
      <w:lvlText w:val="(%1)"/>
      <w:numFmt w:val="decimal"/>
      <w:start w:val="4"/>
    </w:lvl>
  </w:abstractNum>
  <w:abstractNum w:abstractNumId="15">
    <w:nsid w:val="2157F6BC"/>
    <w:multiLevelType w:val="hybridMultilevel"/>
    <w:lvl w:ilvl="0">
      <w:lvlJc w:val="left"/>
      <w:lvlText w:val="(%1)"/>
      <w:numFmt w:val="decimal"/>
      <w:start w:val="1"/>
    </w:lvl>
  </w:abstractNum>
  <w:abstractNum w:abstractNumId="16">
    <w:nsid w:val="704E1DD5"/>
    <w:multiLevelType w:val="hybridMultilevel"/>
    <w:lvl w:ilvl="0">
      <w:lvlJc w:val="left"/>
      <w:lvlText w:val="(%1)"/>
      <w:numFmt w:val="decimal"/>
      <w:start w:val="1"/>
    </w:lvl>
  </w:abstractNum>
  <w:abstractNum w:abstractNumId="17">
    <w:nsid w:val="57D2F10E"/>
    <w:multiLevelType w:val="hybridMultilevel"/>
    <w:lvl w:ilvl="0">
      <w:lvlJc w:val="left"/>
      <w:lvlText w:val="(%1)"/>
      <w:numFmt w:val="lowerLetter"/>
      <w:start w:val="4"/>
    </w:lvl>
  </w:abstractNum>
  <w:abstractNum w:abstractNumId="18">
    <w:nsid w:val="BFFAE18"/>
    <w:multiLevelType w:val="hybridMultilevel"/>
    <w:lvl w:ilvl="0">
      <w:lvlJc w:val="left"/>
      <w:lvlText w:val="&gt;"/>
      <w:numFmt w:val="bullet"/>
      <w:start w:val="1"/>
    </w:lvl>
  </w:abstractNum>
  <w:abstractNum w:abstractNumId="19">
    <w:nsid w:val="E3E47A8"/>
    <w:multiLevelType w:val="hybridMultilevel"/>
    <w:lvl w:ilvl="0">
      <w:lvlJc w:val="left"/>
      <w:lvlText w:val="(%1)"/>
      <w:numFmt w:val="lowerRoman"/>
      <w:start w:val="1"/>
    </w:lvl>
  </w:abstractNum>
  <w:abstractNum w:abstractNumId="20">
    <w:nsid w:val="2E48F044"/>
    <w:multiLevelType w:val="hybridMultilevel"/>
    <w:lvl w:ilvl="0">
      <w:lvlJc w:val="left"/>
      <w:lvlText w:val="(%1)"/>
      <w:numFmt w:val="decimal"/>
      <w:start w:val="1"/>
    </w:lvl>
  </w:abstractNum>
  <w:abstractNum w:abstractNumId="21">
    <w:nsid w:val="49D0FEAC"/>
    <w:multiLevelType w:val="hybridMultilevel"/>
    <w:lvl w:ilvl="0">
      <w:lvlJc w:val="left"/>
      <w:lvlText w:val="(%1)"/>
      <w:numFmt w:val="decimal"/>
      <w:start w:val="2"/>
    </w:lvl>
  </w:abstractNum>
  <w:abstractNum w:abstractNumId="22">
    <w:nsid w:val="4BEE5A5B"/>
    <w:multiLevelType w:val="hybridMultilevel"/>
    <w:lvl w:ilvl="0">
      <w:lvlJc w:val="left"/>
      <w:lvlText w:val="(%1)"/>
      <w:numFmt w:val="lowerRoman"/>
      <w:start w:val="1"/>
    </w:lvl>
  </w:abstractNum>
  <w:abstractNum w:abstractNumId="23">
    <w:nsid w:val="5551B9F3"/>
    <w:multiLevelType w:val="hybridMultilevel"/>
    <w:lvl w:ilvl="0">
      <w:lvlJc w:val="left"/>
      <w:lvlText w:val="(%1)"/>
      <w:numFmt w:val="lowerLetter"/>
      <w:start w:val="1"/>
    </w:lvl>
  </w:abstractNum>
  <w:abstractNum w:abstractNumId="24">
    <w:nsid w:val="24F6AB8E"/>
    <w:multiLevelType w:val="hybridMultilevel"/>
    <w:lvl w:ilvl="0">
      <w:lvlJc w:val="left"/>
      <w:lvlText w:val="%1"/>
      <w:numFmt w:val="lowerLetter"/>
      <w:start w:val="1"/>
    </w:lvl>
    <w:lvl w:ilvl="1">
      <w:lvlJc w:val="left"/>
      <w:lvlText w:val="(%2)"/>
      <w:numFmt w:val="lowerLetter"/>
      <w:start w:val="1"/>
    </w:lvl>
  </w:abstractNum>
  <w:abstractNum w:abstractNumId="25">
    <w:nsid w:val="634C574C"/>
    <w:multiLevelType w:val="hybridMultilevel"/>
    <w:lvl w:ilvl="0">
      <w:lvlJc w:val="left"/>
      <w:lvlText w:val="(%1)"/>
      <w:numFmt w:val="lowerLetter"/>
      <w:start w:val="61"/>
    </w:lvl>
    <w:lvl w:ilvl="1">
      <w:lvlJc w:val="left"/>
      <w:lvlText w:val="%2"/>
      <w:numFmt w:val="lowerLetter"/>
      <w:start w:val="1"/>
    </w:lvl>
  </w:abstractNum>
  <w:abstractNum w:abstractNumId="26">
    <w:nsid w:val="24E99DD7"/>
    <w:multiLevelType w:val="hybridMultilevel"/>
    <w:lvl w:ilvl="0">
      <w:lvlJc w:val="left"/>
      <w:lvlText w:val="(%1)"/>
      <w:numFmt w:val="lowerLetter"/>
      <w:start w:val="11"/>
    </w:lvl>
  </w:abstractNum>
  <w:abstractNum w:abstractNumId="27">
    <w:nsid w:val="2A31B62D"/>
    <w:multiLevelType w:val="hybridMultilevel"/>
    <w:lvl w:ilvl="0">
      <w:lvlJc w:val="left"/>
      <w:lvlText w:val="(%1)"/>
      <w:numFmt w:val="lowerLetter"/>
      <w:start w:val="22"/>
    </w:lvl>
  </w:abstractNum>
  <w:abstractNum w:abstractNumId="28">
    <w:nsid w:val="1849C29B"/>
    <w:multiLevelType w:val="hybridMultilevel"/>
    <w:lvl w:ilvl="0">
      <w:lvlJc w:val="left"/>
      <w:lvlText w:val="(%1)"/>
      <w:numFmt w:val="lowerLetter"/>
      <w:start w:val="1"/>
    </w:lvl>
  </w:abstractNum>
  <w:abstractNum w:abstractNumId="29">
    <w:nsid w:val="7DFF9D09"/>
    <w:multiLevelType w:val="hybridMultilevel"/>
    <w:lvl w:ilvl="0">
      <w:lvlJc w:val="left"/>
      <w:lvlText w:val="(%1)"/>
      <w:numFmt w:val="lowerLetter"/>
      <w:start w:val="5"/>
    </w:lvl>
  </w:abstractNum>
  <w:abstractNum w:abstractNumId="30">
    <w:nsid w:val="754342"/>
    <w:multiLevelType w:val="hybridMultilevel"/>
    <w:lvl w:ilvl="0">
      <w:lvlJc w:val="left"/>
      <w:lvlText w:val="(%1)"/>
      <w:numFmt w:val="lowerLetter"/>
      <w:start w:val="1"/>
    </w:lvl>
    <w:lvl w:ilvl="1">
      <w:lvlJc w:val="left"/>
      <w:lvlText w:val="(%2)"/>
      <w:numFmt w:val="lowerLetter"/>
      <w:start w:val="9"/>
    </w:lvl>
  </w:abstractNum>
  <w:abstractNum w:abstractNumId="31">
    <w:nsid w:val="69E7F3E5"/>
    <w:multiLevelType w:val="hybridMultilevel"/>
    <w:lvl w:ilvl="0">
      <w:lvlJc w:val="left"/>
      <w:lvlText w:val="%1"/>
      <w:numFmt w:val="lowerLetter"/>
      <w:start w:val="1"/>
    </w:lvl>
    <w:lvl w:ilvl="1">
      <w:lvlJc w:val="left"/>
      <w:lvlText w:val="(%2)"/>
      <w:numFmt w:val="lowerRoman"/>
      <w:start w:val="2"/>
    </w:lvl>
  </w:abstractNum>
  <w:abstractNum w:abstractNumId="32">
    <w:nsid w:val="2A6DE806"/>
    <w:multiLevelType w:val="hybridMultilevel"/>
    <w:lvl w:ilvl="0">
      <w:lvlJc w:val="left"/>
      <w:lvlText w:val="(%1)"/>
      <w:numFmt w:val="lowerLetter"/>
      <w:start w:val="8"/>
    </w:lvl>
    <w:lvl w:ilvl="1">
      <w:lvlJc w:val="left"/>
      <w:lvlText w:val="%2"/>
      <w:numFmt w:val="lowerRoman"/>
      <w:start w:val="1"/>
    </w:lvl>
  </w:abstractNum>
  <w:abstractNum w:abstractNumId="33">
    <w:nsid w:val="1816F8C4"/>
    <w:multiLevelType w:val="hybridMultilevel"/>
    <w:lvl w:ilvl="0">
      <w:lvlJc w:val="left"/>
      <w:lvlText w:val="(%1)"/>
      <w:numFmt w:val="lowerLetter"/>
      <w:start w:val="14"/>
    </w:lvl>
  </w:abstractNum>
  <w:abstractNum w:abstractNumId="34">
    <w:nsid w:val="37DF2233"/>
    <w:multiLevelType w:val="hybridMultilevel"/>
    <w:lvl w:ilvl="0">
      <w:lvlJc w:val="left"/>
      <w:lvlText w:val="(%1)"/>
      <w:numFmt w:val="lowerRoman"/>
      <w:start w:val="1"/>
    </w:lvl>
  </w:abstractNum>
  <w:abstractNum w:abstractNumId="35">
    <w:nsid w:val="7AB49DAF"/>
    <w:multiLevelType w:val="hybridMultilevel"/>
    <w:lvl w:ilvl="0">
      <w:lvlJc w:val="left"/>
      <w:lvlText w:val="(%1)"/>
      <w:numFmt w:val="lowerLetter"/>
      <w:start w:val="2"/>
    </w:lvl>
  </w:abstractNum>
  <w:abstractNum w:abstractNumId="36">
    <w:nsid w:val="759F82CD"/>
    <w:multiLevelType w:val="hybridMultilevel"/>
    <w:lvl w:ilvl="0">
      <w:lvlJc w:val="left"/>
      <w:lvlText w:val="(%1)"/>
      <w:numFmt w:val="lowerLetter"/>
      <w:start w:val="3"/>
    </w:lvl>
  </w:abstractNum>
  <w:abstractNum w:abstractNumId="37">
    <w:nsid w:val="61E74EA3"/>
    <w:multiLevelType w:val="hybridMultilevel"/>
    <w:lvl w:ilvl="0">
      <w:lvlJc w:val="left"/>
      <w:lvlText w:val="(%1)"/>
      <w:numFmt w:val="lowerLetter"/>
      <w:start w:val="1"/>
    </w:lvl>
  </w:abstractNum>
  <w:abstractNum w:abstractNumId="38">
    <w:nsid w:val="597B4D84"/>
    <w:multiLevelType w:val="hybridMultilevel"/>
    <w:lvl w:ilvl="0">
      <w:lvlJc w:val="left"/>
      <w:lvlText w:val="(%1)"/>
      <w:numFmt w:val="lowerLetter"/>
      <w:start w:val="1"/>
    </w:lvl>
  </w:abstractNum>
  <w:abstractNum w:abstractNumId="39">
    <w:nsid w:val="F819E7F"/>
    <w:multiLevelType w:val="hybridMultilevel"/>
    <w:lvl w:ilvl="0">
      <w:lvlJc w:val="left"/>
      <w:lvlText w:val="(%1)"/>
      <w:numFmt w:val="lowerLetter"/>
      <w:start w:val="3"/>
    </w:lvl>
  </w:abstractNum>
  <w:abstractNum w:abstractNumId="40">
    <w:nsid w:val="57C7D42D"/>
    <w:multiLevelType w:val="hybridMultilevel"/>
    <w:lvl w:ilvl="0">
      <w:lvlJc w:val="left"/>
      <w:lvlText w:val="(%1)"/>
      <w:numFmt w:val="lowerLetter"/>
      <w:start w:val="1"/>
    </w:lvl>
  </w:abstractNum>
  <w:abstractNum w:abstractNumId="41">
    <w:nsid w:val="312167AD"/>
    <w:multiLevelType w:val="hybridMultilevel"/>
    <w:lvl w:ilvl="0">
      <w:lvlJc w:val="left"/>
      <w:lvlText w:val="(%1)"/>
      <w:numFmt w:val="lowerLetter"/>
      <w:start w:val="10"/>
    </w:lvl>
  </w:abstractNum>
  <w:abstractNum w:abstractNumId="42">
    <w:nsid w:val="631B64D4"/>
    <w:multiLevelType w:val="hybridMultilevel"/>
    <w:lvl w:ilvl="0">
      <w:lvlJc w:val="left"/>
      <w:lvlText w:val="(%1)"/>
      <w:numFmt w:val="lowerLetter"/>
      <w:start w:val="1"/>
    </w:lvl>
  </w:abstractNum>
  <w:abstractNum w:abstractNumId="43">
    <w:nsid w:val="78B5E776"/>
    <w:multiLevelType w:val="hybridMultilevel"/>
    <w:lvl w:ilvl="0">
      <w:lvlJc w:val="left"/>
      <w:lvlText w:val="(%1)"/>
      <w:numFmt w:val="lowerLetter"/>
      <w:start w:val="1"/>
    </w:lvl>
  </w:abstractNum>
  <w:abstractNum w:abstractNumId="44">
    <w:nsid w:val="75486E47"/>
    <w:multiLevelType w:val="hybridMultilevel"/>
    <w:lvl w:ilvl="0">
      <w:lvlJc w:val="left"/>
      <w:lvlText w:val="(%1)"/>
      <w:numFmt w:val="lowerLetter"/>
      <w:start w:val="1"/>
    </w:lvl>
  </w:abstractNum>
  <w:abstractNum w:abstractNumId="45">
    <w:nsid w:val="6E534CDE"/>
    <w:multiLevelType w:val="hybridMultilevel"/>
    <w:lvl w:ilvl="0">
      <w:lvlJc w:val="left"/>
      <w:lvlText w:val="(%1)"/>
      <w:numFmt w:val="lowerLetter"/>
      <w:start w:val="25"/>
    </w:lvl>
  </w:abstractNum>
  <w:abstractNum w:abstractNumId="46">
    <w:nsid w:val="1A0DDE32"/>
    <w:multiLevelType w:val="hybridMultilevel"/>
    <w:lvl w:ilvl="0">
      <w:lvlJc w:val="left"/>
      <w:lvlText w:val="(%1)"/>
      <w:numFmt w:val="lowerLetter"/>
      <w:start w:val="1"/>
    </w:lvl>
  </w:abstractNum>
  <w:abstractNum w:abstractNumId="47">
    <w:nsid w:val="65968C1C"/>
    <w:multiLevelType w:val="hybridMultilevel"/>
    <w:lvl w:ilvl="0">
      <w:lvlJc w:val="left"/>
      <w:lvlText w:val="(%1)"/>
      <w:numFmt w:val="lowerLetter"/>
      <w:start w:val="1"/>
    </w:lvl>
  </w:abstractNum>
  <w:abstractNum w:abstractNumId="48">
    <w:nsid w:val="46263DEC"/>
    <w:multiLevelType w:val="hybridMultilevel"/>
    <w:lvl w:ilvl="0">
      <w:lvlJc w:val="left"/>
      <w:lvlText w:val="(%1)"/>
      <w:numFmt w:val="lowerLetter"/>
      <w:start w:val="2"/>
    </w:lvl>
  </w:abstractNum>
  <w:abstractNum w:abstractNumId="49">
    <w:nsid w:val="260D8C4A"/>
    <w:multiLevelType w:val="hybridMultilevel"/>
    <w:lvl w:ilvl="0">
      <w:lvlJc w:val="left"/>
      <w:lvlText w:val="(%1)"/>
      <w:numFmt w:val="lowerRoman"/>
      <w:start w:val="1"/>
    </w:lvl>
  </w:abstractNum>
  <w:abstractNum w:abstractNumId="50">
    <w:nsid w:val="73D4D3C4"/>
    <w:multiLevelType w:val="hybridMultilevel"/>
    <w:lvl w:ilvl="0">
      <w:lvlJc w:val="left"/>
      <w:lvlText w:val="(%1)"/>
      <w:numFmt w:val="lowerRoman"/>
      <w:start w:val="3"/>
    </w:lvl>
  </w:abstractNum>
  <w:abstractNum w:abstractNumId="51">
    <w:nsid w:val="746F2E30"/>
    <w:multiLevelType w:val="hybridMultilevel"/>
    <w:lvl w:ilvl="0">
      <w:lvlJc w:val="left"/>
      <w:lvlText w:val="(%1)"/>
      <w:numFmt w:val="lowerLetter"/>
      <w:start w:val="2"/>
    </w:lvl>
  </w:abstractNum>
  <w:abstractNum w:abstractNumId="52">
    <w:nsid w:val="6FDE8AF6"/>
    <w:multiLevelType w:val="hybridMultilevel"/>
    <w:lvl w:ilvl="0">
      <w:lvlJc w:val="left"/>
      <w:lvlText w:val="(%1)"/>
      <w:numFmt w:val="lowerLetter"/>
      <w:start w:val="1"/>
    </w:lvl>
  </w:abstractNum>
  <w:abstractNum w:abstractNumId="53">
    <w:nsid w:val="3FC32E20"/>
    <w:multiLevelType w:val="hybridMultilevel"/>
    <w:lvl w:ilvl="0">
      <w:lvlJc w:val="left"/>
      <w:lvlText w:val="(%1)"/>
      <w:numFmt w:val="lowerLetter"/>
      <w:start w:val="3"/>
    </w:lvl>
  </w:abstractNum>
  <w:abstractNum w:abstractNumId="54">
    <w:nsid w:val="49C0E823"/>
    <w:multiLevelType w:val="hybridMultilevel"/>
    <w:lvl w:ilvl="0">
      <w:lvlJc w:val="left"/>
      <w:lvlText w:val="(%1)"/>
      <w:numFmt w:val="lowerLetter"/>
      <w:start w:val="2"/>
    </w:lvl>
  </w:abstractNum>
  <w:abstractNum w:abstractNumId="55">
    <w:nsid w:val="14D53685"/>
    <w:multiLevelType w:val="hybridMultilevel"/>
    <w:lvl w:ilvl="0">
      <w:lvlJc w:val="left"/>
      <w:lvlText w:val="(%1)"/>
      <w:numFmt w:val="lowerRoman"/>
      <w:start w:val="1"/>
    </w:lvl>
  </w:abstractNum>
  <w:abstractNum w:abstractNumId="56">
    <w:nsid w:val="230F856C"/>
    <w:multiLevelType w:val="hybridMultilevel"/>
    <w:lvl w:ilvl="0">
      <w:lvlJc w:val="left"/>
      <w:lvlText w:val="%1"/>
      <w:numFmt w:val="lowerLetter"/>
      <w:start w:val="1"/>
    </w:lvl>
    <w:lvl w:ilvl="1">
      <w:lvlJc w:val="left"/>
      <w:lvlText w:val="(%2)"/>
      <w:numFmt w:val="lowerLetter"/>
      <w:start w:val="3"/>
    </w:lvl>
  </w:abstractNum>
  <w:abstractNum w:abstractNumId="57">
    <w:nsid w:val="6EAA85FB"/>
    <w:multiLevelType w:val="hybridMultilevel"/>
    <w:lvl w:ilvl="0">
      <w:lvlJc w:val="left"/>
      <w:lvlText w:val="(%1)"/>
      <w:numFmt w:val="lowerLetter"/>
      <w:start w:val="5"/>
    </w:lvl>
    <w:lvl w:ilvl="1">
      <w:lvlJc w:val="left"/>
      <w:lvlText w:val="(%2)"/>
      <w:numFmt w:val="lowerLetter"/>
      <w:start w:val="5"/>
    </w:lvl>
  </w:abstractNum>
  <w:abstractNum w:abstractNumId="58">
    <w:nsid w:val="3F06ECB2"/>
    <w:multiLevelType w:val="hybridMultilevel"/>
    <w:lvl w:ilvl="0">
      <w:lvlJc w:val="left"/>
      <w:lvlText w:val="%1"/>
      <w:numFmt w:val="lowerLetter"/>
      <w:start w:val="1"/>
    </w:lvl>
    <w:lvl w:ilvl="1">
      <w:lvlJc w:val="left"/>
      <w:lvlText w:val="(%2)"/>
      <w:numFmt w:val="lowerLetter"/>
      <w:start w:val="6"/>
    </w:lvl>
  </w:abstractNum>
  <w:abstractNum w:abstractNumId="59">
    <w:nsid w:val="3B594807"/>
    <w:multiLevelType w:val="hybridMultilevel"/>
    <w:lvl w:ilvl="0">
      <w:lvlJc w:val="left"/>
      <w:lvlText w:val="(%1)"/>
      <w:numFmt w:val="lowerLetter"/>
      <w:start w:val="5"/>
    </w:lvl>
    <w:lvl w:ilvl="1">
      <w:lvlJc w:val="left"/>
      <w:lvlText w:val="(%2)"/>
      <w:numFmt w:val="lowerLetter"/>
      <w:start w:val="7"/>
    </w:lvl>
  </w:abstractNum>
  <w:abstractNum w:abstractNumId="60">
    <w:nsid w:val="6CAA2304"/>
    <w:multiLevelType w:val="hybridMultilevel"/>
    <w:lvl w:ilvl="0">
      <w:lvlJc w:val="left"/>
      <w:lvlText w:val="(%1)"/>
      <w:numFmt w:val="lowerRoman"/>
      <w:start w:val="1"/>
    </w:lvl>
    <w:lvl w:ilvl="1">
      <w:lvlJc w:val="left"/>
      <w:lvlText w:val="(%2)"/>
      <w:numFmt w:val="lowerRoman"/>
      <w:start w:val="1"/>
    </w:lvl>
  </w:abstractNum>
  <w:abstractNum w:abstractNumId="61">
    <w:nsid w:val="3F7C2FF4"/>
    <w:multiLevelType w:val="hybridMultilevel"/>
    <w:lvl w:ilvl="0">
      <w:lvlJc w:val="left"/>
      <w:lvlText w:val="%1"/>
      <w:numFmt w:val="lowerLetter"/>
      <w:start w:val="1"/>
    </w:lvl>
    <w:lvl w:ilvl="1">
      <w:lvlJc w:val="left"/>
      <w:lvlText w:val="(%2)"/>
      <w:numFmt w:val="lowerLetter"/>
      <w:start w:val="10"/>
    </w:lvl>
  </w:abstractNum>
  <w:abstractNum w:abstractNumId="62">
    <w:nsid w:val="25413BEC"/>
    <w:multiLevelType w:val="hybridMultilevel"/>
    <w:lvl w:ilvl="0">
      <w:lvlJc w:val="left"/>
      <w:lvlText w:val="(%1)"/>
      <w:numFmt w:val="lowerLetter"/>
      <w:start w:val="8"/>
    </w:lvl>
    <w:lvl w:ilvl="1">
      <w:lvlJc w:val="left"/>
      <w:lvlText w:val="%2"/>
      <w:numFmt w:val="lowerLetter"/>
      <w:start w:val="1"/>
    </w:lvl>
  </w:abstractNum>
  <w:abstractNum w:abstractNumId="63">
    <w:nsid w:val="17180B0B"/>
    <w:multiLevelType w:val="hybridMultilevel"/>
    <w:lvl w:ilvl="0">
      <w:lvlJc w:val="left"/>
      <w:lvlText w:val="%1"/>
      <w:numFmt w:val="lowerRoman"/>
      <w:start w:val="1"/>
    </w:lvl>
    <w:lvl w:ilvl="1">
      <w:lvlJc w:val="left"/>
      <w:lvlText w:val="(%2)"/>
      <w:numFmt w:val="lowerLetter"/>
      <w:start w:val="11"/>
    </w:lvl>
  </w:abstractNum>
  <w:abstractNum w:abstractNumId="64">
    <w:nsid w:val="579328B9"/>
    <w:multiLevelType w:val="hybridMultilevel"/>
    <w:lvl w:ilvl="0">
      <w:lvlJc w:val="left"/>
      <w:lvlText w:val="(%1)"/>
      <w:numFmt w:val="lowerRoman"/>
      <w:start w:val="4"/>
    </w:lvl>
    <w:lvl w:ilvl="1">
      <w:lvlJc w:val="left"/>
      <w:lvlText w:val="(%2)"/>
      <w:numFmt w:val="lowerLetter"/>
      <w:start w:val="12"/>
    </w:lvl>
  </w:abstractNum>
  <w:abstractNum w:abstractNumId="65">
    <w:nsid w:val="5D205E20"/>
    <w:multiLevelType w:val="hybridMultilevel"/>
    <w:lvl w:ilvl="0">
      <w:lvlJc w:val="left"/>
      <w:lvlText w:val="(%1)"/>
      <w:numFmt w:val="lowerLetter"/>
      <w:start w:val="2"/>
    </w:lvl>
  </w:abstractNum>
  <w:abstractNum w:abstractNumId="66">
    <w:nsid w:val="11CCA8BA"/>
    <w:multiLevelType w:val="hybridMultilevel"/>
    <w:lvl w:ilvl="0">
      <w:lvlJc w:val="left"/>
      <w:lvlText w:val="(%1)"/>
      <w:numFmt w:val="lowerLetter"/>
      <w:start w:val="2"/>
    </w:lvl>
    <w:lvl w:ilvl="1">
      <w:lvlJc w:val="left"/>
      <w:lvlText w:val="(%2)"/>
      <w:numFmt w:val="lowerRoman"/>
      <w:start w:val="1"/>
    </w:lvl>
  </w:abstractNum>
  <w:abstractNum w:abstractNumId="67">
    <w:nsid w:val="4D32AB86"/>
    <w:multiLevelType w:val="hybridMultilevel"/>
    <w:lvl w:ilvl="0">
      <w:lvlJc w:val="left"/>
      <w:lvlText w:val="(%1)"/>
      <w:numFmt w:val="lowerLetter"/>
      <w:start w:val="4"/>
    </w:lvl>
  </w:abstractNum>
  <w:abstractNum w:abstractNumId="68">
    <w:nsid w:val="3F07ACC3"/>
    <w:multiLevelType w:val="hybridMultilevel"/>
    <w:lvl w:ilvl="0">
      <w:lvlJc w:val="left"/>
      <w:lvlText w:val="%1"/>
      <w:numFmt w:val="decimal"/>
      <w:start w:val="1"/>
    </w:lvl>
    <w:lvl w:ilvl="1">
      <w:lvlJc w:val="left"/>
      <w:lvlText w:val="(%2)"/>
      <w:numFmt w:val="lowerLetter"/>
      <w:start w:val="2"/>
    </w:lvl>
  </w:abstractNum>
  <w:abstractNum w:abstractNumId="69">
    <w:nsid w:val="6B47F63E"/>
    <w:multiLevelType w:val="hybridMultilevel"/>
    <w:lvl w:ilvl="0">
      <w:lvlJc w:val="left"/>
      <w:lvlText w:val="(%1)"/>
      <w:numFmt w:val="decimal"/>
      <w:start w:val="1"/>
    </w:lvl>
    <w:lvl w:ilvl="1">
      <w:lvlJc w:val="left"/>
      <w:lvlText w:val="%2"/>
      <w:numFmt w:val="lowerLetter"/>
      <w:start w:val="1"/>
    </w:lvl>
  </w:abstractNum>
  <w:abstractNum w:abstractNumId="70">
    <w:nsid w:val="5CB44A05"/>
    <w:multiLevelType w:val="hybridMultilevel"/>
    <w:lvl w:ilvl="0">
      <w:lvlJc w:val="left"/>
      <w:lvlText w:val="(%1)"/>
      <w:numFmt w:val="decimal"/>
      <w:start w:val="3"/>
    </w:lvl>
    <w:lvl w:ilvl="1">
      <w:lvlJc w:val="left"/>
      <w:lvlText w:val="%2"/>
      <w:numFmt w:val="lowerLetter"/>
      <w:start w:val="1"/>
    </w:lvl>
  </w:abstractNum>
  <w:abstractNum w:abstractNumId="71">
    <w:nsid w:val="16CF80F1"/>
    <w:multiLevelType w:val="hybridMultilevel"/>
    <w:lvl w:ilvl="0">
      <w:lvlJc w:val="left"/>
      <w:lvlText w:val="(%1)"/>
      <w:numFmt w:val="lowerLetter"/>
      <w:start w:val="6"/>
    </w:lvl>
  </w:abstractNum>
  <w:abstractNum w:abstractNumId="72">
    <w:nsid w:val="1C695DEC"/>
    <w:multiLevelType w:val="hybridMultilevel"/>
    <w:lvl w:ilvl="0">
      <w:lvlJc w:val="left"/>
      <w:lvlText w:val="(%1)"/>
      <w:numFmt w:val="lowerLetter"/>
      <w:start w:val="1"/>
    </w:lvl>
  </w:abstractNum>
  <w:abstractNum w:abstractNumId="73">
    <w:nsid w:val="3FCFAED9"/>
    <w:multiLevelType w:val="hybridMultilevel"/>
    <w:lvl w:ilvl="0">
      <w:lvlJc w:val="left"/>
      <w:lvlText w:val="(%1)"/>
      <w:numFmt w:val="lowerLetter"/>
      <w:start w:val="3"/>
    </w:lvl>
  </w:abstractNum>
  <w:abstractNum w:abstractNumId="74">
    <w:nsid w:val="F856867"/>
    <w:multiLevelType w:val="hybridMultilevel"/>
    <w:lvl w:ilvl="0">
      <w:lvlJc w:val="left"/>
      <w:lvlText w:val="(%1)"/>
      <w:numFmt w:val="lowerLetter"/>
      <w:start w:val="2"/>
    </w:lvl>
  </w:abstractNum>
  <w:abstractNum w:abstractNumId="75">
    <w:nsid w:val="11B1CC33"/>
    <w:multiLevelType w:val="hybridMultilevel"/>
    <w:lvl w:ilvl="0">
      <w:lvlJc w:val="left"/>
      <w:lvlText w:val="(%1)"/>
      <w:numFmt w:val="lowerRoman"/>
      <w:start w:val="1"/>
    </w:lvl>
  </w:abstractNum>
  <w:abstractNum w:abstractNumId="76">
    <w:nsid w:val="2E22FBB7"/>
    <w:multiLevelType w:val="hybridMultilevel"/>
    <w:lvl w:ilvl="0">
      <w:lvlJc w:val="left"/>
      <w:lvlText w:val="(%1)"/>
      <w:numFmt w:val="lowerLetter"/>
      <w:start w:val="4"/>
    </w:lvl>
    <w:lvl w:ilvl="1">
      <w:lvlJc w:val="left"/>
      <w:lvlText w:val="(%2)"/>
      <w:numFmt w:val="lowerLetter"/>
      <w:start w:val="35"/>
    </w:lvl>
  </w:abstractNum>
  <w:abstractNum w:abstractNumId="77">
    <w:nsid w:val="29934699"/>
    <w:multiLevelType w:val="hybridMultilevel"/>
    <w:lvl w:ilvl="0">
      <w:lvlJc w:val="left"/>
      <w:lvlText w:val="(%1)"/>
      <w:numFmt w:val="lowerLetter"/>
      <w:start w:val="2"/>
    </w:lvl>
  </w:abstractNum>
  <w:abstractNum w:abstractNumId="78">
    <w:nsid w:val="77485850"/>
    <w:multiLevelType w:val="hybridMultilevel"/>
    <w:lvl w:ilvl="0">
      <w:lvlJc w:val="left"/>
      <w:lvlText w:val="(%1)"/>
      <w:numFmt w:val="lowerLetter"/>
      <w:start w:val="2"/>
    </w:lvl>
  </w:abstractNum>
  <w:abstractNum w:abstractNumId="79">
    <w:nsid w:val="744939A3"/>
    <w:multiLevelType w:val="hybridMultilevel"/>
    <w:lvl w:ilvl="0">
      <w:lvlJc w:val="left"/>
      <w:lvlText w:val="(%1)"/>
      <w:numFmt w:val="lowerLetter"/>
      <w:start w:val="1"/>
    </w:lvl>
    <w:lvl w:ilvl="1">
      <w:lvlJc w:val="left"/>
      <w:lvlText w:val="(%2)"/>
      <w:numFmt w:val="lowerRoman"/>
      <w:start w:val="1"/>
    </w:lvl>
  </w:abstractNum>
  <w:abstractNum w:abstractNumId="80">
    <w:nsid w:val="4FA0D2E3"/>
    <w:multiLevelType w:val="hybridMultilevel"/>
    <w:lvl w:ilvl="0">
      <w:lvlJc w:val="left"/>
      <w:lvlText w:val="(%1)"/>
      <w:numFmt w:val="lowerLetter"/>
      <w:start w:val="2"/>
    </w:lvl>
  </w:abstractNum>
  <w:abstractNum w:abstractNumId="81">
    <w:nsid w:val="6B1D2C14"/>
    <w:multiLevelType w:val="hybridMultilevel"/>
    <w:lvl w:ilvl="0">
      <w:lvlJc w:val="left"/>
      <w:lvlText w:val="(%1)"/>
      <w:numFmt w:val="lowerLetter"/>
      <w:start w:val="5"/>
    </w:lvl>
  </w:abstractNum>
  <w:abstractNum w:abstractNumId="82">
    <w:nsid w:val="68B867D3"/>
    <w:multiLevelType w:val="hybridMultilevel"/>
    <w:lvl w:ilvl="0">
      <w:lvlJc w:val="left"/>
      <w:lvlText w:val="(%1)"/>
      <w:numFmt w:val="lowerRoman"/>
      <w:start w:val="1"/>
    </w:lvl>
  </w:abstractNum>
  <w:abstractNum w:abstractNumId="83">
    <w:nsid w:val="3F7F5DD9"/>
    <w:multiLevelType w:val="hybridMultilevel"/>
    <w:lvl w:ilvl="0">
      <w:lvlJc w:val="left"/>
      <w:lvlText w:val="(%1)"/>
      <w:numFmt w:val="lowerRoman"/>
      <w:start w:val="2"/>
    </w:lvl>
  </w:abstractNum>
  <w:abstractNum w:abstractNumId="84">
    <w:nsid w:val="2AE05A34"/>
    <w:multiLevelType w:val="hybridMultilevel"/>
    <w:lvl w:ilvl="0">
      <w:lvlJc w:val="left"/>
      <w:lvlText w:val="(%1)"/>
      <w:numFmt w:val="lowerLetter"/>
      <w:start w:val="2"/>
    </w:lvl>
  </w:abstractNum>
  <w:abstractNum w:abstractNumId="85">
    <w:nsid w:val="32794FF7"/>
    <w:multiLevelType w:val="hybridMultilevel"/>
    <w:lvl w:ilvl="0">
      <w:lvlJc w:val="left"/>
      <w:lvlText w:val="(%1)"/>
      <w:numFmt w:val="lowerLetter"/>
      <w:start w:val="2"/>
    </w:lvl>
  </w:abstractNum>
  <w:abstractNum w:abstractNumId="86">
    <w:nsid w:val="5454945E"/>
    <w:multiLevelType w:val="hybridMultilevel"/>
    <w:lvl w:ilvl="0">
      <w:lvlJc w:val="left"/>
      <w:lvlText w:val="(%1)"/>
      <w:numFmt w:val="lowerLetter"/>
      <w:start w:val="5"/>
    </w:lvl>
    <w:lvl w:ilvl="1">
      <w:lvlJc w:val="left"/>
      <w:lvlText w:val="(%2)"/>
      <w:numFmt w:val="lowerRoman"/>
      <w:start w:val="2"/>
    </w:lvl>
    <w:lvl w:ilvl="2">
      <w:lvlJc w:val="left"/>
      <w:lvlText w:val="(%3)"/>
      <w:numFmt w:val="upperLetter"/>
      <w:start w:val="1"/>
    </w:lvl>
    <w:lvl w:ilvl="3">
      <w:lvlJc w:val="left"/>
      <w:lvlText w:val="(%4)"/>
      <w:numFmt w:val="decimal"/>
      <w:start w:val="1"/>
    </w:lvl>
  </w:abstractNum>
  <w:abstractNum w:abstractNumId="87">
    <w:nsid w:val="4DEFDFA0"/>
    <w:multiLevelType w:val="hybridMultilevel"/>
    <w:lvl w:ilvl="0">
      <w:lvlJc w:val="left"/>
      <w:lvlText w:val="%1"/>
      <w:numFmt w:val="upperLetter"/>
      <w:start w:val="1"/>
    </w:lvl>
    <w:lvl w:ilvl="1">
      <w:lvlJc w:val="left"/>
      <w:lvlText w:val="(%2)"/>
      <w:numFmt w:val="decimal"/>
      <w:start w:val="2"/>
    </w:lvl>
  </w:abstractNum>
  <w:abstractNum w:abstractNumId="88">
    <w:nsid w:val="2123D5F2"/>
    <w:multiLevelType w:val="hybridMultilevel"/>
    <w:lvl w:ilvl="0">
      <w:lvlJc w:val="left"/>
      <w:lvlText w:val="(%1)"/>
      <w:numFmt w:val="upperLetter"/>
      <w:start w:val="3"/>
    </w:lvl>
    <w:lvl w:ilvl="1">
      <w:lvlJc w:val="left"/>
      <w:lvlText w:val="%2"/>
      <w:numFmt w:val="decimal"/>
      <w:start w:val="1"/>
    </w:lvl>
  </w:abstractNum>
  <w:abstractNum w:abstractNumId="89">
    <w:nsid w:val="135B8110"/>
    <w:multiLevelType w:val="hybridMultilevel"/>
    <w:lvl w:ilvl="0">
      <w:lvlJc w:val="left"/>
      <w:lvlText w:val="(%1)"/>
      <w:numFmt w:val="lowerLetter"/>
      <w:start w:val="7"/>
    </w:lvl>
  </w:abstractNum>
  <w:abstractNum w:abstractNumId="90">
    <w:nsid w:val="94927A8"/>
    <w:multiLevelType w:val="hybridMultilevel"/>
    <w:lvl w:ilvl="0">
      <w:lvlJc w:val="left"/>
      <w:lvlText w:val="(%1)"/>
      <w:numFmt w:val="lowerLetter"/>
      <w:start w:val="2"/>
    </w:lvl>
  </w:abstractNum>
  <w:abstractNum w:abstractNumId="91">
    <w:nsid w:val="DCDF8F6"/>
    <w:multiLevelType w:val="hybridMultilevel"/>
    <w:lvl w:ilvl="0">
      <w:lvlJc w:val="left"/>
      <w:lvlText w:val="(%1)"/>
      <w:numFmt w:val="lowerLetter"/>
      <w:start w:val="4"/>
    </w:lvl>
  </w:abstractNum>
  <w:abstractNum w:abstractNumId="92">
    <w:nsid w:val="52D7B105"/>
    <w:multiLevelType w:val="hybridMultilevel"/>
    <w:lvl w:ilvl="0">
      <w:lvlJc w:val="left"/>
      <w:lvlText w:val="(%1)"/>
      <w:numFmt w:val="lowerLetter"/>
      <w:start w:val="1"/>
    </w:lvl>
  </w:abstractNum>
  <w:abstractNum w:abstractNumId="93">
    <w:nsid w:val="2E8A6394"/>
    <w:multiLevelType w:val="hybridMultilevel"/>
    <w:lvl w:ilvl="0">
      <w:lvlJc w:val="left"/>
      <w:lvlText w:val="(%1)"/>
      <w:numFmt w:val="lowerLetter"/>
      <w:start w:val="1"/>
    </w:lvl>
  </w:abstractNum>
  <w:abstractNum w:abstractNumId="94">
    <w:nsid w:val="24E60401"/>
    <w:multiLevelType w:val="hybridMultilevel"/>
    <w:lvl w:ilvl="0">
      <w:lvlJc w:val="left"/>
      <w:lvlText w:val="(%1)"/>
      <w:numFmt w:val="lowerLetter"/>
      <w:start w:val="2"/>
    </w:lvl>
    <w:lvl w:ilvl="1">
      <w:lvlJc w:val="left"/>
      <w:lvlText w:val="(%2)"/>
      <w:numFmt w:val="lowerLetter"/>
      <w:start w:val="9"/>
    </w:lvl>
  </w:abstractNum>
  <w:abstractNum w:abstractNumId="95">
    <w:nsid w:val="2A6AD9BE"/>
    <w:multiLevelType w:val="hybridMultilevel"/>
    <w:lvl w:ilvl="0">
      <w:lvlJc w:val="left"/>
      <w:lvlText w:val="%1"/>
      <w:numFmt w:val="lowerLetter"/>
      <w:start w:val="1"/>
    </w:lvl>
    <w:lvl w:ilvl="1">
      <w:lvlJc w:val="left"/>
      <w:lvlText w:val="(%2)"/>
      <w:numFmt w:val="lowerRoman"/>
      <w:start w:val="2"/>
    </w:lvl>
  </w:abstractNum>
  <w:abstractNum w:abstractNumId="96">
    <w:nsid w:val="BAAC1B4"/>
    <w:multiLevelType w:val="hybridMultilevel"/>
    <w:lvl w:ilvl="0">
      <w:lvlJc w:val="left"/>
      <w:lvlText w:val="(%1)"/>
      <w:numFmt w:val="lowerLetter"/>
      <w:start w:val="5"/>
    </w:lvl>
    <w:lvl w:ilvl="1">
      <w:lvlJc w:val="left"/>
      <w:lvlText w:val="%2"/>
      <w:numFmt w:val="lowerRoman"/>
      <w:start w:val="1"/>
    </w:lvl>
  </w:abstractNum>
  <w:abstractNum w:abstractNumId="97">
    <w:nsid w:val="36B2ACBC"/>
    <w:multiLevelType w:val="hybridMultilevel"/>
    <w:lvl w:ilvl="0">
      <w:lvlJc w:val="left"/>
      <w:lvlText w:val="(%1)"/>
      <w:numFmt w:val="lowerLetter"/>
      <w:start w:val="2"/>
    </w:lvl>
  </w:abstractNum>
  <w:abstractNum w:abstractNumId="98">
    <w:nsid w:val="779D8544"/>
    <w:multiLevelType w:val="hybridMultilevel"/>
    <w:lvl w:ilvl="0">
      <w:lvlJc w:val="left"/>
      <w:lvlText w:val="(%1)"/>
      <w:numFmt w:val="lowerLetter"/>
      <w:start w:val="2"/>
    </w:lvl>
  </w:abstractNum>
  <w:abstractNum w:abstractNumId="99">
    <w:nsid w:val="4AB26E78"/>
    <w:multiLevelType w:val="hybridMultilevel"/>
    <w:lvl w:ilvl="0">
      <w:lvlJc w:val="left"/>
      <w:lvlText w:val="(%1)"/>
      <w:numFmt w:val="lowerLetter"/>
      <w:start w:val="2"/>
    </w:lvl>
  </w:abstractNum>
  <w:abstractNum w:abstractNumId="100">
    <w:nsid w:val="21FAA2FA"/>
    <w:multiLevelType w:val="hybridMultilevel"/>
    <w:lvl w:ilvl="0">
      <w:lvlJc w:val="left"/>
      <w:lvlText w:val="(%1)"/>
      <w:numFmt w:val="lowerLetter"/>
      <w:start w:val="2"/>
    </w:lvl>
  </w:abstractNum>
  <w:abstractNum w:abstractNumId="101">
    <w:nsid w:val="5451CF49"/>
    <w:multiLevelType w:val="hybridMultilevel"/>
    <w:lvl w:ilvl="0">
      <w:lvlJc w:val="left"/>
      <w:lvlText w:val="(%1)"/>
      <w:numFmt w:val="lowerLetter"/>
      <w:start w:val="2"/>
    </w:lvl>
  </w:abstractNum>
  <w:abstractNum w:abstractNumId="102">
    <w:nsid w:val="6181EF69"/>
    <w:multiLevelType w:val="hybridMultilevel"/>
    <w:lvl w:ilvl="0">
      <w:lvlJc w:val="left"/>
      <w:lvlText w:val="(%1)"/>
      <w:numFmt w:val="lowerLetter"/>
      <w:start w:val="1"/>
    </w:lvl>
  </w:abstractNum>
  <w:abstractNum w:abstractNumId="103">
    <w:nsid w:val="3E6400E6"/>
    <w:multiLevelType w:val="hybridMultilevel"/>
    <w:lvl w:ilvl="0">
      <w:lvlJc w:val="left"/>
      <w:lvlText w:val="(%1)"/>
      <w:numFmt w:val="lowerLetter"/>
      <w:start w:val="3"/>
    </w:lvl>
  </w:abstractNum>
  <w:abstractNum w:abstractNumId="104">
    <w:nsid w:val="14217E23"/>
    <w:multiLevelType w:val="hybridMultilevel"/>
    <w:lvl w:ilvl="0">
      <w:lvlJc w:val="left"/>
      <w:lvlText w:val="(%1)"/>
      <w:numFmt w:val="lowerLetter"/>
      <w:start w:val="8"/>
    </w:lvl>
  </w:abstractNum>
  <w:abstractNum w:abstractNumId="105">
    <w:nsid w:val="710757D0"/>
    <w:multiLevelType w:val="hybridMultilevel"/>
    <w:lvl w:ilvl="0">
      <w:lvlJc w:val="left"/>
      <w:lvlText w:val="(%1)"/>
      <w:numFmt w:val="lowerLetter"/>
      <w:start w:val="18"/>
    </w:lvl>
  </w:abstractNum>
  <w:abstractNum w:abstractNumId="106">
    <w:nsid w:val="5015CD1A"/>
    <w:multiLevelType w:val="hybridMultilevel"/>
    <w:lvl w:ilvl="0">
      <w:lvlJc w:val="left"/>
      <w:lvlText w:val="(%1)"/>
      <w:numFmt w:val="lowerLetter"/>
      <w:start w:val="27"/>
    </w:lvl>
  </w:abstractNum>
  <w:abstractNum w:abstractNumId="107">
    <w:nsid w:val="424479DA"/>
    <w:multiLevelType w:val="hybridMultilevel"/>
    <w:lvl w:ilvl="0">
      <w:lvlJc w:val="left"/>
      <w:lvlText w:val="(%1)"/>
      <w:numFmt w:val="lowerLetter"/>
      <w:start w:val="1"/>
    </w:lvl>
  </w:abstractNum>
  <w:abstractNum w:abstractNumId="108">
    <w:nsid w:val="1A9A9E69"/>
    <w:multiLevelType w:val="hybridMultilevel"/>
    <w:lvl w:ilvl="0">
      <w:lvlJc w:val="left"/>
      <w:lvlText w:val="(%1)"/>
      <w:numFmt w:val="lowerLetter"/>
      <w:start w:val="1"/>
    </w:lvl>
  </w:abstractNum>
  <w:abstractNum w:abstractNumId="109">
    <w:nsid w:val="475E256A"/>
    <w:multiLevelType w:val="hybridMultilevel"/>
    <w:lvl w:ilvl="0">
      <w:lvlJc w:val="left"/>
      <w:lvlText w:val="(%1)"/>
      <w:numFmt w:val="lowerLetter"/>
      <w:start w:val="3"/>
    </w:lvl>
    <w:lvl w:ilvl="1">
      <w:lvlJc w:val="left"/>
      <w:lvlText w:val="(%2)"/>
      <w:numFmt w:val="lowerLetter"/>
      <w:start w:val="9"/>
    </w:lvl>
  </w:abstractNum>
  <w:abstractNum w:abstractNumId="110">
    <w:nsid w:val="368DB37E"/>
    <w:multiLevelType w:val="hybridMultilevel"/>
    <w:lvl w:ilvl="0">
      <w:lvlJc w:val="left"/>
      <w:lvlText w:val="%1"/>
      <w:numFmt w:val="lowerLetter"/>
      <w:start w:val="1"/>
    </w:lvl>
    <w:lvl w:ilvl="1">
      <w:lvlJc w:val="left"/>
      <w:lvlText w:val="(%2)"/>
      <w:numFmt w:val="lowerRoman"/>
      <w:start w:val="2"/>
    </w:lvl>
  </w:abstractNum>
  <w:abstractNum w:abstractNumId="111">
    <w:nsid w:val="6A3B714C"/>
    <w:multiLevelType w:val="hybridMultilevel"/>
    <w:lvl w:ilvl="0">
      <w:lvlJc w:val="left"/>
      <w:lvlText w:val="(%1)"/>
      <w:numFmt w:val="lowerLetter"/>
      <w:start w:val="9"/>
    </w:lvl>
    <w:lvl w:ilvl="1">
      <w:lvlJc w:val="left"/>
      <w:lvlText w:val="(%2)"/>
      <w:numFmt w:val="lowerRoman"/>
      <w:start w:val="1"/>
    </w:lvl>
  </w:abstractNum>
  <w:abstractNum w:abstractNumId="112">
    <w:nsid w:val="327B517E"/>
    <w:multiLevelType w:val="hybridMultilevel"/>
    <w:lvl w:ilvl="0">
      <w:lvlJc w:val="left"/>
      <w:lvlText w:val="(%1)"/>
      <w:numFmt w:val="lowerLetter"/>
      <w:start w:val="12"/>
    </w:lvl>
  </w:abstractNum>
  <w:abstractNum w:abstractNumId="113">
    <w:nsid w:val="1F461B51"/>
    <w:multiLevelType w:val="hybridMultilevel"/>
    <w:lvl w:ilvl="0">
      <w:lvlJc w:val="left"/>
      <w:lvlText w:val="(%1)"/>
      <w:numFmt w:val="lowerLetter"/>
      <w:start w:val="1"/>
    </w:lvl>
  </w:abstractNum>
  <w:abstractNum w:abstractNumId="114">
    <w:nsid w:val="29BACF25"/>
    <w:multiLevelType w:val="hybridMultilevel"/>
    <w:lvl w:ilvl="0">
      <w:lvlJc w:val="left"/>
      <w:lvlText w:val="(%1)"/>
      <w:numFmt w:val="lowerLetter"/>
      <w:start w:val="8"/>
    </w:lvl>
  </w:abstractNum>
  <w:abstractNum w:abstractNumId="115">
    <w:nsid w:val="5D5BABB3"/>
    <w:multiLevelType w:val="hybridMultilevel"/>
    <w:lvl w:ilvl="0">
      <w:lvlJc w:val="left"/>
      <w:lvlText w:val="(%1)"/>
      <w:numFmt w:val="lowerLetter"/>
      <w:start w:val="1"/>
    </w:lvl>
  </w:abstractNum>
  <w:abstractNum w:abstractNumId="116">
    <w:nsid w:val="51BF6B48"/>
    <w:multiLevelType w:val="hybridMultilevel"/>
    <w:lvl w:ilvl="0">
      <w:lvlJc w:val="left"/>
      <w:lvlText w:val="%1"/>
      <w:numFmt w:val="lowerLetter"/>
      <w:start w:val="1"/>
    </w:lvl>
    <w:lvl w:ilvl="1">
      <w:lvlJc w:val="left"/>
      <w:lvlText w:val="(%2)"/>
      <w:numFmt w:val="lowerLetter"/>
      <w:start w:val="2"/>
    </w:lvl>
  </w:abstractNum>
  <w:abstractNum w:abstractNumId="117">
    <w:nsid w:val="7E0F6384"/>
    <w:multiLevelType w:val="hybridMultilevel"/>
    <w:lvl w:ilvl="0">
      <w:lvlJc w:val="left"/>
      <w:lvlText w:val="(%1)"/>
      <w:numFmt w:val="lowerLetter"/>
      <w:start w:val="35"/>
    </w:lvl>
    <w:lvl w:ilvl="1">
      <w:lvlJc w:val="left"/>
      <w:lvlText w:val="(%2)"/>
      <w:numFmt w:val="lowerLetter"/>
      <w:start w:val="3"/>
    </w:lvl>
  </w:abstractNum>
  <w:abstractNum w:abstractNumId="118">
    <w:nsid w:val="2B4B8B53"/>
    <w:multiLevelType w:val="hybridMultilevel"/>
    <w:lvl w:ilvl="0">
      <w:lvlJc w:val="left"/>
      <w:lvlText w:val="(%1)"/>
      <w:numFmt w:val="lowerLetter"/>
      <w:start w:val="1"/>
    </w:lvl>
  </w:abstractNum>
  <w:abstractNum w:abstractNumId="119">
    <w:nsid w:val="72E3413A"/>
    <w:multiLevelType w:val="hybridMultilevel"/>
    <w:lvl w:ilvl="0">
      <w:lvlJc w:val="left"/>
      <w:lvlText w:val="(%1)"/>
      <w:numFmt w:val="lowerLetter"/>
      <w:start w:val="3"/>
    </w:lvl>
  </w:abstractNum>
  <w:abstractNum w:abstractNumId="120">
    <w:nsid w:val="116AE494"/>
    <w:multiLevelType w:val="hybridMultilevel"/>
    <w:lvl w:ilvl="0">
      <w:lvlJc w:val="left"/>
      <w:lvlText w:val="(%1)"/>
      <w:numFmt w:val="lowerLetter"/>
      <w:start w:val="1"/>
    </w:lvl>
  </w:abstractNum>
  <w:abstractNum w:abstractNumId="121">
    <w:nsid w:val="3494B2FB"/>
    <w:multiLevelType w:val="hybridMultilevel"/>
    <w:lvl w:ilvl="0">
      <w:lvlJc w:val="left"/>
      <w:lvlText w:val="(%1)"/>
      <w:numFmt w:val="lowerLetter"/>
      <w:start w:val="2"/>
    </w:lvl>
  </w:abstractNum>
  <w:abstractNum w:abstractNumId="122">
    <w:nsid w:val="B13A31"/>
    <w:multiLevelType w:val="hybridMultilevel"/>
    <w:lvl w:ilvl="0">
      <w:lvlJc w:val="left"/>
      <w:lvlText w:val="(%1)"/>
      <w:numFmt w:val="lowerLetter"/>
      <w:start w:val="6"/>
    </w:lvl>
  </w:abstractNum>
  <w:abstractNum w:abstractNumId="123">
    <w:nsid w:val="64429599"/>
    <w:multiLevelType w:val="hybridMultilevel"/>
    <w:lvl w:ilvl="0">
      <w:lvlJc w:val="left"/>
      <w:lvlText w:val="(%1)"/>
      <w:numFmt w:val="lowerLetter"/>
      <w:start w:val="1"/>
    </w:lvl>
  </w:abstractNum>
  <w:abstractNum w:abstractNumId="124">
    <w:nsid w:val="631F1690"/>
    <w:multiLevelType w:val="hybridMultilevel"/>
    <w:lvl w:ilvl="0">
      <w:lvlJc w:val="left"/>
      <w:lvlText w:val="%1"/>
      <w:numFmt w:val="lowerLetter"/>
      <w:start w:val="1"/>
    </w:lvl>
    <w:lvl w:ilvl="1">
      <w:lvlJc w:val="left"/>
      <w:lvlText w:val="(%2)"/>
      <w:numFmt w:val="lowerLetter"/>
      <w:start w:val="3"/>
    </w:lvl>
  </w:abstractNum>
  <w:abstractNum w:abstractNumId="125">
    <w:nsid w:val="25973E32"/>
    <w:multiLevelType w:val="hybridMultilevel"/>
    <w:lvl w:ilvl="0">
      <w:lvlJc w:val="left"/>
      <w:lvlText w:val="(%1)"/>
      <w:numFmt w:val="lowerLetter"/>
      <w:start w:val="61"/>
    </w:lvl>
    <w:lvl w:ilvl="1">
      <w:lvlJc w:val="left"/>
      <w:lvlText w:val="(%2)"/>
      <w:numFmt w:val="lowerLetter"/>
      <w:start w:val="6"/>
    </w:lvl>
  </w:abstractNum>
  <w:abstractNum w:abstractNumId="126">
    <w:nsid w:val="EAD6F57"/>
    <w:multiLevelType w:val="hybridMultilevel"/>
    <w:lvl w:ilvl="0">
      <w:lvlJc w:val="left"/>
      <w:lvlText w:val="(%1)"/>
      <w:numFmt w:val="lowerLetter"/>
      <w:start w:val="2"/>
    </w:lvl>
  </w:abstractNum>
  <w:abstractNum w:abstractNumId="127">
    <w:nsid w:val="6EC9D844"/>
    <w:multiLevelType w:val="hybridMultilevel"/>
    <w:lvl w:ilvl="0">
      <w:lvlJc w:val="left"/>
      <w:lvlText w:val="(%1)"/>
      <w:numFmt w:val="lowerLetter"/>
      <w:start w:val="1"/>
    </w:lvl>
  </w:abstractNum>
  <w:abstractNum w:abstractNumId="128">
    <w:nsid w:val="5C49EAEE"/>
    <w:multiLevelType w:val="hybridMultilevel"/>
    <w:lvl w:ilvl="0">
      <w:lvlJc w:val="left"/>
      <w:lvlText w:val="(%1)"/>
      <w:numFmt w:val="lowerLetter"/>
      <w:start w:val="5"/>
    </w:lvl>
  </w:abstractNum>
  <w:abstractNum w:abstractNumId="129">
    <w:nsid w:val="64AF49B"/>
    <w:multiLevelType w:val="hybridMultilevel"/>
    <w:lvl w:ilvl="0">
      <w:lvlJc w:val="left"/>
      <w:lvlText w:val="(%1)"/>
      <w:numFmt w:val="lowerLetter"/>
      <w:start w:val="1"/>
    </w:lvl>
  </w:abstractNum>
  <w:abstractNum w:abstractNumId="130">
    <w:nsid w:val="397C46BC"/>
    <w:multiLevelType w:val="hybridMultilevel"/>
    <w:lvl w:ilvl="0">
      <w:lvlJc w:val="left"/>
      <w:lvlText w:val="(%1)"/>
      <w:numFmt w:val="lowerLetter"/>
      <w:start w:val="4"/>
    </w:lvl>
  </w:abstractNum>
  <w:abstractNum w:abstractNumId="131">
    <w:nsid w:val="7E448DE9"/>
    <w:multiLevelType w:val="hybridMultilevel"/>
    <w:lvl w:ilvl="0">
      <w:lvlJc w:val="left"/>
      <w:lvlText w:val="(%1)"/>
      <w:numFmt w:val="lowerLetter"/>
      <w:start w:val="2"/>
    </w:lvl>
  </w:abstractNum>
  <w:abstractNum w:abstractNumId="132">
    <w:nsid w:val="5A9CC3E5"/>
    <w:multiLevelType w:val="hybridMultilevel"/>
    <w:lvl w:ilvl="0">
      <w:lvlJc w:val="left"/>
      <w:lvlText w:val="(%1)"/>
      <w:numFmt w:val="lowerRoman"/>
      <w:start w:val="1"/>
    </w:lvl>
  </w:abstractNum>
  <w:abstractNum w:abstractNumId="133">
    <w:nsid w:val="1AFE3625"/>
    <w:multiLevelType w:val="hybridMultilevel"/>
    <w:lvl w:ilvl="0">
      <w:lvlJc w:val="left"/>
      <w:lvlText w:val="(%1)"/>
      <w:numFmt w:val="lowerLetter"/>
      <w:start w:val="5"/>
    </w:lvl>
  </w:abstractNum>
  <w:abstractNum w:abstractNumId="134">
    <w:nsid w:val="3CA88ECF"/>
    <w:multiLevelType w:val="hybridMultilevel"/>
    <w:lvl w:ilvl="0">
      <w:lvlJc w:val="left"/>
      <w:lvlText w:val="(%1)"/>
      <w:numFmt w:val="lowerLetter"/>
      <w:start w:val="1"/>
    </w:lvl>
  </w:abstractNum>
  <w:abstractNum w:abstractNumId="135">
    <w:nsid w:val="6EBE4208"/>
    <w:multiLevelType w:val="hybridMultilevel"/>
    <w:lvl w:ilvl="0">
      <w:lvlJc w:val="left"/>
      <w:lvlText w:val="(%1)"/>
      <w:numFmt w:val="lowerLetter"/>
      <w:start w:val="6"/>
    </w:lvl>
  </w:abstractNum>
  <w:abstractNum w:abstractNumId="136">
    <w:nsid w:val="C058DF5"/>
    <w:multiLevelType w:val="hybridMultilevel"/>
    <w:lvl w:ilvl="0">
      <w:lvlJc w:val="left"/>
      <w:lvlText w:val="(%1)"/>
      <w:numFmt w:val="lowerLetter"/>
      <w:start w:val="13"/>
    </w:lvl>
  </w:abstractNum>
  <w:abstractNum w:abstractNumId="137">
    <w:nsid w:val="CBE5BE9"/>
    <w:multiLevelType w:val="hybridMultilevel"/>
    <w:lvl w:ilvl="0">
      <w:lvlJc w:val="left"/>
      <w:lvlText w:val="(%1)"/>
      <w:numFmt w:val="lowerLetter"/>
      <w:start w:val="1"/>
    </w:lvl>
  </w:abstractNum>
  <w:abstractNum w:abstractNumId="138">
    <w:nsid w:val="3102BBE2"/>
    <w:multiLevelType w:val="hybridMultilevel"/>
    <w:lvl w:ilvl="0">
      <w:lvlJc w:val="left"/>
      <w:lvlText w:val="(%1)"/>
      <w:numFmt w:val="lowerLetter"/>
      <w:start w:val="3"/>
    </w:lvl>
    <w:lvl w:ilvl="1">
      <w:lvlJc w:val="left"/>
      <w:lvlText w:val="(%2)"/>
      <w:numFmt w:val="lowerRoman"/>
      <w:start w:val="1"/>
    </w:lvl>
  </w:abstractNum>
  <w:abstractNum w:abstractNumId="139">
    <w:nsid w:val="26A02C5E"/>
    <w:multiLevelType w:val="hybridMultilevel"/>
    <w:lvl w:ilvl="0">
      <w:lvlJc w:val="left"/>
      <w:lvlText w:val="(%1)"/>
      <w:numFmt w:val="lowerRoman"/>
      <w:start w:val="2"/>
    </w:lvl>
  </w:abstractNum>
  <w:abstractNum w:abstractNumId="140">
    <w:nsid w:val="541C8153"/>
    <w:multiLevelType w:val="hybridMultilevel"/>
    <w:lvl w:ilvl="0">
      <w:lvlJc w:val="left"/>
      <w:lvlText w:val="(%1)"/>
      <w:numFmt w:val="lowerLetter"/>
      <w:start w:val="7"/>
    </w:lvl>
  </w:abstractNum>
  <w:abstractNum w:abstractNumId="141">
    <w:nsid w:val="67906F60"/>
    <w:multiLevelType w:val="hybridMultilevel"/>
    <w:lvl w:ilvl="0">
      <w:lvlJc w:val="left"/>
      <w:lvlText w:val="(%1)"/>
      <w:numFmt w:val="lowerLetter"/>
      <w:start w:val="1"/>
    </w:lvl>
  </w:abstractNum>
  <w:abstractNum w:abstractNumId="142">
    <w:nsid w:val="10DB9DAA"/>
    <w:multiLevelType w:val="hybridMultilevel"/>
    <w:lvl w:ilvl="0">
      <w:lvlJc w:val="left"/>
      <w:lvlText w:val="(%1)"/>
      <w:numFmt w:val="lowerLetter"/>
      <w:start w:val="3"/>
    </w:lvl>
  </w:abstractNum>
  <w:abstractNum w:abstractNumId="143">
    <w:nsid w:val="697D2D2"/>
    <w:multiLevelType w:val="hybridMultilevel"/>
    <w:lvl w:ilvl="0">
      <w:lvlJc w:val="left"/>
      <w:lvlText w:val="(%1)"/>
      <w:numFmt w:val="lowerLetter"/>
      <w:start w:val="1"/>
    </w:lvl>
  </w:abstractNum>
  <w:abstractNum w:abstractNumId="144">
    <w:nsid w:val="6D68AB2"/>
    <w:multiLevelType w:val="hybridMultilevel"/>
    <w:lvl w:ilvl="0">
      <w:lvlJc w:val="left"/>
      <w:lvlText w:val="(%1)"/>
      <w:numFmt w:val="lowerLetter"/>
      <w:start w:val="3"/>
    </w:lvl>
  </w:abstractNum>
  <w:abstractNum w:abstractNumId="145">
    <w:nsid w:val="3A966CD0"/>
    <w:multiLevelType w:val="hybridMultilevel"/>
    <w:lvl w:ilvl="0">
      <w:lvlJc w:val="left"/>
      <w:lvlText w:val="(%1)"/>
      <w:numFmt w:val="lowerLetter"/>
      <w:start w:val="4"/>
    </w:lvl>
  </w:abstractNum>
  <w:abstractNum w:abstractNumId="146">
    <w:nsid w:val="63F37E85"/>
    <w:multiLevelType w:val="hybridMultilevel"/>
    <w:lvl w:ilvl="0">
      <w:lvlJc w:val="left"/>
      <w:lvlText w:val="%1"/>
      <w:numFmt w:val="lowerLetter"/>
      <w:start w:val="1"/>
    </w:lvl>
    <w:lvl w:ilvl="1">
      <w:lvlJc w:val="left"/>
      <w:lvlText w:val="(%2)"/>
      <w:numFmt w:val="lowerLetter"/>
      <w:start w:val="1"/>
    </w:lvl>
  </w:abstractNum>
  <w:abstractNum w:abstractNumId="147">
    <w:nsid w:val="5895F5FA"/>
    <w:multiLevelType w:val="hybridMultilevel"/>
    <w:lvl w:ilvl="0">
      <w:lvlJc w:val="left"/>
      <w:lvlText w:val="(%1)"/>
      <w:numFmt w:val="lowerLetter"/>
      <w:start w:val="1"/>
    </w:lvl>
    <w:lvl w:ilvl="1">
      <w:lvlJc w:val="left"/>
      <w:lvlText w:val="%2"/>
      <w:numFmt w:val="lowerLetter"/>
      <w:start w:val="1"/>
    </w:lvl>
  </w:abstractNum>
  <w:abstractNum w:abstractNumId="148">
    <w:nsid w:val="38A5D054"/>
    <w:multiLevelType w:val="hybridMultilevel"/>
    <w:lvl w:ilvl="0">
      <w:lvlJc w:val="left"/>
      <w:lvlText w:val="(%1)"/>
      <w:numFmt w:val="lowerLetter"/>
      <w:start w:val="1"/>
    </w:lvl>
  </w:abstractNum>
  <w:abstractNum w:abstractNumId="149">
    <w:nsid w:val="F3F09D8"/>
    <w:multiLevelType w:val="hybridMultilevel"/>
    <w:lvl w:ilvl="0">
      <w:lvlJc w:val="left"/>
      <w:lvlText w:val="(%1)"/>
      <w:numFmt w:val="lowerLetter"/>
      <w:start w:val="4"/>
    </w:lvl>
    <w:lvl w:ilvl="1">
      <w:lvlJc w:val="left"/>
      <w:lvlText w:val="(%2)"/>
      <w:numFmt w:val="lowerRoman"/>
      <w:start w:val="2"/>
    </w:lvl>
  </w:abstractNum>
  <w:abstractNum w:abstractNumId="150">
    <w:nsid w:val="4B793735"/>
    <w:multiLevelType w:val="hybridMultilevel"/>
    <w:lvl w:ilvl="0">
      <w:lvlJc w:val="left"/>
      <w:lvlText w:val="(%1)"/>
      <w:numFmt w:val="lowerLetter"/>
      <w:start w:val="1"/>
    </w:lvl>
  </w:abstractNum>
  <w:abstractNum w:abstractNumId="151">
    <w:nsid w:val="4A10B4E8"/>
    <w:multiLevelType w:val="hybridMultilevel"/>
    <w:lvl w:ilvl="0">
      <w:lvlJc w:val="left"/>
      <w:lvlText w:val="(%1)"/>
      <w:numFmt w:val="lowerRoman"/>
      <w:start w:val="4"/>
    </w:lvl>
  </w:abstractNum>
  <w:abstractNum w:abstractNumId="152">
    <w:nsid w:val="43D3BCD4"/>
    <w:multiLevelType w:val="hybridMultilevel"/>
    <w:lvl w:ilvl="0">
      <w:lvlJc w:val="left"/>
      <w:lvlText w:val="(%1)"/>
      <w:numFmt w:val="lowerLetter"/>
      <w:start w:val="1"/>
    </w:lvl>
    <w:lvl w:ilvl="1">
      <w:lvlJc w:val="left"/>
      <w:lvlText w:val="(%2)"/>
      <w:numFmt w:val="lowerRoman"/>
      <w:start w:val="1"/>
    </w:lvl>
  </w:abstractNum>
  <w:abstractNum w:abstractNumId="153">
    <w:nsid w:val="4C2A7166"/>
    <w:multiLevelType w:val="hybridMultilevel"/>
    <w:lvl w:ilvl="0">
      <w:lvlJc w:val="left"/>
      <w:lvlText w:val="%1"/>
      <w:numFmt w:val="lowerLetter"/>
      <w:start w:val="1"/>
    </w:lvl>
    <w:lvl w:ilvl="1">
      <w:lvlJc w:val="left"/>
      <w:lvlText w:val="(%2)"/>
      <w:numFmt w:val="lowerRoman"/>
      <w:start w:val="3"/>
    </w:lvl>
  </w:abstractNum>
  <w:abstractNum w:abstractNumId="154">
    <w:nsid w:val="2E534A82"/>
    <w:multiLevelType w:val="hybridMultilevel"/>
    <w:lvl w:ilvl="0">
      <w:lvlJc w:val="left"/>
      <w:lvlText w:val="(%1)"/>
      <w:numFmt w:val="lowerLetter"/>
      <w:start w:val="2"/>
    </w:lvl>
    <w:lvl w:ilvl="1">
      <w:lvlJc w:val="left"/>
      <w:lvlText w:val="%2"/>
      <w:numFmt w:val="lowerRoman"/>
      <w:start w:val="1"/>
    </w:lvl>
  </w:abstractNum>
  <w:abstractNum w:abstractNumId="155">
    <w:nsid w:val="26F2D364"/>
    <w:multiLevelType w:val="hybridMultilevel"/>
    <w:lvl w:ilvl="0">
      <w:lvlJc w:val="left"/>
      <w:lvlText w:val="(%1)"/>
      <w:numFmt w:val="lowerRoman"/>
      <w:start w:val="1"/>
    </w:lvl>
  </w:abstractNum>
  <w:abstractNum w:abstractNumId="156">
    <w:nsid w:val="71C1AF98"/>
    <w:multiLevelType w:val="hybridMultilevel"/>
    <w:lvl w:ilvl="0">
      <w:lvlJc w:val="left"/>
      <w:lvlText w:val="(%1)"/>
      <w:numFmt w:val="lowerRoman"/>
      <w:start w:val="2"/>
    </w:lvl>
  </w:abstractNum>
  <w:abstractNum w:abstractNumId="157">
    <w:nsid w:val="3D00B9D9"/>
    <w:multiLevelType w:val="hybridMultilevel"/>
    <w:lvl w:ilvl="0">
      <w:lvlJc w:val="left"/>
      <w:lvlText w:val="(%1)"/>
      <w:numFmt w:val="lowerRoman"/>
      <w:start w:val="3"/>
    </w:lvl>
  </w:abstractNum>
  <w:abstractNum w:abstractNumId="158">
    <w:nsid w:val="15BCABA8"/>
    <w:multiLevelType w:val="hybridMultilevel"/>
    <w:lvl w:ilvl="0">
      <w:lvlJc w:val="left"/>
      <w:lvlText w:val="(%1)"/>
      <w:numFmt w:val="lowerLetter"/>
      <w:start w:val="2"/>
    </w:lvl>
  </w:abstractNum>
  <w:abstractNum w:abstractNumId="159">
    <w:nsid w:val="4E0B9A87"/>
    <w:multiLevelType w:val="hybridMultilevel"/>
    <w:lvl w:ilvl="0">
      <w:lvlJc w:val="left"/>
      <w:lvlText w:val="(%1)"/>
      <w:numFmt w:val="lowerLetter"/>
      <w:start w:val="2"/>
    </w:lvl>
  </w:abstractNum>
  <w:abstractNum w:abstractNumId="160">
    <w:nsid w:val="434BAE75"/>
    <w:multiLevelType w:val="hybridMultilevel"/>
    <w:lvl w:ilvl="0">
      <w:lvlJc w:val="left"/>
      <w:lvlText w:val="(%1)"/>
      <w:numFmt w:val="lowerLetter"/>
      <w:start w:val="4"/>
    </w:lvl>
  </w:abstractNum>
  <w:abstractNum w:abstractNumId="161">
    <w:nsid w:val="4F38F265"/>
    <w:multiLevelType w:val="hybridMultilevel"/>
    <w:lvl w:ilvl="0">
      <w:lvlJc w:val="left"/>
      <w:lvlText w:val="(%1)"/>
      <w:numFmt w:val="upperLetter"/>
      <w:start w:val="1"/>
    </w:lvl>
  </w:abstractNum>
  <w:abstractNum w:abstractNumId="162">
    <w:nsid w:val="4C502870"/>
    <w:multiLevelType w:val="hybridMultilevel"/>
    <w:lvl w:ilvl="0">
      <w:lvlJc w:val="left"/>
      <w:lvlText w:val="(%1)"/>
      <w:numFmt w:val="lowerLetter"/>
      <w:start w:val="2"/>
    </w:lvl>
  </w:abstractNum>
  <w:abstractNum w:abstractNumId="163">
    <w:nsid w:val="1DE8725A"/>
    <w:multiLevelType w:val="hybridMultilevel"/>
    <w:lvl w:ilvl="0">
      <w:lvlJc w:val="left"/>
      <w:lvlText w:val="(%1)"/>
      <w:numFmt w:val="lowerLetter"/>
      <w:start w:val="3"/>
    </w:lvl>
  </w:abstractNum>
  <w:abstractNum w:abstractNumId="164">
    <w:nsid w:val="6A37288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65">
    <w:nsid w:val="8F8B73F"/>
    <w:multiLevelType w:val="hybridMultilevel"/>
    <w:lvl w:ilvl="0">
      <w:lvlJc w:val="left"/>
      <w:lvlText w:val="(%1)"/>
      <w:numFmt w:val="upperLetter"/>
      <w:start w:val="4"/>
    </w:lvl>
  </w:abstractNum>
  <w:abstractNum w:abstractNumId="166">
    <w:nsid w:val="CA6B462"/>
    <w:multiLevelType w:val="hybridMultilevel"/>
    <w:lvl w:ilvl="0">
      <w:lvlJc w:val="left"/>
      <w:lvlText w:val="(%1)"/>
      <w:numFmt w:val="lowerRoman"/>
      <w:start w:val="3"/>
    </w:lvl>
  </w:abstractNum>
  <w:abstractNum w:abstractNumId="167">
    <w:nsid w:val="763CB68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68">
    <w:nsid w:val="15B7132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69">
    <w:nsid w:val="3DA97044"/>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170">
    <w:nsid w:val="1CDCE2DE"/>
    <w:multiLevelType w:val="hybridMultilevel"/>
    <w:lvl w:ilvl="0">
      <w:lvlJc w:val="left"/>
      <w:lvlText w:val="(%1)"/>
      <w:numFmt w:val="lowerLetter"/>
      <w:start w:val="4"/>
    </w:lvl>
  </w:abstractNum>
  <w:abstractNum w:abstractNumId="171">
    <w:nsid w:val="69D3947C"/>
    <w:multiLevelType w:val="hybridMultilevel"/>
    <w:lvl w:ilvl="0">
      <w:lvlJc w:val="left"/>
      <w:lvlText w:val="(%1)"/>
      <w:numFmt w:val="lowerRoman"/>
      <w:start w:val="2"/>
    </w:lvl>
  </w:abstractNum>
  <w:abstractNum w:abstractNumId="172">
    <w:nsid w:val="2539DFA5"/>
    <w:multiLevelType w:val="hybridMultilevel"/>
    <w:lvl w:ilvl="0">
      <w:lvlJc w:val="left"/>
      <w:lvlText w:val="(%1)"/>
      <w:numFmt w:val="lowerLetter"/>
      <w:start w:val="2"/>
    </w:lvl>
  </w:abstractNum>
  <w:abstractNum w:abstractNumId="173">
    <w:nsid w:val="2DB88089"/>
    <w:multiLevelType w:val="hybridMultilevel"/>
    <w:lvl w:ilvl="0">
      <w:lvlJc w:val="left"/>
      <w:lvlText w:val="(%1)"/>
      <w:numFmt w:val="lowerLetter"/>
      <w:start w:val="2"/>
    </w:lvl>
  </w:abstractNum>
  <w:abstractNum w:abstractNumId="174">
    <w:nsid w:val="706B674E"/>
    <w:multiLevelType w:val="hybridMultilevel"/>
    <w:lvl w:ilvl="0">
      <w:lvlJc w:val="left"/>
      <w:lvlText w:val="(%1)"/>
      <w:numFmt w:val="lowerLetter"/>
      <w:start w:val="3"/>
    </w:lvl>
  </w:abstractNum>
  <w:abstractNum w:abstractNumId="175">
    <w:nsid w:val="2C106A57"/>
    <w:multiLevelType w:val="hybridMultilevel"/>
    <w:lvl w:ilvl="0">
      <w:lvlJc w:val="left"/>
      <w:lvlText w:val="(%1)"/>
      <w:numFmt w:val="lowerLetter"/>
      <w:start w:val="1"/>
    </w:lvl>
  </w:abstractNum>
  <w:abstractNum w:abstractNumId="176">
    <w:nsid w:val="684EED59"/>
    <w:multiLevelType w:val="hybridMultilevel"/>
    <w:lvl w:ilvl="0">
      <w:lvlJc w:val="left"/>
      <w:lvlText w:val="%1"/>
      <w:numFmt w:val="upperLetter"/>
      <w:start w:val="1"/>
    </w:lvl>
    <w:lvl w:ilvl="1">
      <w:lvlJc w:val="left"/>
      <w:lvlText w:val="(%2)"/>
      <w:numFmt w:val="lowerRoman"/>
      <w:start w:val="1"/>
    </w:lvl>
  </w:abstractNum>
  <w:abstractNum w:abstractNumId="177">
    <w:nsid w:val="545EE5D3"/>
    <w:multiLevelType w:val="hybridMultilevel"/>
    <w:lvl w:ilvl="0">
      <w:lvlJc w:val="left"/>
      <w:lvlText w:val="(%1)"/>
      <w:numFmt w:val="upperLetter"/>
      <w:start w:val="4"/>
    </w:lvl>
    <w:lvl w:ilvl="1">
      <w:lvlJc w:val="left"/>
      <w:lvlText w:val="(%2)"/>
      <w:numFmt w:val="lowerRoman"/>
      <w:start w:val="3"/>
    </w:lvl>
  </w:abstractNum>
  <w:abstractNum w:abstractNumId="178">
    <w:nsid w:val="4A66051"/>
    <w:multiLevelType w:val="hybridMultilevel"/>
    <w:lvl w:ilvl="0">
      <w:lvlJc w:val="left"/>
      <w:lvlText w:val="(%1)"/>
      <w:numFmt w:val="lowerRoman"/>
      <w:start w:val="6"/>
    </w:lvl>
  </w:abstractNum>
  <w:abstractNum w:abstractNumId="179">
    <w:nsid w:val="20F4BDAD"/>
    <w:multiLevelType w:val="hybridMultilevel"/>
    <w:lvl w:ilvl="0">
      <w:lvlJc w:val="left"/>
      <w:lvlText w:val="(%1)"/>
      <w:numFmt w:val="lowerLetter"/>
      <w:start w:val="1"/>
    </w:lvl>
    <w:lvl w:ilvl="1">
      <w:lvlJc w:val="left"/>
      <w:lvlText w:val="(%2)"/>
      <w:numFmt w:val="lowerRoman"/>
      <w:start w:val="1"/>
    </w:lvl>
  </w:abstractNum>
  <w:abstractNum w:abstractNumId="180">
    <w:nsid w:val="639DEFAC"/>
    <w:multiLevelType w:val="hybridMultilevel"/>
    <w:lvl w:ilvl="0">
      <w:lvlJc w:val="left"/>
      <w:lvlText w:val="(%1)"/>
      <w:numFmt w:val="lowerLetter"/>
      <w:start w:val="2"/>
    </w:lvl>
  </w:abstractNum>
  <w:abstractNum w:abstractNumId="181">
    <w:nsid w:val="501F9786"/>
    <w:multiLevelType w:val="hybridMultilevel"/>
    <w:lvl w:ilvl="0">
      <w:lvlJc w:val="left"/>
      <w:lvlText w:val="(%1)"/>
      <w:numFmt w:val="lowerLetter"/>
      <w:start w:val="3"/>
    </w:lvl>
  </w:abstractNum>
  <w:abstractNum w:abstractNumId="182">
    <w:nsid w:val="6B057295"/>
    <w:multiLevelType w:val="hybridMultilevel"/>
    <w:lvl w:ilvl="0">
      <w:lvlJc w:val="left"/>
      <w:lvlText w:val="%1"/>
      <w:numFmt w:val="lowerLetter"/>
      <w:start w:val="1"/>
    </w:lvl>
    <w:lvl w:ilvl="1">
      <w:lvlJc w:val="left"/>
      <w:lvlText w:val="(%2)"/>
      <w:numFmt w:val="lowerLetter"/>
      <w:start w:val="2"/>
    </w:lvl>
  </w:abstractNum>
  <w:abstractNum w:abstractNumId="183">
    <w:nsid w:val="2771AC80"/>
    <w:multiLevelType w:val="hybridMultilevel"/>
    <w:lvl w:ilvl="0">
      <w:lvlJc w:val="left"/>
      <w:lvlText w:val="(%1)"/>
      <w:numFmt w:val="lowerLetter"/>
      <w:start w:val="61"/>
    </w:lvl>
    <w:lvl w:ilvl="1">
      <w:lvlJc w:val="left"/>
      <w:lvlText w:val="%2"/>
      <w:numFmt w:val="lowerLetter"/>
      <w:start w:val="1"/>
    </w:lvl>
  </w:abstractNum>
  <w:abstractNum w:abstractNumId="184">
    <w:nsid w:val="1C4A08EC"/>
    <w:multiLevelType w:val="hybridMultilevel"/>
    <w:lvl w:ilvl="0">
      <w:lvlJc w:val="left"/>
      <w:lvlText w:val="(%1)"/>
      <w:numFmt w:val="lowerLetter"/>
      <w:start w:val="1"/>
    </w:lvl>
  </w:abstractNum>
  <w:abstractNum w:abstractNumId="185">
    <w:nsid w:val="1958BD17"/>
    <w:multiLevelType w:val="hybridMultilevel"/>
    <w:lvl w:ilvl="0">
      <w:lvlJc w:val="left"/>
      <w:lvlText w:val="(%1)"/>
      <w:numFmt w:val="lowerLetter"/>
      <w:start w:val="5"/>
    </w:lvl>
  </w:abstractNum>
  <w:abstractNum w:abstractNumId="186">
    <w:nsid w:val="4E647FE4"/>
    <w:multiLevelType w:val="hybridMultilevel"/>
    <w:lvl w:ilvl="0">
      <w:lvlJc w:val="left"/>
      <w:lvlText w:val="[%1]"/>
      <w:numFmt w:val="decimal"/>
      <w:start w:val="1"/>
    </w:lvl>
  </w:abstractNum>
  <w:abstractNum w:abstractNumId="187">
    <w:nsid w:val="E0BB885"/>
    <w:multiLevelType w:val="hybridMultilevel"/>
    <w:lvl w:ilvl="0">
      <w:lvlJc w:val="left"/>
      <w:lvlText w:val="[%1]"/>
      <w:numFmt w:val="decimal"/>
      <w:start w:val="2"/>
    </w:lvl>
  </w:abstractNum>
  <w:abstractNum w:abstractNumId="188">
    <w:nsid w:val="565976F1"/>
    <w:multiLevelType w:val="hybridMultilevel"/>
    <w:lvl w:ilvl="0">
      <w:lvlJc w:val="left"/>
      <w:lvlText w:val="[%1]"/>
      <w:numFmt w:val="decimal"/>
      <w:start w:val="3"/>
    </w:lvl>
  </w:abstractNum>
  <w:abstractNum w:abstractNumId="189">
    <w:nsid w:val="64212B8C"/>
    <w:multiLevelType w:val="hybridMultilevel"/>
    <w:lvl w:ilvl="0">
      <w:lvlJc w:val="left"/>
      <w:lvlText w:val="%1."/>
      <w:numFmt w:val="decimal"/>
      <w:start w:val="1"/>
    </w:lvl>
  </w:abstractNum>
  <w:abstractNum w:abstractNumId="190">
    <w:nsid w:val="5C17530C"/>
    <w:multiLevelType w:val="hybridMultilevel"/>
    <w:lvl w:ilvl="0">
      <w:lvlJc w:val="left"/>
      <w:lvlText w:val="%1."/>
      <w:numFmt w:val="decimal"/>
      <w:start w:val="2"/>
    </w:lvl>
  </w:abstractNum>
  <w:abstractNum w:abstractNumId="191">
    <w:nsid w:val="19A52566"/>
    <w:multiLevelType w:val="hybridMultilevel"/>
    <w:lvl w:ilvl="0">
      <w:lvlJc w:val="left"/>
      <w:lvlText w:val="%1"/>
      <w:numFmt w:val="decimal"/>
      <w:start w:val="15"/>
    </w:lvl>
  </w:abstractNum>
  <w:abstractNum w:abstractNumId="192">
    <w:nsid w:val="335A1DF1"/>
    <w:multiLevelType w:val="hybridMultilevel"/>
    <w:lvl w:ilvl="0">
      <w:lvlJc w:val="left"/>
      <w:lvlText w:val="%1"/>
      <w:numFmt w:val="decimal"/>
      <w:start w:val="29"/>
    </w:lvl>
  </w:abstractNum>
  <w:abstractNum w:abstractNumId="193">
    <w:nsid w:val="28677B7C"/>
    <w:multiLevelType w:val="hybridMultilevel"/>
    <w:lvl w:ilvl="0">
      <w:lvlJc w:val="left"/>
      <w:lvlText w:val="%1."/>
      <w:numFmt w:val="decimal"/>
      <w:start w:val="1"/>
    </w:lvl>
  </w:abstractNum>
  <w:abstractNum w:abstractNumId="194">
    <w:nsid w:val="378D97C0"/>
    <w:multiLevelType w:val="hybridMultilevel"/>
    <w:lvl w:ilvl="0">
      <w:lvlJc w:val="left"/>
      <w:lvlText w:val="[%1]"/>
      <w:numFmt w:val="decimal"/>
      <w:start w:val="5"/>
    </w:lvl>
  </w:abstractNum>
  <w:abstractNum w:abstractNumId="195">
    <w:nsid w:val="1D91467C"/>
    <w:multiLevelType w:val="hybridMultilevel"/>
    <w:lvl w:ilvl="0">
      <w:lvlJc w:val="left"/>
      <w:lvlText w:val="%1."/>
      <w:numFmt w:val="decimal"/>
      <w:start w:val="1"/>
    </w:lvl>
  </w:abstractNum>
  <w:abstractNum w:abstractNumId="196">
    <w:nsid w:val="316032BB"/>
    <w:multiLevelType w:val="hybridMultilevel"/>
    <w:lvl w:ilvl="0">
      <w:lvlJc w:val="left"/>
      <w:lvlText w:val="%1."/>
      <w:numFmt w:val="decimal"/>
      <w:start w:val="4"/>
    </w:lvl>
  </w:abstractNum>
  <w:abstractNum w:abstractNumId="197">
    <w:nsid w:val="44344C22"/>
    <w:multiLevelType w:val="hybridMultilevel"/>
    <w:lvl w:ilvl="0">
      <w:lvlJc w:val="left"/>
      <w:lvlText w:val="%1."/>
      <w:numFmt w:val="decimal"/>
      <w:start w:val="1"/>
    </w:lvl>
    <w:lvl w:ilvl="1">
      <w:lvlJc w:val="left"/>
      <w:lvlText w:val="(%2)"/>
      <w:numFmt w:val="lowerLetter"/>
      <w:start w:val="1"/>
    </w:lvl>
  </w:abstractNum>
  <w:abstractNum w:abstractNumId="198">
    <w:nsid w:val="13CDFCFC"/>
    <w:multiLevelType w:val="hybridMultilevel"/>
    <w:lvl w:ilvl="0">
      <w:lvlJc w:val="left"/>
      <w:lvlText w:val="%1"/>
      <w:numFmt w:val="decimal"/>
      <w:start w:val="1"/>
    </w:lvl>
    <w:lvl w:ilvl="1">
      <w:lvlJc w:val="left"/>
      <w:lvlText w:val="(%2)"/>
      <w:numFmt w:val="lowerLetter"/>
      <w:start w:val="3"/>
    </w:lvl>
  </w:abstractNum>
  <w:abstractNum w:abstractNumId="199">
    <w:nsid w:val="471745E4"/>
    <w:multiLevelType w:val="hybridMultilevel"/>
    <w:lvl w:ilvl="0">
      <w:lvlJc w:val="left"/>
      <w:lvlText w:val="%1."/>
      <w:numFmt w:val="decimal"/>
      <w:start w:val="3"/>
    </w:lvl>
    <w:lvl w:ilvl="1">
      <w:lvlJc w:val="left"/>
      <w:lvlText w:val="%2"/>
      <w:numFmt w:val="lowerLetter"/>
      <w:start w:val="1"/>
    </w:lvl>
  </w:abstractNum>
  <w:abstractNum w:abstractNumId="200">
    <w:nsid w:val="1DDBC66"/>
    <w:multiLevelType w:val="hybridMultilevel"/>
    <w:lvl w:ilvl="0">
      <w:lvlJc w:val="left"/>
      <w:lvlText w:val="(%1)"/>
      <w:numFmt w:val="lowerRoman"/>
      <w:start w:val="1"/>
    </w:lvl>
  </w:abstractNum>
  <w:abstractNum w:abstractNumId="201">
    <w:nsid w:val="30AADFDA"/>
    <w:multiLevelType w:val="hybridMultilevel"/>
    <w:lvl w:ilvl="0">
      <w:lvlJc w:val="left"/>
      <w:lvlText w:val="(%1)"/>
      <w:numFmt w:val="lowerRoman"/>
      <w:start w:val="13"/>
    </w:lvl>
  </w:abstractNum>
  <w:abstractNum w:abstractNumId="202">
    <w:nsid w:val="30EADA61"/>
    <w:multiLevelType w:val="hybridMultilevel"/>
    <w:lvl w:ilvl="0">
      <w:lvlJc w:val="left"/>
      <w:lvlText w:val="(%1)"/>
      <w:numFmt w:val="lowerRoman"/>
      <w:start w:val="1"/>
    </w:lvl>
  </w:abstractNum>
  <w:abstractNum w:abstractNumId="203">
    <w:nsid w:val="27179C0B"/>
    <w:multiLevelType w:val="hybridMultilevel"/>
    <w:lvl w:ilvl="0">
      <w:lvlJc w:val="left"/>
      <w:lvlText w:val="(%1)"/>
      <w:numFmt w:val="lowerLetter"/>
      <w:start w:val="1"/>
    </w:lvl>
  </w:abstractNum>
  <w:abstractNum w:abstractNumId="204">
    <w:nsid w:val="5E636063"/>
    <w:multiLevelType w:val="hybridMultilevel"/>
    <w:lvl w:ilvl="0">
      <w:lvlJc w:val="left"/>
      <w:lvlText w:val="(%1)"/>
      <w:numFmt w:val="lowerLetter"/>
      <w:start w:val="1"/>
    </w:lvl>
  </w:abstractNum>
  <w:abstractNum w:abstractNumId="205">
    <w:nsid w:val="215641AF"/>
    <w:multiLevelType w:val="hybridMultilevel"/>
    <w:lvl w:ilvl="0">
      <w:lvlJc w:val="left"/>
      <w:lvlText w:val="(%1)"/>
      <w:numFmt w:val="lowerLetter"/>
      <w:start w:val="1"/>
    </w:lvl>
  </w:abstractNum>
  <w:abstractNum w:abstractNumId="206">
    <w:nsid w:val="53280662"/>
    <w:multiLevelType w:val="hybridMultilevel"/>
    <w:lvl w:ilvl="0">
      <w:lvlJc w:val="left"/>
      <w:lvlText w:val="(%1)"/>
      <w:numFmt w:val="lowerLetter"/>
      <w:start w:val="1"/>
    </w:lvl>
  </w:abstractNum>
  <w:abstractNum w:abstractNumId="207">
    <w:nsid w:val="46B24DBC"/>
    <w:multiLevelType w:val="hybridMultilevel"/>
    <w:lvl w:ilvl="0">
      <w:lvlJc w:val="left"/>
      <w:lvlText w:val="(%1)"/>
      <w:numFmt w:val="lowerLetter"/>
      <w:start w:val="6"/>
    </w:lvl>
  </w:abstractNum>
  <w:abstractNum w:abstractNumId="208">
    <w:nsid w:val="75B52783"/>
    <w:multiLevelType w:val="hybridMultilevel"/>
    <w:lvl w:ilvl="0">
      <w:lvlJc w:val="left"/>
      <w:lvlText w:val="(%1)"/>
      <w:numFmt w:val="lowerLetter"/>
      <w:start w:val="1"/>
    </w:lvl>
  </w:abstractNum>
  <w:abstractNum w:abstractNumId="209">
    <w:nsid w:val="57CE66B4"/>
    <w:multiLevelType w:val="hybridMultilevel"/>
    <w:lvl w:ilvl="0">
      <w:lvlJc w:val="left"/>
      <w:lvlText w:val="(%1)"/>
      <w:numFmt w:val="lowerLetter"/>
      <w:start w:val="1"/>
    </w:lvl>
  </w:abstractNum>
  <w:abstractNum w:abstractNumId="210">
    <w:nsid w:val="67A70B69"/>
    <w:multiLevelType w:val="hybridMultilevel"/>
    <w:lvl w:ilvl="0">
      <w:lvlJc w:val="left"/>
      <w:lvlText w:val="(%1)"/>
      <w:numFmt w:val="lowerLetter"/>
      <w:start w:val="1"/>
    </w:lvl>
    <w:lvl w:ilvl="1">
      <w:lvlJc w:val="left"/>
      <w:lvlText w:val="(%2)"/>
      <w:numFmt w:val="lowerRoman"/>
      <w:start w:val="1"/>
    </w:lvl>
  </w:abstractNum>
  <w:abstractNum w:abstractNumId="211">
    <w:nsid w:val="5953172F"/>
    <w:multiLevelType w:val="hybridMultilevel"/>
    <w:lvl w:ilvl="0">
      <w:lvlJc w:val="left"/>
      <w:lvlText w:val="%1"/>
      <w:numFmt w:val="lowerLetter"/>
      <w:start w:val="1"/>
    </w:lvl>
    <w:lvl w:ilvl="1">
      <w:lvlJc w:val="left"/>
      <w:lvlText w:val="(%2)"/>
      <w:numFmt w:val="lowerRoman"/>
      <w:start w:val="4"/>
    </w:lvl>
  </w:abstractNum>
  <w:abstractNum w:abstractNumId="212">
    <w:nsid w:val="27EDFE3A"/>
    <w:multiLevelType w:val="hybridMultilevel"/>
    <w:lvl w:ilvl="0">
      <w:lvlJc w:val="left"/>
      <w:lvlText w:val="(%1)"/>
      <w:numFmt w:val="lowerLetter"/>
      <w:start w:val="5"/>
    </w:lvl>
    <w:lvl w:ilvl="1">
      <w:lvlJc w:val="left"/>
      <w:lvlText w:val="%2"/>
      <w:numFmt w:val="lowerRoman"/>
      <w:start w:val="1"/>
    </w:lvl>
  </w:abstractNum>
  <w:abstractNum w:abstractNumId="213">
    <w:nsid w:val="52AC7DFF"/>
    <w:multiLevelType w:val="hybridMultilevel"/>
    <w:lvl w:ilvl="0">
      <w:lvlJc w:val="left"/>
      <w:lvlText w:val="(%1)"/>
      <w:numFmt w:val="lowerLetter"/>
      <w:start w:val="1"/>
    </w:lvl>
  </w:abstractNum>
  <w:abstractNum w:abstractNumId="214">
    <w:nsid w:val="C4C3AF"/>
    <w:multiLevelType w:val="hybridMultilevel"/>
    <w:lvl w:ilvl="0">
      <w:lvlJc w:val="left"/>
      <w:lvlText w:val="%1"/>
      <w:numFmt w:val="lowerLetter"/>
      <w:start w:val="1"/>
    </w:lvl>
    <w:lvl w:ilvl="1">
      <w:lvlJc w:val="left"/>
      <w:lvlText w:val="(%2)"/>
      <w:numFmt w:val="lowerLetter"/>
      <w:start w:val="1"/>
    </w:lvl>
  </w:abstractNum>
  <w:abstractNum w:abstractNumId="215">
    <w:nsid w:val="44380727"/>
    <w:multiLevelType w:val="hybridMultilevel"/>
    <w:lvl w:ilvl="0">
      <w:lvlJc w:val="left"/>
      <w:lvlText w:val="(%1)"/>
      <w:numFmt w:val="lowerLetter"/>
      <w:start w:val="9"/>
    </w:lvl>
    <w:lvl w:ilvl="1">
      <w:lvlJc w:val="left"/>
      <w:lvlText w:val="(%2)"/>
      <w:numFmt w:val="lowerLetter"/>
      <w:start w:val="3"/>
    </w:lvl>
  </w:abstractNum>
  <w:abstractNum w:abstractNumId="216">
    <w:nsid w:val="6C053B16"/>
    <w:multiLevelType w:val="hybridMultilevel"/>
    <w:lvl w:ilvl="0">
      <w:lvlJc w:val="left"/>
      <w:lvlText w:val="(%1)"/>
      <w:numFmt w:val="lowerLetter"/>
      <w:start w:val="1"/>
    </w:lvl>
  </w:abstractNum>
  <w:abstractNum w:abstractNumId="217">
    <w:nsid w:val="4F294393"/>
    <w:multiLevelType w:val="hybridMultilevel"/>
    <w:lvl w:ilvl="0">
      <w:lvlJc w:val="left"/>
      <w:lvlText w:val="(%1)"/>
      <w:numFmt w:val="lowerLetter"/>
      <w:start w:val="5"/>
    </w:lvl>
  </w:abstractNum>
  <w:abstractNum w:abstractNumId="218">
    <w:nsid w:val="5243BFAC"/>
    <w:multiLevelType w:val="hybridMultilevel"/>
    <w:lvl w:ilvl="0">
      <w:lvlJc w:val="left"/>
      <w:lvlText w:val="(%1)"/>
      <w:numFmt w:val="lowerLetter"/>
      <w:start w:val="1"/>
    </w:lvl>
    <w:lvl w:ilvl="1">
      <w:lvlJc w:val="left"/>
      <w:lvlText w:val="(%2)"/>
      <w:numFmt w:val="lowerRoman"/>
      <w:start w:val="1"/>
    </w:lvl>
  </w:abstractNum>
  <w:abstractNum w:abstractNumId="219">
    <w:nsid w:val="425EB207"/>
    <w:multiLevelType w:val="hybridMultilevel"/>
    <w:lvl w:ilvl="0">
      <w:lvlJc w:val="left"/>
      <w:lvlText w:val="(%1)"/>
      <w:numFmt w:val="lowerLetter"/>
      <w:start w:val="4"/>
    </w:lvl>
  </w:abstractNum>
  <w:abstractNum w:abstractNumId="220">
    <w:nsid w:val="334A6F1F"/>
    <w:multiLevelType w:val="hybridMultilevel"/>
    <w:lvl w:ilvl="0">
      <w:lvlJc w:val="left"/>
      <w:lvlText w:val="(%1)"/>
      <w:numFmt w:val="lowerLetter"/>
      <w:start w:val="1"/>
    </w:lvl>
  </w:abstractNum>
  <w:abstractNum w:abstractNumId="221">
    <w:nsid w:val="2E5B12B8"/>
    <w:multiLevelType w:val="hybridMultilevel"/>
    <w:lvl w:ilvl="0">
      <w:lvlJc w:val="left"/>
      <w:lvlText w:val="(%1)"/>
      <w:numFmt w:val="lowerLetter"/>
      <w:start w:val="4"/>
    </w:lvl>
  </w:abstractNum>
  <w:abstractNum w:abstractNumId="222">
    <w:nsid w:val="5C03D76D"/>
    <w:multiLevelType w:val="hybridMultilevel"/>
    <w:lvl w:ilvl="0">
      <w:lvlJc w:val="left"/>
      <w:lvlText w:val="(%1)"/>
      <w:numFmt w:val="lowerLetter"/>
      <w:start w:val="1"/>
    </w:lvl>
  </w:abstractNum>
  <w:abstractNum w:abstractNumId="223">
    <w:nsid w:val="66A48D11"/>
    <w:multiLevelType w:val="hybridMultilevel"/>
    <w:lvl w:ilvl="0">
      <w:lvlJc w:val="left"/>
      <w:lvlText w:val="(%1)"/>
      <w:numFmt w:val="lowerLetter"/>
      <w:start w:val="1"/>
    </w:lvl>
  </w:abstractNum>
  <w:abstractNum w:abstractNumId="224">
    <w:nsid w:val="56C28E34"/>
    <w:multiLevelType w:val="hybridMultilevel"/>
    <w:lvl w:ilvl="0">
      <w:lvlJc w:val="left"/>
      <w:lvlText w:val="(%1)"/>
      <w:numFmt w:val="lowerLetter"/>
      <w:start w:val="3"/>
    </w:lvl>
  </w:abstractNum>
  <w:abstractNum w:abstractNumId="225">
    <w:nsid w:val="13916F2D"/>
    <w:multiLevelType w:val="hybridMultilevel"/>
    <w:lvl w:ilvl="0">
      <w:lvlJc w:val="left"/>
      <w:lvlText w:val="(%1)"/>
      <w:numFmt w:val="lowerLetter"/>
      <w:start w:val="2"/>
    </w:lvl>
  </w:abstractNum>
  <w:abstractNum w:abstractNumId="226">
    <w:nsid w:val="435D38D"/>
    <w:multiLevelType w:val="hybridMultilevel"/>
    <w:lvl w:ilvl="0">
      <w:lvlJc w:val="left"/>
      <w:lvlText w:val="(%1)"/>
      <w:numFmt w:val="lowerLetter"/>
      <w:start w:val="2"/>
    </w:lvl>
    <w:lvl w:ilvl="1">
      <w:lvlJc w:val="left"/>
      <w:lvlText w:val="(%2)"/>
      <w:numFmt w:val="lowerRoman"/>
      <w:start w:val="1"/>
    </w:lvl>
  </w:abstractNum>
  <w:abstractNum w:abstractNumId="227">
    <w:nsid w:val="822C0EF"/>
    <w:multiLevelType w:val="hybridMultilevel"/>
    <w:lvl w:ilvl="0">
      <w:lvlJc w:val="left"/>
      <w:lvlText w:val="%1."/>
      <w:numFmt w:val="upperLetter"/>
      <w:start w:val="9"/>
    </w:lvl>
  </w:abstractNum>
  <w:abstractNum w:abstractNumId="228">
    <w:nsid w:val="57C5BB4F"/>
    <w:multiLevelType w:val="hybridMultilevel"/>
    <w:lvl w:ilvl="0">
      <w:lvlJc w:val="left"/>
      <w:lvlText w:val="%1."/>
      <w:numFmt w:val="upperLetter"/>
      <w:start w:val="35"/>
    </w:lvl>
  </w:abstractNum>
  <w:abstractNum w:abstractNumId="229">
    <w:nsid w:val="1803D089"/>
    <w:multiLevelType w:val="hybridMultilevel"/>
    <w:lvl w:ilvl="0">
      <w:lvlJc w:val="left"/>
      <w:lvlText w:val="%1."/>
      <w:numFmt w:val="upperLetter"/>
      <w:start w:val="61"/>
    </w:lvl>
  </w:abstractNum>
  <w:abstractNum w:abstractNumId="230">
    <w:nsid w:val="4F3A06D4"/>
    <w:multiLevelType w:val="hybridMultilevel"/>
    <w:lvl w:ilvl="0">
      <w:lvlJc w:val="left"/>
      <w:lvlText w:val="%1."/>
      <w:numFmt w:val="upperLetter"/>
      <w:start w:val="22"/>
    </w:lvl>
  </w:abstractNum>
  <w:abstractNum w:abstractNumId="231">
    <w:nsid w:val="59A377B6"/>
    <w:multiLevelType w:val="hybridMultilevel"/>
    <w:lvl w:ilvl="0">
      <w:lvlJc w:val="left"/>
      <w:lvlText w:val="(%1)"/>
      <w:numFmt w:val="lowerLetter"/>
      <w:start w:val="1"/>
    </w:lvl>
  </w:abstractNum>
  <w:abstractNum w:abstractNumId="232">
    <w:nsid w:val="48AEB063"/>
    <w:multiLevelType w:val="hybridMultilevel"/>
    <w:lvl w:ilvl="0">
      <w:lvlJc w:val="left"/>
      <w:lvlText w:val="(%1)"/>
      <w:numFmt w:val="lowerLetter"/>
      <w:start w:val="3"/>
    </w:lvl>
  </w:abstractNum>
  <w:abstractNum w:abstractNumId="233">
    <w:nsid w:val="24E135"/>
    <w:multiLevelType w:val="hybridMultilevel"/>
    <w:lvl w:ilvl="0">
      <w:lvlJc w:val="left"/>
      <w:lvlText w:val="%1."/>
      <w:numFmt w:val="upperLetter"/>
      <w:start w:val="9"/>
    </w:lvl>
  </w:abstractNum>
  <w:abstractNum w:abstractNumId="234">
    <w:nsid w:val="BB13C1"/>
    <w:multiLevelType w:val="hybridMultilevel"/>
    <w:lvl w:ilvl="0">
      <w:lvlJc w:val="left"/>
      <w:lvlText w:val="%1."/>
      <w:numFmt w:val="upperLetter"/>
      <w:start w:val="35"/>
    </w:lvl>
  </w:abstractNum>
  <w:abstractNum w:abstractNumId="235">
    <w:nsid w:val="271210C7"/>
    <w:multiLevelType w:val="hybridMultilevel"/>
    <w:lvl w:ilvl="0">
      <w:lvlJc w:val="left"/>
      <w:lvlText w:val="%1."/>
      <w:numFmt w:val="upperLetter"/>
      <w:start w:val="61"/>
    </w:lvl>
  </w:abstractNum>
  <w:abstractNum w:abstractNumId="236">
    <w:nsid w:val="217B22E4"/>
    <w:multiLevelType w:val="hybridMultilevel"/>
    <w:lvl w:ilvl="0">
      <w:lvlJc w:val="left"/>
      <w:lvlText w:val="%1."/>
      <w:numFmt w:val="upperLetter"/>
      <w:start w:val="22"/>
    </w:lvl>
  </w:abstractNum>
  <w:abstractNum w:abstractNumId="237">
    <w:nsid w:val="53E31A24"/>
    <w:multiLevelType w:val="hybridMultilevel"/>
    <w:lvl w:ilvl="0">
      <w:lvlJc w:val="left"/>
      <w:lvlText w:val="(%1)"/>
      <w:numFmt w:val="lowerLetter"/>
      <w:start w:val="1"/>
    </w:lvl>
  </w:abstractNum>
  <w:abstractNum w:abstractNumId="238">
    <w:nsid w:val="6DC45E83"/>
    <w:multiLevelType w:val="hybridMultilevel"/>
    <w:lvl w:ilvl="0">
      <w:lvlJc w:val="left"/>
      <w:lvlText w:val="%1."/>
      <w:numFmt w:val="upperLetter"/>
      <w:start w:val="9"/>
    </w:lvl>
  </w:abstractNum>
  <w:abstractNum w:abstractNumId="239">
    <w:nsid w:val="17304A67"/>
    <w:multiLevelType w:val="hybridMultilevel"/>
    <w:lvl w:ilvl="0">
      <w:lvlJc w:val="left"/>
      <w:lvlText w:val="%1."/>
      <w:numFmt w:val="upperLetter"/>
      <w:start w:val="35"/>
    </w:lvl>
  </w:abstractNum>
  <w:abstractNum w:abstractNumId="240">
    <w:nsid w:val="2BB180D8"/>
    <w:multiLevelType w:val="hybridMultilevel"/>
    <w:lvl w:ilvl="0">
      <w:lvlJc w:val="left"/>
      <w:lvlText w:val="%1."/>
      <w:numFmt w:val="upperLetter"/>
      <w:start w:val="61"/>
    </w:lvl>
  </w:abstractNum>
  <w:abstractNum w:abstractNumId="241">
    <w:nsid w:val="556B69ED"/>
    <w:multiLevelType w:val="hybridMultilevel"/>
    <w:lvl w:ilvl="0">
      <w:lvlJc w:val="left"/>
      <w:lvlText w:val="%1."/>
      <w:numFmt w:val="upperLetter"/>
      <w:start w:val="22"/>
    </w:lvl>
  </w:abstractNum>
  <w:abstractNum w:abstractNumId="242">
    <w:nsid w:val="70836196"/>
    <w:multiLevelType w:val="hybridMultilevel"/>
    <w:lvl w:ilvl="0">
      <w:lvlJc w:val="left"/>
      <w:lvlText w:val="(%1)"/>
      <w:numFmt w:val="lowerLetter"/>
      <w:start w:val="1"/>
    </w:lvl>
  </w:abstractNum>
  <w:abstractNum w:abstractNumId="243">
    <w:nsid w:val="539F7F12"/>
    <w:multiLevelType w:val="hybridMultilevel"/>
    <w:lvl w:ilvl="0">
      <w:lvlJc w:val="left"/>
      <w:lvlText w:val="%1."/>
      <w:numFmt w:val="upperLetter"/>
      <w:start w:val="35"/>
    </w:lvl>
  </w:abstractNum>
  <w:abstractNum w:abstractNumId="244">
    <w:nsid w:val="2817E7EC"/>
    <w:multiLevelType w:val="hybridMultilevel"/>
    <w:lvl w:ilvl="0">
      <w:lvlJc w:val="left"/>
      <w:lvlText w:val="%1."/>
      <w:numFmt w:val="upperLetter"/>
      <w:start w:val="35"/>
    </w:lvl>
  </w:abstractNum>
  <w:abstractNum w:abstractNumId="245">
    <w:nsid w:val="71482545"/>
    <w:multiLevelType w:val="hybridMultilevel"/>
    <w:lvl w:ilvl="0">
      <w:lvlJc w:val="left"/>
      <w:lvlText w:val="%1."/>
      <w:numFmt w:val="decimal"/>
      <w:start w:val="1"/>
    </w:lvl>
    <w:lvl w:ilvl="1">
      <w:lvlJc w:val="left"/>
      <w:lvlText w:val="%2."/>
      <w:numFmt w:val="lowerLetter"/>
      <w:start w:val="1"/>
    </w:lvl>
  </w:abstractNum>
  <w:abstractNum w:abstractNumId="246">
    <w:nsid w:val="17D78639"/>
    <w:multiLevelType w:val="hybridMultilevel"/>
    <w:lvl w:ilvl="0">
      <w:lvlJc w:val="left"/>
      <w:lvlText w:val="%1."/>
      <w:numFmt w:val="decimal"/>
      <w:start w:val="1"/>
    </w:lvl>
    <w:lvl w:ilvl="1">
      <w:lvlJc w:val="left"/>
      <w:lvlText w:val="%2."/>
      <w:numFmt w:val="lowerLetter"/>
      <w:start w:val="1"/>
    </w:lvl>
  </w:abstractNum>
  <w:abstractNum w:abstractNumId="247">
    <w:nsid w:val="141D2302"/>
    <w:multiLevelType w:val="hybridMultilevel"/>
    <w:lvl w:ilvl="0">
      <w:lvlJc w:val="left"/>
      <w:lvlText w:val="(%1)"/>
      <w:numFmt w:val="decimal"/>
      <w:start w:val="1"/>
    </w:lvl>
  </w:abstractNum>
  <w:abstractNum w:abstractNumId="248">
    <w:nsid w:val="407168D8"/>
    <w:multiLevelType w:val="hybridMultilevel"/>
    <w:lvl w:ilvl="0">
      <w:lvlJc w:val="left"/>
      <w:lvlText w:val="(%1)"/>
      <w:numFmt w:val="decimal"/>
      <w:start w:val="1"/>
    </w:lvl>
  </w:abstractNum>
  <w:abstractNum w:abstractNumId="249">
    <w:nsid w:val="6A1B45E5"/>
    <w:multiLevelType w:val="hybridMultilevel"/>
    <w:lvl w:ilvl="0">
      <w:lvlJc w:val="left"/>
      <w:lvlText w:val="(%1)"/>
      <w:numFmt w:val="decimal"/>
      <w:start w:val="949"/>
    </w:lvl>
  </w:abstractNum>
  <w:abstractNum w:abstractNumId="250">
    <w:nsid w:val="567BD50A"/>
    <w:multiLevelType w:val="hybridMultilevel"/>
    <w:lvl w:ilvl="0">
      <w:lvlJc w:val="left"/>
      <w:lvlText w:val="(%1)"/>
      <w:numFmt w:val="decimal"/>
      <w:start w:val="71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2021-11-15T15:24:08Z</dcterms:created>
  <dcterms:modified xsi:type="dcterms:W3CDTF">2021-11-15T15:24:08Z</dcterms:modified>
</cp:coreProperties>
</file>