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13,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w:t>
      </w:r>
    </w:p>
    <w:p>
      <w:pPr>
        <w:spacing w:after="0" w:line="22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April 13, 2026, iPower Inc, a Nevada corporation (“iPower” or the “Company”), finalized a sublease agreement (the “Sublease Agreement”) with Dezheng Logistics Inc., a California corporation (“Dezheng”), pursuant to which the Company subleased its warehouse, located at 8798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Rancho Cucamonga, California, 91730 (the “Premises”), to Dezheng for a fixed term of 25 months, commencing May 1, 2026 and ending May 31, 2028.</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Sublease Agreement, Dezheng provided a security deposit to the Company of $338,130 and thereafter will pay Base Rent (as such term is defined and calculated in the Sublease) to the Company monthly. In exchange, Dezheng will have the right to use and occupy the Premises to conduct its business as a third-party logistics company.</w:t>
      </w:r>
    </w:p>
    <w:p>
      <w:pPr>
        <w:spacing w:after="0" w:line="179" w:lineRule="exact"/>
        <w:rPr>
          <w:sz w:val="20"/>
          <w:szCs w:val="20"/>
          <w:color w:val="auto"/>
        </w:rPr>
      </w:pPr>
    </w:p>
    <w:p>
      <w:pPr>
        <w:jc w:val="both"/>
        <w:ind w:firstLine="648"/>
        <w:spacing w:after="0" w:line="187" w:lineRule="auto"/>
        <w:rPr>
          <w:sz w:val="20"/>
          <w:szCs w:val="20"/>
          <w:color w:val="auto"/>
        </w:rPr>
      </w:pPr>
      <w:r>
        <w:rPr>
          <w:rFonts w:ascii="Times New Roman" w:cs="Times New Roman" w:eastAsia="Times New Roman" w:hAnsi="Times New Roman"/>
          <w:sz w:val="18"/>
          <w:szCs w:val="18"/>
          <w:color w:val="auto"/>
        </w:rPr>
        <w:t>The existing lease agreement governing the Premises between the Company, as tenant, and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Vineyard LP, a Delaware limited partnership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Vineyard”), as successor in interest to the landlord, dated July 28, 2021 (including all amendments thereto, the “Master Lease”) required the Company to seek 9th &amp; Vineyard’s consent prior to entering into the Sublease Agreement. As such, the Company, Dezheng, and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Vineyard entered into a second amendment and consent to the Master Lease (the “Second Amendment”), pursuant to which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Vineyard consented to the Sublease. In</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exchange for such consent,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&amp; Vineyard required a letter of credit and an additional security deposit, which was paid for by Dezheng on April 13, 2026, at which time the Sublease Agreement became effective. The Sublease Agreement remains subject and subordinate to the Master Lease, which was filed as Exhibit 10.1 to the Current Report on Form 8-K filed August 2, 2021.</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Sublease Agreement does not purport to be complete and is qualified in its entirety by reference to such agreement, the form of which is filed with this Current Report on Form 8-K as Exhibit 10.1 and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13, 2026, the Company held its 2026 annual meeting of stockholders (the “Annual Meeting”), at which the Company’s stockholders considered three proposals, each of which is described in more detail in the Company’s definitive proxy statement filed with the Securities and Exchange Commission on March 4, 2026. At the Annual Meeting, there were a total of 1,293,177 votes eligible to be cast and a total of 793,391 shares voted in person or by proxy, representing 61.35% of the total number of votes eligible to be cast. The final voting results for each matter are set forth in more detail below.</w:t>
      </w:r>
    </w:p>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 the following five nominees were elected to the Company’s board of directors, in accordance with the voting results listed below, to serve for a term of one year, until the next annual meeting and until their successors have been duly elected and have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Nominee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For</w:t>
            </w:r>
          </w:p>
        </w:tc>
        <w:tc>
          <w:tcPr>
            <w:tcW w:w="1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Against</w:t>
            </w: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Withheld</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570,017</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222,237</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Guo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570,025</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222,237</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569,393</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222,237</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 Yang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569,870</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222,237</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Hanxi Li</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569,996</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Company’s Independent Auditors.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ratified the appointment of HTL International LLP as the Company’s independent auditors for the fiscal year ending June 30, 2026, in accordance with the voting results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0"/>
        </w:trPr>
        <w:tc>
          <w:tcPr>
            <w:tcW w:w="4280" w:type="dxa"/>
            <w:vAlign w:val="bottom"/>
            <w:tcBorders>
              <w:top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792,254</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Company’s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approved (on an advisory basis) the Company’s executive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For</w:t>
            </w:r>
          </w:p>
        </w:tc>
        <w:tc>
          <w:tcPr>
            <w:tcW w:w="27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Against</w:t>
            </w:r>
          </w:p>
        </w:tc>
        <w:tc>
          <w:tcPr>
            <w:tcW w:w="27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3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568,503</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222,237</w:t>
            </w: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14, 2026, the Company published a press release announcing the Sublease Agreement. The Company’s press release is furnished herewith as Exhibit 99.1.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provided in this Item 8.01 (including Exhibit 99.1 hereto), is being furnished and shall not be deemed “filed” for purposes of Section 18 of the Exchange Act, or otherwise subject to the liabilities of that section, nor shall it be deemed incorporated by reference into any filing under the Exchange Act or the Securities Act, except as expressly set forth by specific reference in such a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9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9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Sublease Agreement, dated April 2, 2026, between iPower Inc. and Dezheng Logistics Inc.</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April 17, 2026</w:t>
            </w:r>
          </w:p>
        </w:tc>
        <w:tc>
          <w:tcPr>
            <w:tcW w:w="4020" w:type="dxa"/>
            <w:vAlign w:val="bottom"/>
          </w:tcPr>
          <w:p>
            <w:pPr>
              <w:spacing w:after="0"/>
              <w:rPr>
                <w:sz w:val="17"/>
                <w:szCs w:val="17"/>
                <w:color w:val="auto"/>
              </w:rPr>
            </w:pPr>
          </w:p>
        </w:tc>
      </w:tr>
    </w:tbl>
    <w:p>
      <w:pPr>
        <w:spacing w:after="0" w:line="9" w:lineRule="exact"/>
        <w:rPr>
          <w:sz w:val="20"/>
          <w:szCs w:val="20"/>
          <w:color w:val="auto"/>
        </w:rPr>
      </w:pPr>
    </w:p>
    <w:p>
      <w:pPr>
        <w:ind w:left="1400" w:hanging="1392"/>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17,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175895</wp:posOffset>
            </wp:positionV>
            <wp:extent cx="5572125" cy="7132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2125" cy="713232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466090</wp:posOffset>
            </wp:positionV>
            <wp:extent cx="5572125" cy="7209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132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32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132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32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132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32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466090</wp:posOffset>
            </wp:positionV>
            <wp:extent cx="5572125" cy="7209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842770" cy="420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27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iPower Adds Over $2.6 Million in Contracted, Non-Dilutive Income Through Sublease Agreement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reinforces asset-light strategy and establishes recurring rental income stream from existing infrastructure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RANCHO CUCAMONGA, California, April 17, 2026 </w:t>
      </w:r>
      <w:r>
        <w:rPr>
          <w:rFonts w:ascii="Times New Roman" w:cs="Times New Roman" w:eastAsia="Times New Roman" w:hAnsi="Times New Roman"/>
          <w:sz w:val="18"/>
          <w:szCs w:val="18"/>
          <w:color w:val="auto"/>
        </w:rPr>
        <w:t>-- iPower Inc. (Nasdaq: IPW) (“iPower” or the “Company”) today announced that it has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sublease agreement for a portion of its Rancho Cucamonga, California facility, creating a new stream of contracted, non-dilutive income over a 25-month term.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the Company will generate base rental income beginning at approximately $62,500 per month, increasing to over $106,000 per month within the first three months and reaching approximately $112,700 per month by the final stage of the lease. In aggregate, the sublease represents over $2.6 million in contracted, non-dilutive income through May 2028.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subleased premises comprise approximately 85,000 square feet and will be occupied by a third-party logistics operator. The sublease term commenced on May 1, 2026 and extends through May 31, 2028. Landlord consent for the sublease has been fully obtained.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transaction reflects our continued shift toward a more asset-light operating model,” said Lawrence Tan, Chief Executive Officer of iPower. “By converting underutilized space into a contracted income stream that scales to over $100,000 per month, we are enhancing capital efficiency while advancing our path toward sustainable profitability.”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sublease strengthens cash flow visibility, reduces a fixed cost burden, and demonstrates the Company’s ability to actively monetize existing infrastructure without any incremental capital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supply chain and infrastructure provider for online retailers and brands, operating at the intersection of digital assets and real-world commerce. The Company delivers procurement, fulfillment, logistics, and software-enabled services, and is executing a broader crypto strategy through licensed partners and compliant infrastructure. For more information, please visit www.meetipower.com.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Such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&amp; 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2026-04-17T08:13:15Z</dcterms:created>
  <dcterms:modified xsi:type="dcterms:W3CDTF">2026-04-17T08:13:15Z</dcterms:modified>
</cp:coreProperties>
</file>