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020" w:right="2520" w:hanging="3688"/>
        <w:spacing w:after="0" w:line="500" w:lineRule="auto"/>
        <w:tabs>
          <w:tab w:leader="none" w:pos="65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three quarters ended March 31, 2021</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160" w:right="2500" w:hanging="2828"/>
        <w:spacing w:after="0" w:line="530" w:lineRule="auto"/>
        <w:tabs>
          <w:tab w:leader="none" w:pos="65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UNDER SECTION 13 OR 15(d) OF THE SECURITIES EXCHANGE ACT OF 1934 For the transition period from ______________ to ______________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001-40391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5200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82-5144171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2399 Bateman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Duarte, CA 91010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3100" w:type="dxa"/>
            <w:vAlign w:val="bottom"/>
            <w:gridSpan w:val="2"/>
          </w:tcPr>
          <w:p>
            <w:pPr>
              <w:ind w:left="380"/>
              <w:spacing w:after="0"/>
              <w:rPr>
                <w:sz w:val="20"/>
                <w:szCs w:val="20"/>
                <w:color w:val="auto"/>
              </w:rPr>
            </w:pPr>
            <w:r>
              <w:rPr>
                <w:rFonts w:ascii="Arial" w:cs="Arial" w:eastAsia="Arial" w:hAnsi="Arial"/>
                <w:sz w:val="18"/>
                <w:szCs w:val="18"/>
                <w:b w:val="1"/>
                <w:bCs w:val="1"/>
                <w:color w:val="auto"/>
              </w:rPr>
              <w:t>Trading Symbol(s)</w:t>
            </w:r>
          </w:p>
        </w:tc>
        <w:tc>
          <w:tcPr>
            <w:tcW w:w="3600" w:type="dxa"/>
            <w:vAlign w:val="bottom"/>
          </w:tcPr>
          <w:p>
            <w:pPr>
              <w:ind w:left="14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3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Common Stock</w:t>
            </w:r>
          </w:p>
        </w:tc>
        <w:tc>
          <w:tcPr>
            <w:tcW w:w="24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IPW</w:t>
            </w:r>
          </w:p>
        </w:tc>
        <w:tc>
          <w:tcPr>
            <w:tcW w:w="29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on June 25, 2021 was 26,448,663.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iPower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000" w:type="dxa"/>
            <w:vAlign w:val="bottom"/>
            <w:gridSpan w:val="14"/>
            <w:shd w:val="clear" w:color="auto" w:fill="EEEEEE"/>
          </w:tcPr>
          <w:p>
            <w:pPr>
              <w:jc w:val="center"/>
              <w:ind w:right="2340"/>
              <w:spacing w:after="0" w:line="176"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10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1.</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Financial Statements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2021 and June 30, 2020</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9320" w:type="dxa"/>
            <w:vAlign w:val="bottom"/>
            <w:gridSpan w:val="23"/>
            <w:shd w:val="clear" w:color="auto" w:fill="EEEEEE"/>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Operations for the three and nine months ended March 31, 2021 and 2020</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EEEEEE"/>
            </w:tcBorders>
            <w:shd w:val="clear" w:color="auto" w:fill="EEEEEE"/>
          </w:tcPr>
          <w:p>
            <w:pPr>
              <w:spacing w:after="0"/>
              <w:rPr>
                <w:sz w:val="15"/>
                <w:szCs w:val="15"/>
                <w:color w:val="auto"/>
              </w:rPr>
            </w:pPr>
          </w:p>
        </w:tc>
        <w:tc>
          <w:tcPr>
            <w:tcW w:w="9180" w:type="dxa"/>
            <w:vAlign w:val="bottom"/>
            <w:tcBorders>
              <w:bottom w:val="single" w:sz="8" w:color="0000EE"/>
            </w:tcBorders>
            <w:gridSpan w:val="22"/>
            <w:shd w:val="clear" w:color="auto" w:fill="EEEEEE"/>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Changes in Stockholders’ Equity for the three and nine months ended March</w:t>
              </w:r>
            </w:hyperlink>
          </w:p>
        </w:tc>
        <w:tc>
          <w:tcPr>
            <w:tcW w:w="140" w:type="dxa"/>
            <w:vAlign w:val="bottom"/>
            <w:tcBorders>
              <w:bottom w:val="single" w:sz="8" w:color="EEEEEE"/>
            </w:tcBorders>
            <w:shd w:val="clear" w:color="auto" w:fill="EEEEEE"/>
          </w:tcPr>
          <w:p>
            <w:pPr>
              <w:spacing w:after="0"/>
              <w:rPr>
                <w:sz w:val="15"/>
                <w:szCs w:val="15"/>
                <w:color w:val="auto"/>
              </w:rPr>
            </w:pPr>
          </w:p>
        </w:tc>
        <w:tc>
          <w:tcPr>
            <w:tcW w:w="1000" w:type="dxa"/>
            <w:vAlign w:val="bottom"/>
            <w:tcBorders>
              <w:bottom w:val="single" w:sz="8" w:color="EEEEEE"/>
            </w:tcBorders>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EEEEEE"/>
          </w:tcPr>
          <w:p>
            <w:pPr>
              <w:spacing w:after="0"/>
              <w:rPr>
                <w:sz w:val="18"/>
                <w:szCs w:val="18"/>
                <w:color w:val="auto"/>
              </w:rPr>
            </w:pPr>
          </w:p>
        </w:tc>
        <w:tc>
          <w:tcPr>
            <w:tcW w:w="9320" w:type="dxa"/>
            <w:vAlign w:val="bottom"/>
            <w:gridSpan w:val="23"/>
            <w:shd w:val="clear" w:color="auto" w:fill="EEEEEE"/>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31, 2021 and 2020</w:t>
              </w:r>
            </w:hyperlink>
          </w:p>
        </w:tc>
        <w:tc>
          <w:tcPr>
            <w:tcW w:w="100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nine months ended March 31, 2021 and 2020</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2.</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3.</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4.</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&amp; Procedures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760" w:type="dxa"/>
            <w:vAlign w:val="bottom"/>
            <w:gridSpan w:val="12"/>
            <w:shd w:val="clear" w:color="auto" w:fill="EEEEEE"/>
          </w:tcPr>
          <w:p>
            <w:pPr>
              <w:jc w:val="center"/>
              <w:ind w:right="3560"/>
              <w:spacing w:after="0" w:line="176" w:lineRule="exact"/>
              <w:rPr>
                <w:rFonts w:ascii="Arial" w:cs="Arial" w:eastAsia="Arial" w:hAnsi="Arial"/>
                <w:sz w:val="18"/>
                <w:szCs w:val="18"/>
                <w:b w:val="1"/>
                <w:bCs w:val="1"/>
                <w:color w:val="0000EE"/>
                <w:w w:val="97"/>
              </w:rPr>
            </w:pPr>
            <w:hyperlink w:anchor="page38">
              <w:r>
                <w:rPr>
                  <w:rFonts w:ascii="Arial" w:cs="Arial" w:eastAsia="Arial" w:hAnsi="Arial"/>
                  <w:sz w:val="18"/>
                  <w:szCs w:val="18"/>
                  <w:b w:val="1"/>
                  <w:bCs w:val="1"/>
                  <w:color w:val="0000EE"/>
                  <w:w w:val="97"/>
                </w:rPr>
                <w:t>PART II. Other Information</w:t>
              </w:r>
            </w:hyperlink>
          </w:p>
        </w:tc>
        <w:tc>
          <w:tcPr>
            <w:tcW w:w="10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1.</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1A.</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2.</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 of Equity Securities and Use of Proceeds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3.</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4.</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5.</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Item 6.</w:t>
            </w: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EEEEEE"/>
          </w:tcPr>
          <w:p>
            <w:pPr>
              <w:spacing w:after="0"/>
              <w:rPr>
                <w:sz w:val="15"/>
                <w:szCs w:val="15"/>
                <w:color w:val="auto"/>
              </w:rPr>
            </w:pPr>
          </w:p>
        </w:tc>
        <w:tc>
          <w:tcPr>
            <w:tcW w:w="9320" w:type="dxa"/>
            <w:vAlign w:val="bottom"/>
            <w:gridSpan w:val="23"/>
            <w:shd w:val="clear" w:color="auto" w:fill="EEEEEE"/>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100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6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March 31, 2021 and June 30, 2020</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March 31,</w:t>
            </w:r>
          </w:p>
        </w:tc>
        <w:tc>
          <w:tcPr>
            <w:tcW w:w="3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4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474,322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977,635</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8,092,787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6,067,199</w:t>
            </w: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10,015,923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5,743,181</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Prepayments and other current assets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2,923,572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616,231</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EEEEEE"/>
            </w:tcBorders>
            <w:gridSpan w:val="3"/>
          </w:tcPr>
          <w:p>
            <w:pPr>
              <w:ind w:left="5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21,506,604</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13,404,246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Right of use – non-current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1,987,363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262,875</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59,356</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52,947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99,395</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40" w:type="dxa"/>
            <w:vAlign w:val="bottom"/>
            <w:gridSpan w:val="3"/>
          </w:tcPr>
          <w:p>
            <w:pPr>
              <w:ind w:left="54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23,705,665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13,673,373</w:t>
            </w:r>
          </w:p>
        </w:tc>
        <w:tc>
          <w:tcPr>
            <w:tcW w:w="0" w:type="dxa"/>
            <w:vAlign w:val="bottom"/>
          </w:tcPr>
          <w:p>
            <w:pPr>
              <w:spacing w:after="0"/>
              <w:rPr>
                <w:sz w:val="1"/>
                <w:szCs w:val="1"/>
                <w:color w:val="auto"/>
              </w:rPr>
            </w:pPr>
          </w:p>
        </w:tc>
      </w:tr>
      <w:tr>
        <w:trPr>
          <w:trHeight w:val="197"/>
        </w:trPr>
        <w:tc>
          <w:tcPr>
            <w:tcW w:w="660" w:type="dxa"/>
            <w:vAlign w:val="bottom"/>
            <w:tcBorders>
              <w:top w:val="single" w:sz="8" w:color="EEEEEE"/>
            </w:tcBorders>
            <w:shd w:val="clear" w:color="auto" w:fill="EEEEEE"/>
          </w:tcPr>
          <w:p>
            <w:pPr>
              <w:spacing w:after="0"/>
              <w:rPr>
                <w:sz w:val="17"/>
                <w:szCs w:val="17"/>
                <w:color w:val="auto"/>
              </w:rPr>
            </w:pPr>
          </w:p>
        </w:tc>
        <w:tc>
          <w:tcPr>
            <w:tcW w:w="1520" w:type="dxa"/>
            <w:vAlign w:val="bottom"/>
            <w:tcBorders>
              <w:top w:val="single" w:sz="8" w:color="EEEEEE"/>
            </w:tcBorders>
            <w:shd w:val="clear" w:color="auto" w:fill="EEEEEE"/>
          </w:tcPr>
          <w:p>
            <w:pPr>
              <w:spacing w:after="0"/>
              <w:rPr>
                <w:sz w:val="17"/>
                <w:szCs w:val="17"/>
                <w:color w:val="auto"/>
              </w:rPr>
            </w:pPr>
          </w:p>
        </w:tc>
        <w:tc>
          <w:tcPr>
            <w:tcW w:w="526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44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EQUITY</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6,985,438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4,220,347</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Credit cards payable</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253,552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892,792</w:t>
            </w: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Customer deposit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628,080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741,301</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Due to related parties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515,517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133,793</w:t>
            </w: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1,889,643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1,940,858</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Short-term loans payable</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1,877,718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1,329,680</w:t>
            </w: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Lease liability – current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715,083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262,875</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Long-term loan payable - current portion</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29,244</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837,694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721,211</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Convertible notes payable, net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2,729,747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4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1"/>
              </w:rPr>
              <w:t>Redeemable preferred stock, $0.001 par value; 20,000,000 shares authorized; 34,500 and 0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ind w:left="360"/>
              <w:spacing w:after="0"/>
              <w:rPr>
                <w:sz w:val="20"/>
                <w:szCs w:val="20"/>
                <w:color w:val="auto"/>
              </w:rPr>
            </w:pPr>
            <w:r>
              <w:rPr>
                <w:rFonts w:ascii="Arial" w:cs="Arial" w:eastAsia="Arial" w:hAnsi="Arial"/>
                <w:sz w:val="18"/>
                <w:szCs w:val="18"/>
                <w:color w:val="auto"/>
              </w:rPr>
              <w:t>issued and outstanding at March 31, 2021 and June 30, 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433,714</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Borders>
              <w:top w:val="single" w:sz="8" w:color="EEEEEE"/>
            </w:tcBorders>
            <w:gridSpan w:val="3"/>
            <w:shd w:val="clear" w:color="auto" w:fill="EEEEEE"/>
          </w:tcPr>
          <w:p>
            <w:pPr>
              <w:ind w:left="5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16,895,430</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10,242,857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Long-term loan payable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470,756</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905,713</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Lease liability – non-current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1,358,601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Total non-current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2,735,070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ind w:left="5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19,630,500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10,742,857</w:t>
            </w:r>
          </w:p>
        </w:tc>
        <w:tc>
          <w:tcPr>
            <w:tcW w:w="0" w:type="dxa"/>
            <w:vAlign w:val="bottom"/>
          </w:tcPr>
          <w:p>
            <w:pPr>
              <w:spacing w:after="0"/>
              <w:rPr>
                <w:sz w:val="1"/>
                <w:szCs w:val="1"/>
                <w:color w:val="auto"/>
              </w:rPr>
            </w:pPr>
          </w:p>
        </w:tc>
      </w:tr>
      <w:tr>
        <w:trPr>
          <w:trHeight w:val="209"/>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Commitments and contingency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gridSpan w:val="3"/>
            <w:shd w:val="clear" w:color="auto" w:fill="EEEEEE"/>
          </w:tcPr>
          <w:p>
            <w:pPr>
              <w:ind w:left="180"/>
              <w:spacing w:after="0" w:line="201" w:lineRule="exact"/>
              <w:rPr>
                <w:sz w:val="20"/>
                <w:szCs w:val="20"/>
                <w:color w:val="auto"/>
              </w:rPr>
            </w:pPr>
            <w:r>
              <w:rPr>
                <w:rFonts w:ascii="Arial" w:cs="Arial" w:eastAsia="Arial" w:hAnsi="Arial"/>
                <w:sz w:val="18"/>
                <w:szCs w:val="18"/>
                <w:color w:val="auto"/>
              </w:rPr>
              <w:t>Class A common stock, $0.001 par value; 166,000,000 shares authorized; 20,204,496 and</w:t>
            </w: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20,204,496 shares issued and outstanding at March 31, 2021 and June 30, 2020 *</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20,204</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20,204</w:t>
            </w:r>
          </w:p>
        </w:tc>
        <w:tc>
          <w:tcPr>
            <w:tcW w:w="0" w:type="dxa"/>
            <w:vAlign w:val="bottom"/>
          </w:tcPr>
          <w:p>
            <w:pPr>
              <w:spacing w:after="0"/>
              <w:rPr>
                <w:sz w:val="1"/>
                <w:szCs w:val="1"/>
                <w:color w:val="auto"/>
              </w:rPr>
            </w:pPr>
          </w:p>
        </w:tc>
      </w:tr>
      <w:tr>
        <w:trPr>
          <w:trHeight w:val="202"/>
        </w:trPr>
        <w:tc>
          <w:tcPr>
            <w:tcW w:w="744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1"/>
              </w:rPr>
              <w:t>Class B common stock, $0.001 par value; 14,000,000 shares authorized; 14,000,000 shares issued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ind w:left="360"/>
              <w:spacing w:after="0"/>
              <w:rPr>
                <w:sz w:val="20"/>
                <w:szCs w:val="20"/>
                <w:color w:val="auto"/>
              </w:rPr>
            </w:pPr>
            <w:r>
              <w:rPr>
                <w:rFonts w:ascii="Arial" w:cs="Arial" w:eastAsia="Arial" w:hAnsi="Arial"/>
                <w:sz w:val="18"/>
                <w:szCs w:val="18"/>
                <w:color w:val="auto"/>
              </w:rPr>
              <w:t>and outstanding at March 31, 2021 and June 30, 2020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14,000</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Subscription receivable</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389,490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389,490</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3,651,471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2,520,822</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4,075,165</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2,930,516</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rPr>
              <w:t>Total liabilities and equity</w:t>
            </w: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23,705,665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13,673,373</w:t>
            </w:r>
          </w:p>
        </w:tc>
        <w:tc>
          <w:tcPr>
            <w:tcW w:w="0" w:type="dxa"/>
            <w:vAlign w:val="bottom"/>
          </w:tcPr>
          <w:p>
            <w:pPr>
              <w:spacing w:after="0"/>
              <w:rPr>
                <w:sz w:val="1"/>
                <w:szCs w:val="1"/>
                <w:color w:val="auto"/>
              </w:rPr>
            </w:pP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2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shares authorized, all references to number of shares, and to per share information in the consolidated and combined financial statements have been retroactively adjusted.</w:t>
      </w:r>
    </w:p>
    <w:p>
      <w:pPr>
        <w:sectPr>
          <w:pgSz w:w="11900" w:h="16838" w:orient="portrait"/>
          <w:cols w:equalWidth="0" w:num="1">
            <w:col w:w="11240"/>
          </w:cols>
          <w:pgMar w:left="320" w:top="796" w:right="339" w:bottom="24"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and Nine Months Ended March 31, 2021 and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6"/>
          </w:tcPr>
          <w:p>
            <w:pPr>
              <w:jc w:val="right"/>
              <w:ind w:right="521"/>
              <w:spacing w:after="0"/>
              <w:rPr>
                <w:sz w:val="20"/>
                <w:szCs w:val="20"/>
                <w:color w:val="auto"/>
              </w:rPr>
            </w:pPr>
            <w:r>
              <w:rPr>
                <w:rFonts w:ascii="Arial" w:cs="Arial" w:eastAsia="Arial" w:hAnsi="Arial"/>
                <w:sz w:val="18"/>
                <w:szCs w:val="18"/>
                <w:color w:val="auto"/>
                <w:w w:val="93"/>
              </w:rPr>
              <w:t>For the Three Months Ended March 31,</w:t>
            </w:r>
          </w:p>
        </w:tc>
        <w:tc>
          <w:tcPr>
            <w:tcW w:w="2860" w:type="dxa"/>
            <w:vAlign w:val="bottom"/>
            <w:gridSpan w:val="7"/>
          </w:tcPr>
          <w:p>
            <w:pPr>
              <w:spacing w:after="0"/>
              <w:rPr>
                <w:sz w:val="20"/>
                <w:szCs w:val="20"/>
                <w:color w:val="auto"/>
              </w:rPr>
            </w:pPr>
            <w:r>
              <w:rPr>
                <w:rFonts w:ascii="Arial" w:cs="Arial" w:eastAsia="Arial" w:hAnsi="Arial"/>
                <w:sz w:val="18"/>
                <w:szCs w:val="18"/>
                <w:color w:val="auto"/>
                <w:w w:val="93"/>
              </w:rPr>
              <w:t>For the Nine Months Ended March 31,</w:t>
            </w:r>
          </w:p>
        </w:tc>
      </w:tr>
      <w:tr>
        <w:trPr>
          <w:trHeight w:val="223"/>
        </w:trPr>
        <w:tc>
          <w:tcPr>
            <w:tcW w:w="4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r>
      <w:tr>
        <w:trPr>
          <w:trHeight w:val="209"/>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93"/>
              </w:rPr>
              <w:t>(Unaudited)</w:t>
            </w:r>
          </w:p>
        </w:tc>
        <w:tc>
          <w:tcPr>
            <w:tcW w:w="6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13,133,902</w:t>
            </w:r>
          </w:p>
        </w:tc>
        <w:tc>
          <w:tcPr>
            <w:tcW w:w="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9,772,108</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39,348,154</w:t>
            </w:r>
          </w:p>
        </w:tc>
        <w:tc>
          <w:tcPr>
            <w:tcW w:w="2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25,278,339</w:t>
            </w:r>
          </w:p>
        </w:tc>
      </w:tr>
      <w:tr>
        <w:trPr>
          <w:trHeight w:val="229"/>
        </w:trPr>
        <w:tc>
          <w:tcPr>
            <w:tcW w:w="462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EEEEEE"/>
            </w:tcBorders>
          </w:tcPr>
          <w:p>
            <w:pPr>
              <w:spacing w:after="0"/>
              <w:rPr>
                <w:sz w:val="19"/>
                <w:szCs w:val="19"/>
                <w:color w:val="auto"/>
              </w:rPr>
            </w:pPr>
          </w:p>
        </w:tc>
      </w:tr>
      <w:tr>
        <w:trPr>
          <w:trHeight w:val="20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13,133,902</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9,772,108</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39,348,154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25,278,339</w:t>
            </w:r>
          </w:p>
        </w:tc>
        <w:tc>
          <w:tcPr>
            <w:tcW w:w="6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7,369,127</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6,612,596</w:t>
            </w: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23,073,000</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16,710,953</w:t>
            </w:r>
          </w:p>
        </w:tc>
      </w:tr>
      <w:tr>
        <w:trPr>
          <w:trHeight w:val="229"/>
        </w:trPr>
        <w:tc>
          <w:tcPr>
            <w:tcW w:w="462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EEEEEE"/>
            </w:tcBorders>
          </w:tcPr>
          <w:p>
            <w:pPr>
              <w:spacing w:after="0"/>
              <w:rPr>
                <w:sz w:val="19"/>
                <w:szCs w:val="19"/>
                <w:color w:val="auto"/>
              </w:rPr>
            </w:pPr>
          </w:p>
        </w:tc>
      </w:tr>
      <w:tr>
        <w:trPr>
          <w:trHeight w:val="20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EEEEEE"/>
          </w:tcPr>
          <w:p>
            <w:pPr>
              <w:spacing w:after="0"/>
              <w:rPr>
                <w:sz w:val="18"/>
                <w:szCs w:val="18"/>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5,764,775</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tcBorders>
              <w:bottom w:val="single" w:sz="8" w:color="auto"/>
            </w:tcBorders>
            <w:shd w:val="clear" w:color="auto" w:fill="EEEEEE"/>
          </w:tcPr>
          <w:p>
            <w:pPr>
              <w:spacing w:after="0"/>
              <w:rPr>
                <w:sz w:val="18"/>
                <w:szCs w:val="18"/>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3,159,512</w:t>
            </w:r>
          </w:p>
        </w:tc>
        <w:tc>
          <w:tcPr>
            <w:tcW w:w="320" w:type="dxa"/>
            <w:vAlign w:val="bottom"/>
            <w:shd w:val="clear" w:color="auto" w:fill="EEEEEE"/>
          </w:tcPr>
          <w:p>
            <w:pPr>
              <w:spacing w:after="0"/>
              <w:rPr>
                <w:sz w:val="18"/>
                <w:szCs w:val="18"/>
                <w:color w:val="auto"/>
              </w:rPr>
            </w:pPr>
          </w:p>
        </w:tc>
        <w:tc>
          <w:tcPr>
            <w:tcW w:w="220" w:type="dxa"/>
            <w:vAlign w:val="bottom"/>
            <w:tcBorders>
              <w:bottom w:val="single" w:sz="8" w:color="auto"/>
            </w:tcBorders>
            <w:shd w:val="clear" w:color="auto" w:fill="EEEEEE"/>
          </w:tcPr>
          <w:p>
            <w:pPr>
              <w:spacing w:after="0"/>
              <w:rPr>
                <w:sz w:val="18"/>
                <w:szCs w:val="18"/>
                <w:color w:val="auto"/>
              </w:rPr>
            </w:pP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16,275,154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tcBorders>
              <w:bottom w:val="single" w:sz="8" w:color="auto"/>
            </w:tcBorders>
            <w:shd w:val="clear" w:color="auto" w:fill="EEEEEE"/>
          </w:tcPr>
          <w:p>
            <w:pPr>
              <w:spacing w:after="0"/>
              <w:rPr>
                <w:sz w:val="18"/>
                <w:szCs w:val="18"/>
                <w:color w:val="auto"/>
              </w:rPr>
            </w:pP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9"/>
              </w:rPr>
              <w:t>8,567,386</w:t>
            </w:r>
          </w:p>
        </w:tc>
        <w:tc>
          <w:tcPr>
            <w:tcW w:w="60" w:type="dxa"/>
            <w:vAlign w:val="bottom"/>
            <w:shd w:val="clear" w:color="auto" w:fill="EEEEEE"/>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8"/>
                <w:szCs w:val="18"/>
                <w:color w:val="auto"/>
              </w:rPr>
            </w:pPr>
          </w:p>
        </w:tc>
        <w:tc>
          <w:tcPr>
            <w:tcW w:w="1540" w:type="dxa"/>
            <w:vAlign w:val="bottom"/>
            <w:gridSpan w:val="2"/>
          </w:tcPr>
          <w:p>
            <w:pPr>
              <w:jc w:val="right"/>
              <w:ind w:right="101"/>
              <w:spacing w:after="0"/>
              <w:rPr>
                <w:sz w:val="20"/>
                <w:szCs w:val="20"/>
                <w:color w:val="auto"/>
              </w:rPr>
            </w:pPr>
            <w:r>
              <w:rPr>
                <w:rFonts w:ascii="Arial" w:cs="Arial" w:eastAsia="Arial" w:hAnsi="Arial"/>
                <w:sz w:val="18"/>
                <w:szCs w:val="18"/>
                <w:color w:val="auto"/>
              </w:rPr>
              <w:t>2,398,157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Arial" w:cs="Arial" w:eastAsia="Arial" w:hAnsi="Arial"/>
                <w:sz w:val="18"/>
                <w:szCs w:val="18"/>
                <w:color w:val="auto"/>
              </w:rPr>
              <w:t>1,662,909</w:t>
            </w:r>
          </w:p>
        </w:tc>
        <w:tc>
          <w:tcPr>
            <w:tcW w:w="220" w:type="dxa"/>
            <w:vAlign w:val="bottom"/>
          </w:tcPr>
          <w:p>
            <w:pPr>
              <w:spacing w:after="0"/>
              <w:rPr>
                <w:sz w:val="18"/>
                <w:szCs w:val="18"/>
                <w:color w:val="auto"/>
              </w:rPr>
            </w:pPr>
          </w:p>
        </w:tc>
        <w:tc>
          <w:tcPr>
            <w:tcW w:w="1520" w:type="dxa"/>
            <w:vAlign w:val="bottom"/>
            <w:gridSpan w:val="2"/>
          </w:tcPr>
          <w:p>
            <w:pPr>
              <w:jc w:val="right"/>
              <w:ind w:right="101"/>
              <w:spacing w:after="0"/>
              <w:rPr>
                <w:sz w:val="20"/>
                <w:szCs w:val="20"/>
                <w:color w:val="auto"/>
              </w:rPr>
            </w:pPr>
            <w:r>
              <w:rPr>
                <w:rFonts w:ascii="Arial" w:cs="Arial" w:eastAsia="Arial" w:hAnsi="Arial"/>
                <w:sz w:val="18"/>
                <w:szCs w:val="18"/>
                <w:color w:val="auto"/>
              </w:rPr>
              <w:t>7,292,793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9"/>
              </w:rPr>
              <w:t>4,330,603</w:t>
            </w:r>
          </w:p>
        </w:tc>
      </w:tr>
      <w:tr>
        <w:trPr>
          <w:trHeight w:val="230"/>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2,577,884</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1,156,418</w:t>
            </w:r>
          </w:p>
        </w:tc>
        <w:tc>
          <w:tcPr>
            <w:tcW w:w="22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6,264,148</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3,092,393</w:t>
            </w:r>
          </w:p>
        </w:tc>
      </w:tr>
      <w:tr>
        <w:trPr>
          <w:trHeight w:val="209"/>
        </w:trPr>
        <w:tc>
          <w:tcPr>
            <w:tcW w:w="462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4,976,041</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2,819,327</w:t>
            </w:r>
          </w:p>
        </w:tc>
        <w:tc>
          <w:tcPr>
            <w:tcW w:w="32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13,556,941</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7,422,996</w:t>
            </w:r>
          </w:p>
        </w:tc>
        <w:tc>
          <w:tcPr>
            <w:tcW w:w="60" w:type="dxa"/>
            <w:vAlign w:val="bottom"/>
            <w:tcBorders>
              <w:bottom w:val="single" w:sz="8" w:color="EEEEEE"/>
            </w:tcBorders>
          </w:tcPr>
          <w:p>
            <w:pPr>
              <w:spacing w:after="0"/>
              <w:rPr>
                <w:sz w:val="18"/>
                <w:szCs w:val="18"/>
                <w:color w:val="auto"/>
              </w:rPr>
            </w:pPr>
          </w:p>
        </w:tc>
      </w:tr>
      <w:tr>
        <w:trPr>
          <w:trHeight w:val="209"/>
        </w:trPr>
        <w:tc>
          <w:tcPr>
            <w:tcW w:w="4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1540" w:type="dxa"/>
            <w:vAlign w:val="bottom"/>
            <w:gridSpan w:val="2"/>
          </w:tcPr>
          <w:p>
            <w:pPr>
              <w:jc w:val="right"/>
              <w:ind w:right="101"/>
              <w:spacing w:after="0"/>
              <w:rPr>
                <w:sz w:val="20"/>
                <w:szCs w:val="20"/>
                <w:color w:val="auto"/>
              </w:rPr>
            </w:pPr>
            <w:r>
              <w:rPr>
                <w:rFonts w:ascii="Arial" w:cs="Arial" w:eastAsia="Arial" w:hAnsi="Arial"/>
                <w:sz w:val="18"/>
                <w:szCs w:val="18"/>
                <w:color w:val="auto"/>
              </w:rPr>
              <w:t>788,734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41"/>
              <w:spacing w:after="0"/>
              <w:rPr>
                <w:sz w:val="20"/>
                <w:szCs w:val="20"/>
                <w:color w:val="auto"/>
              </w:rPr>
            </w:pPr>
            <w:r>
              <w:rPr>
                <w:rFonts w:ascii="Arial" w:cs="Arial" w:eastAsia="Arial" w:hAnsi="Arial"/>
                <w:sz w:val="18"/>
                <w:szCs w:val="18"/>
                <w:color w:val="auto"/>
              </w:rPr>
              <w:t>340,185</w:t>
            </w:r>
          </w:p>
        </w:tc>
        <w:tc>
          <w:tcPr>
            <w:tcW w:w="220" w:type="dxa"/>
            <w:vAlign w:val="bottom"/>
          </w:tcPr>
          <w:p>
            <w:pPr>
              <w:spacing w:after="0"/>
              <w:rPr>
                <w:sz w:val="19"/>
                <w:szCs w:val="19"/>
                <w:color w:val="auto"/>
              </w:rPr>
            </w:pPr>
          </w:p>
        </w:tc>
        <w:tc>
          <w:tcPr>
            <w:tcW w:w="1520" w:type="dxa"/>
            <w:vAlign w:val="bottom"/>
            <w:gridSpan w:val="2"/>
          </w:tcPr>
          <w:p>
            <w:pPr>
              <w:jc w:val="right"/>
              <w:ind w:right="101"/>
              <w:spacing w:after="0"/>
              <w:rPr>
                <w:sz w:val="20"/>
                <w:szCs w:val="20"/>
                <w:color w:val="auto"/>
              </w:rPr>
            </w:pPr>
            <w:r>
              <w:rPr>
                <w:rFonts w:ascii="Arial" w:cs="Arial" w:eastAsia="Arial" w:hAnsi="Arial"/>
                <w:sz w:val="18"/>
                <w:szCs w:val="18"/>
                <w:color w:val="auto"/>
              </w:rPr>
              <w:t>2,718,213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9"/>
              </w:rPr>
              <w:t>1,144,390</w:t>
            </w:r>
          </w:p>
        </w:tc>
      </w:tr>
      <w:tr>
        <w:trPr>
          <w:trHeight w:val="209"/>
        </w:trPr>
        <w:tc>
          <w:tcPr>
            <w:tcW w:w="46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 (expenses)</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(60,118)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(26,222)</w:t>
            </w: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(109,656)</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(43,519)</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financing expenses</w:t>
            </w:r>
          </w:p>
        </w:tc>
        <w:tc>
          <w:tcPr>
            <w:tcW w:w="200" w:type="dxa"/>
            <w:vAlign w:val="bottom"/>
          </w:tcPr>
          <w:p>
            <w:pPr>
              <w:spacing w:after="0"/>
              <w:rPr>
                <w:sz w:val="18"/>
                <w:szCs w:val="18"/>
                <w:color w:val="auto"/>
              </w:rPr>
            </w:pPr>
          </w:p>
        </w:tc>
        <w:tc>
          <w:tcPr>
            <w:tcW w:w="1540" w:type="dxa"/>
            <w:vAlign w:val="bottom"/>
            <w:gridSpan w:val="2"/>
          </w:tcPr>
          <w:p>
            <w:pPr>
              <w:jc w:val="right"/>
              <w:ind w:right="41"/>
              <w:spacing w:after="0"/>
              <w:rPr>
                <w:sz w:val="20"/>
                <w:szCs w:val="20"/>
                <w:color w:val="auto"/>
              </w:rPr>
            </w:pPr>
            <w:r>
              <w:rPr>
                <w:rFonts w:ascii="Arial" w:cs="Arial" w:eastAsia="Arial" w:hAnsi="Arial"/>
                <w:sz w:val="18"/>
                <w:szCs w:val="18"/>
                <w:color w:val="auto"/>
              </w:rPr>
              <w:t>(60,692)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41"/>
              <w:spacing w:after="0"/>
              <w:rPr>
                <w:sz w:val="20"/>
                <w:szCs w:val="20"/>
                <w:color w:val="auto"/>
              </w:rPr>
            </w:pPr>
            <w:r>
              <w:rPr>
                <w:rFonts w:ascii="Arial" w:cs="Arial" w:eastAsia="Arial" w:hAnsi="Arial"/>
                <w:sz w:val="18"/>
                <w:szCs w:val="18"/>
                <w:color w:val="auto"/>
              </w:rPr>
              <w:t>(98,139)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PPP loan forgiveness</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175,500</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175,500</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ind w:left="180"/>
              <w:spacing w:after="0"/>
              <w:rPr>
                <w:sz w:val="20"/>
                <w:szCs w:val="20"/>
                <w:color w:val="auto"/>
              </w:rPr>
            </w:pPr>
            <w:r>
              <w:rPr>
                <w:rFonts w:ascii="Arial" w:cs="Arial" w:eastAsia="Arial" w:hAnsi="Arial"/>
                <w:sz w:val="18"/>
                <w:szCs w:val="18"/>
                <w:color w:val="auto"/>
              </w:rPr>
              <w:t>Other non-operating income (expense)</w:t>
            </w:r>
          </w:p>
        </w:tc>
        <w:tc>
          <w:tcPr>
            <w:tcW w:w="200" w:type="dxa"/>
            <w:vAlign w:val="bottom"/>
          </w:tcPr>
          <w:p>
            <w:pPr>
              <w:spacing w:after="0"/>
              <w:rPr>
                <w:sz w:val="19"/>
                <w:szCs w:val="19"/>
                <w:color w:val="auto"/>
              </w:rPr>
            </w:pPr>
          </w:p>
        </w:tc>
        <w:tc>
          <w:tcPr>
            <w:tcW w:w="1540" w:type="dxa"/>
            <w:vAlign w:val="bottom"/>
            <w:gridSpan w:val="2"/>
          </w:tcPr>
          <w:p>
            <w:pPr>
              <w:jc w:val="right"/>
              <w:ind w:right="41"/>
              <w:spacing w:after="0"/>
              <w:rPr>
                <w:sz w:val="20"/>
                <w:szCs w:val="20"/>
                <w:color w:val="auto"/>
              </w:rPr>
            </w:pPr>
            <w:r>
              <w:rPr>
                <w:rFonts w:ascii="Arial" w:cs="Arial" w:eastAsia="Arial" w:hAnsi="Arial"/>
                <w:sz w:val="18"/>
                <w:szCs w:val="18"/>
                <w:color w:val="auto"/>
              </w:rPr>
              <w:t>(812,434)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181"/>
              <w:spacing w:after="0"/>
              <w:rPr>
                <w:sz w:val="20"/>
                <w:szCs w:val="20"/>
                <w:color w:val="auto"/>
              </w:rPr>
            </w:pPr>
            <w:r>
              <w:rPr>
                <w:rFonts w:ascii="Arial" w:cs="Arial" w:eastAsia="Arial" w:hAnsi="Arial"/>
                <w:sz w:val="18"/>
                <w:szCs w:val="18"/>
                <w:color w:val="auto"/>
              </w:rPr>
              <w:t>(7,154)</w:t>
            </w:r>
          </w:p>
        </w:tc>
        <w:tc>
          <w:tcPr>
            <w:tcW w:w="220" w:type="dxa"/>
            <w:vAlign w:val="bottom"/>
          </w:tcPr>
          <w:p>
            <w:pPr>
              <w:spacing w:after="0"/>
              <w:rPr>
                <w:sz w:val="19"/>
                <w:szCs w:val="19"/>
                <w:color w:val="auto"/>
              </w:rPr>
            </w:pPr>
          </w:p>
        </w:tc>
        <w:tc>
          <w:tcPr>
            <w:tcW w:w="1520" w:type="dxa"/>
            <w:vAlign w:val="bottom"/>
            <w:gridSpan w:val="2"/>
          </w:tcPr>
          <w:p>
            <w:pPr>
              <w:jc w:val="right"/>
              <w:ind w:right="41"/>
              <w:spacing w:after="0"/>
              <w:rPr>
                <w:sz w:val="20"/>
                <w:szCs w:val="20"/>
                <w:color w:val="auto"/>
              </w:rPr>
            </w:pPr>
            <w:r>
              <w:rPr>
                <w:rFonts w:ascii="Arial" w:cs="Arial" w:eastAsia="Arial" w:hAnsi="Arial"/>
                <w:sz w:val="18"/>
                <w:szCs w:val="18"/>
                <w:color w:val="auto"/>
              </w:rPr>
              <w:t>(794,582)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8,113</w:t>
            </w:r>
          </w:p>
        </w:tc>
      </w:tr>
      <w:tr>
        <w:trPr>
          <w:trHeight w:val="210"/>
        </w:trPr>
        <w:tc>
          <w:tcPr>
            <w:tcW w:w="462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(757,744</w:t>
            </w:r>
          </w:p>
        </w:tc>
        <w:tc>
          <w:tcPr>
            <w:tcW w:w="180" w:type="dxa"/>
            <w:vAlign w:val="bottom"/>
            <w:tcBorders>
              <w:top w:val="single" w:sz="8" w:color="EEEEEE"/>
            </w:tcBorders>
            <w:shd w:val="clear" w:color="auto" w:fill="EEEEEE"/>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(33,376</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(826,877</w:t>
            </w:r>
          </w:p>
        </w:tc>
        <w:tc>
          <w:tcPr>
            <w:tcW w:w="180" w:type="dxa"/>
            <w:vAlign w:val="bottom"/>
            <w:tcBorders>
              <w:top w:val="single" w:sz="8" w:color="EEEEEE"/>
            </w:tcBorders>
            <w:shd w:val="clear" w:color="auto" w:fill="EEEEEE"/>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(35,406</w:t>
            </w:r>
          </w:p>
        </w:tc>
        <w:tc>
          <w:tcPr>
            <w:tcW w:w="6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30,990</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306,809</w:t>
            </w: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1,891,336</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1,108,984</w:t>
            </w: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237,813</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86,085</w:t>
            </w:r>
          </w:p>
        </w:tc>
        <w:tc>
          <w:tcPr>
            <w:tcW w:w="22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760,687</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311,038</w:t>
            </w:r>
          </w:p>
        </w:tc>
      </w:tr>
      <w:tr>
        <w:trPr>
          <w:trHeight w:val="210"/>
        </w:trPr>
        <w:tc>
          <w:tcPr>
            <w:tcW w:w="4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(206,823)</w:t>
            </w:r>
          </w:p>
        </w:tc>
        <w:tc>
          <w:tcPr>
            <w:tcW w:w="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220,724</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1,130,649</w:t>
            </w:r>
          </w:p>
        </w:tc>
        <w:tc>
          <w:tcPr>
            <w:tcW w:w="2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797,946</w:t>
            </w:r>
          </w:p>
        </w:tc>
      </w:tr>
      <w:tr>
        <w:trPr>
          <w:trHeight w:val="20"/>
        </w:trPr>
        <w:tc>
          <w:tcPr>
            <w:tcW w:w="4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WEIGHTED AVERAGE NUMBER OF CLASS A</w:t>
            </w:r>
          </w:p>
        </w:tc>
        <w:tc>
          <w:tcPr>
            <w:tcW w:w="2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r>
      <w:tr>
        <w:trPr>
          <w:trHeight w:val="230"/>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EEEEEE"/>
          </w:tcPr>
          <w:p>
            <w:pPr>
              <w:spacing w:after="0"/>
              <w:rPr>
                <w:sz w:val="20"/>
                <w:szCs w:val="20"/>
                <w:color w:val="auto"/>
              </w:rPr>
            </w:pPr>
          </w:p>
        </w:tc>
        <w:tc>
          <w:tcPr>
            <w:tcW w:w="13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83"/>
        </w:trPr>
        <w:tc>
          <w:tcPr>
            <w:tcW w:w="46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00" w:type="dxa"/>
            <w:vAlign w:val="bottom"/>
          </w:tcPr>
          <w:p>
            <w:pPr>
              <w:spacing w:after="0"/>
              <w:rPr>
                <w:sz w:val="24"/>
                <w:szCs w:val="24"/>
                <w:color w:val="auto"/>
              </w:rPr>
            </w:pPr>
          </w:p>
        </w:tc>
        <w:tc>
          <w:tcPr>
            <w:tcW w:w="1540" w:type="dxa"/>
            <w:vAlign w:val="bottom"/>
            <w:gridSpan w:val="2"/>
          </w:tcPr>
          <w:p>
            <w:pPr>
              <w:jc w:val="right"/>
              <w:ind w:right="101"/>
              <w:spacing w:after="0"/>
              <w:rPr>
                <w:sz w:val="20"/>
                <w:szCs w:val="20"/>
                <w:color w:val="auto"/>
              </w:rPr>
            </w:pPr>
            <w:r>
              <w:rPr>
                <w:rFonts w:ascii="Arial" w:cs="Arial" w:eastAsia="Arial" w:hAnsi="Arial"/>
                <w:sz w:val="18"/>
                <w:szCs w:val="18"/>
                <w:color w:val="auto"/>
              </w:rPr>
              <w:t>20,204,496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241"/>
              <w:spacing w:after="0"/>
              <w:rPr>
                <w:sz w:val="20"/>
                <w:szCs w:val="20"/>
                <w:color w:val="auto"/>
              </w:rPr>
            </w:pPr>
            <w:r>
              <w:rPr>
                <w:rFonts w:ascii="Arial" w:cs="Arial" w:eastAsia="Arial" w:hAnsi="Arial"/>
                <w:sz w:val="18"/>
                <w:szCs w:val="18"/>
                <w:color w:val="auto"/>
              </w:rPr>
              <w:t>20,170,788</w:t>
            </w:r>
          </w:p>
        </w:tc>
        <w:tc>
          <w:tcPr>
            <w:tcW w:w="220" w:type="dxa"/>
            <w:vAlign w:val="bottom"/>
          </w:tcPr>
          <w:p>
            <w:pPr>
              <w:spacing w:after="0"/>
              <w:rPr>
                <w:sz w:val="24"/>
                <w:szCs w:val="24"/>
                <w:color w:val="auto"/>
              </w:rPr>
            </w:pPr>
          </w:p>
        </w:tc>
        <w:tc>
          <w:tcPr>
            <w:tcW w:w="1520" w:type="dxa"/>
            <w:vAlign w:val="bottom"/>
            <w:gridSpan w:val="2"/>
          </w:tcPr>
          <w:p>
            <w:pPr>
              <w:jc w:val="right"/>
              <w:ind w:right="101"/>
              <w:spacing w:after="0"/>
              <w:rPr>
                <w:sz w:val="20"/>
                <w:szCs w:val="20"/>
                <w:color w:val="auto"/>
              </w:rPr>
            </w:pPr>
            <w:r>
              <w:rPr>
                <w:rFonts w:ascii="Arial" w:cs="Arial" w:eastAsia="Arial" w:hAnsi="Arial"/>
                <w:sz w:val="18"/>
                <w:szCs w:val="18"/>
                <w:color w:val="auto"/>
              </w:rPr>
              <w:t>20,204,496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20,056,515</w:t>
            </w:r>
          </w:p>
        </w:tc>
      </w:tr>
      <w:tr>
        <w:trPr>
          <w:trHeight w:val="196"/>
        </w:trPr>
        <w:tc>
          <w:tcPr>
            <w:tcW w:w="46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820" w:type="dxa"/>
            <w:vAlign w:val="bottom"/>
            <w:tcBorders>
              <w:top w:val="single" w:sz="8" w:color="auto"/>
            </w:tcBorders>
            <w:shd w:val="clear" w:color="auto" w:fill="EEEEEE"/>
          </w:tcPr>
          <w:p>
            <w:pPr>
              <w:spacing w:after="0"/>
              <w:rPr>
                <w:sz w:val="17"/>
                <w:szCs w:val="17"/>
                <w:color w:val="auto"/>
              </w:rPr>
            </w:pPr>
          </w:p>
        </w:tc>
        <w:tc>
          <w:tcPr>
            <w:tcW w:w="60" w:type="dxa"/>
            <w:vAlign w:val="bottom"/>
            <w:tcBorders>
              <w:top w:val="single" w:sz="8" w:color="EEEEEE"/>
            </w:tcBorders>
            <w:shd w:val="clear" w:color="auto" w:fill="EEEEEE"/>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PER SHARE *</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(0.010)</w:t>
            </w:r>
          </w:p>
        </w:tc>
        <w:tc>
          <w:tcPr>
            <w:tcW w:w="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0.011</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0.056</w:t>
            </w:r>
          </w:p>
        </w:tc>
        <w:tc>
          <w:tcPr>
            <w:tcW w:w="2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0.040</w:t>
            </w:r>
          </w:p>
        </w:tc>
      </w:tr>
      <w:tr>
        <w:trPr>
          <w:trHeight w:val="20"/>
        </w:trPr>
        <w:tc>
          <w:tcPr>
            <w:tcW w:w="4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The computation of basic and diluted EPS was retroactively adjusted for all periods presented.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 The computation of basic and diluted EPS did not include the Class B Common Stock as the holders of Class B Common Stock have no dividend or liquidation right until such time as their shares of Class B Common Stock have been converted into Class A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and Nine Months Ended March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2380" w:type="dxa"/>
            <w:vAlign w:val="bottom"/>
          </w:tcPr>
          <w:p>
            <w:pPr>
              <w:spacing w:after="0"/>
              <w:rPr>
                <w:sz w:val="15"/>
                <w:szCs w:val="15"/>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4"/>
                <w:szCs w:val="14"/>
                <w:color w:val="auto"/>
              </w:rPr>
              <w:t>Class A Common Stock *</w:t>
            </w:r>
          </w:p>
        </w:tc>
        <w:tc>
          <w:tcPr>
            <w:tcW w:w="2220" w:type="dxa"/>
            <w:vAlign w:val="bottom"/>
            <w:gridSpan w:val="5"/>
          </w:tcPr>
          <w:p>
            <w:pPr>
              <w:ind w:left="260"/>
              <w:spacing w:after="0"/>
              <w:rPr>
                <w:sz w:val="20"/>
                <w:szCs w:val="20"/>
                <w:color w:val="auto"/>
              </w:rPr>
            </w:pPr>
            <w:r>
              <w:rPr>
                <w:rFonts w:ascii="Arial" w:cs="Arial" w:eastAsia="Arial" w:hAnsi="Arial"/>
                <w:sz w:val="14"/>
                <w:szCs w:val="14"/>
                <w:color w:val="auto"/>
              </w:rPr>
              <w:t>Class B Common Stock *</w:t>
            </w:r>
          </w:p>
        </w:tc>
        <w:tc>
          <w:tcPr>
            <w:tcW w:w="80" w:type="dxa"/>
            <w:vAlign w:val="bottom"/>
          </w:tcPr>
          <w:p>
            <w:pPr>
              <w:spacing w:after="0"/>
              <w:rPr>
                <w:sz w:val="15"/>
                <w:szCs w:val="15"/>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w w:val="90"/>
              </w:rPr>
              <w:t>Subscription</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Paid in</w:t>
            </w: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Retained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238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color w:val="auto"/>
              </w:rPr>
              <w:t>Shares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99"/>
              <w:spacing w:after="0" w:line="155" w:lineRule="exact"/>
              <w:rPr>
                <w:sz w:val="20"/>
                <w:szCs w:val="20"/>
                <w:color w:val="auto"/>
              </w:rPr>
            </w:pPr>
            <w:r>
              <w:rPr>
                <w:rFonts w:ascii="Arial" w:cs="Arial" w:eastAsia="Arial" w:hAnsi="Arial"/>
                <w:sz w:val="14"/>
                <w:szCs w:val="14"/>
                <w:color w:val="auto"/>
                <w:w w:val="95"/>
              </w:rPr>
              <w:t>Receivable</w:t>
            </w:r>
          </w:p>
        </w:tc>
        <w:tc>
          <w:tcPr>
            <w:tcW w:w="120" w:type="dxa"/>
            <w:vAlign w:val="bottom"/>
          </w:tcPr>
          <w:p>
            <w:pPr>
              <w:spacing w:after="0"/>
              <w:rPr>
                <w:sz w:val="13"/>
                <w:szCs w:val="13"/>
                <w:color w:val="auto"/>
              </w:rPr>
            </w:pPr>
          </w:p>
        </w:tc>
        <w:tc>
          <w:tcPr>
            <w:tcW w:w="100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3"/>
                <w:szCs w:val="13"/>
                <w:color w:val="auto"/>
              </w:rPr>
            </w:pPr>
          </w:p>
        </w:tc>
        <w:tc>
          <w:tcPr>
            <w:tcW w:w="820" w:type="dxa"/>
            <w:vAlign w:val="bottom"/>
            <w:gridSpan w:val="3"/>
          </w:tcPr>
          <w:p>
            <w:pPr>
              <w:jc w:val="right"/>
              <w:ind w:right="400"/>
              <w:spacing w:after="0" w:line="155" w:lineRule="exact"/>
              <w:rPr>
                <w:sz w:val="20"/>
                <w:szCs w:val="20"/>
                <w:color w:val="auto"/>
              </w:rPr>
            </w:pPr>
            <w:r>
              <w:rPr>
                <w:rFonts w:ascii="Arial" w:cs="Arial" w:eastAsia="Arial" w:hAnsi="Arial"/>
                <w:sz w:val="14"/>
                <w:szCs w:val="14"/>
                <w:color w:val="auto"/>
              </w:rPr>
              <w:t>Total</w:t>
            </w:r>
          </w:p>
        </w:tc>
      </w:tr>
      <w:tr>
        <w:trPr>
          <w:trHeight w:val="142"/>
        </w:trPr>
        <w:tc>
          <w:tcPr>
            <w:tcW w:w="238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Balance, June 30, 2019</w:t>
            </w: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20,000,000</w:t>
            </w:r>
          </w:p>
        </w:tc>
        <w:tc>
          <w:tcPr>
            <w:tcW w:w="24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20,000</w:t>
            </w:r>
          </w:p>
        </w:tc>
        <w:tc>
          <w:tcPr>
            <w:tcW w:w="240" w:type="dxa"/>
            <w:vAlign w:val="bottom"/>
            <w:tcBorders>
              <w:top w:val="single" w:sz="8" w:color="EEEEEE"/>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ind w:left="240"/>
              <w:spacing w:after="0" w:line="142" w:lineRule="exact"/>
              <w:rPr>
                <w:sz w:val="20"/>
                <w:szCs w:val="20"/>
                <w:color w:val="auto"/>
              </w:rPr>
            </w:pPr>
            <w:r>
              <w:rPr>
                <w:rFonts w:ascii="Arial" w:cs="Arial" w:eastAsia="Arial" w:hAnsi="Arial"/>
                <w:sz w:val="14"/>
                <w:szCs w:val="14"/>
                <w:color w:val="auto"/>
                <w:w w:val="91"/>
              </w:rPr>
              <w:t>14,000,000</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14,000</w:t>
            </w: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(14,000)</w:t>
            </w:r>
          </w:p>
        </w:tc>
        <w:tc>
          <w:tcPr>
            <w:tcW w:w="20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(37,316)</w:t>
            </w: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533,860</w:t>
            </w: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7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516,544</w:t>
            </w:r>
          </w:p>
        </w:tc>
        <w:tc>
          <w:tcPr>
            <w:tcW w:w="100" w:type="dxa"/>
            <w:vAlign w:val="bottom"/>
            <w:tcBorders>
              <w:top w:val="single" w:sz="8" w:color="EEEEEE"/>
            </w:tcBorders>
            <w:gridSpan w:val="2"/>
            <w:shd w:val="clear" w:color="auto" w:fill="EEEEEE"/>
          </w:tcPr>
          <w:p>
            <w:pPr>
              <w:spacing w:after="0"/>
              <w:rPr>
                <w:sz w:val="12"/>
                <w:szCs w:val="12"/>
                <w:color w:val="auto"/>
              </w:rPr>
            </w:pPr>
          </w:p>
        </w:tc>
      </w:tr>
      <w:tr>
        <w:trPr>
          <w:trHeight w:val="162"/>
        </w:trPr>
        <w:tc>
          <w:tcPr>
            <w:tcW w:w="23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577,222</w:t>
            </w: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577,222</w:t>
            </w:r>
          </w:p>
        </w:tc>
      </w:tr>
      <w:tr>
        <w:trPr>
          <w:trHeight w:val="110"/>
        </w:trPr>
        <w:tc>
          <w:tcPr>
            <w:tcW w:w="2380" w:type="dxa"/>
            <w:vAlign w:val="bottom"/>
            <w:tcBorders>
              <w:top w:val="single" w:sz="8" w:color="EEEEEE"/>
            </w:tcBorders>
            <w:shd w:val="clear" w:color="auto" w:fill="EEEEEE"/>
          </w:tcPr>
          <w:p>
            <w:pPr>
              <w:spacing w:after="0" w:line="110" w:lineRule="exact"/>
              <w:rPr>
                <w:sz w:val="20"/>
                <w:szCs w:val="20"/>
                <w:color w:val="auto"/>
              </w:rPr>
            </w:pPr>
            <w:r>
              <w:rPr>
                <w:rFonts w:ascii="Arial" w:cs="Arial" w:eastAsia="Arial" w:hAnsi="Arial"/>
                <w:sz w:val="12"/>
                <w:szCs w:val="12"/>
                <w:color w:val="auto"/>
              </w:rPr>
              <w:t>Balance, December 31, 2019,</w:t>
            </w:r>
          </w:p>
        </w:tc>
        <w:tc>
          <w:tcPr>
            <w:tcW w:w="920" w:type="dxa"/>
            <w:vAlign w:val="bottom"/>
            <w:tcBorders>
              <w:top w:val="single" w:sz="8" w:color="auto"/>
            </w:tcBorders>
            <w:shd w:val="clear" w:color="auto" w:fill="EEEEEE"/>
          </w:tcPr>
          <w:p>
            <w:pPr>
              <w:spacing w:after="0"/>
              <w:rPr>
                <w:sz w:val="9"/>
                <w:szCs w:val="9"/>
                <w:color w:val="auto"/>
              </w:rPr>
            </w:pPr>
          </w:p>
        </w:tc>
        <w:tc>
          <w:tcPr>
            <w:tcW w:w="240" w:type="dxa"/>
            <w:vAlign w:val="bottom"/>
            <w:tcBorders>
              <w:top w:val="single" w:sz="8" w:color="EEEEEE"/>
            </w:tcBorders>
            <w:shd w:val="clear" w:color="auto" w:fill="EEEEEE"/>
          </w:tcPr>
          <w:p>
            <w:pPr>
              <w:spacing w:after="0"/>
              <w:rPr>
                <w:sz w:val="9"/>
                <w:szCs w:val="9"/>
                <w:color w:val="auto"/>
              </w:rPr>
            </w:pPr>
          </w:p>
        </w:tc>
        <w:tc>
          <w:tcPr>
            <w:tcW w:w="160" w:type="dxa"/>
            <w:vAlign w:val="bottom"/>
            <w:tcBorders>
              <w:top w:val="single" w:sz="8" w:color="auto"/>
            </w:tcBorders>
            <w:shd w:val="clear" w:color="auto" w:fill="EEEEEE"/>
          </w:tcPr>
          <w:p>
            <w:pPr>
              <w:spacing w:after="0"/>
              <w:rPr>
                <w:sz w:val="9"/>
                <w:szCs w:val="9"/>
                <w:color w:val="auto"/>
              </w:rPr>
            </w:pPr>
          </w:p>
        </w:tc>
        <w:tc>
          <w:tcPr>
            <w:tcW w:w="760" w:type="dxa"/>
            <w:vAlign w:val="bottom"/>
            <w:tcBorders>
              <w:top w:val="single" w:sz="8" w:color="auto"/>
            </w:tcBorders>
            <w:shd w:val="clear" w:color="auto" w:fill="EEEEEE"/>
          </w:tcPr>
          <w:p>
            <w:pPr>
              <w:spacing w:after="0"/>
              <w:rPr>
                <w:sz w:val="9"/>
                <w:szCs w:val="9"/>
                <w:color w:val="auto"/>
              </w:rPr>
            </w:pPr>
          </w:p>
        </w:tc>
        <w:tc>
          <w:tcPr>
            <w:tcW w:w="240" w:type="dxa"/>
            <w:vAlign w:val="bottom"/>
            <w:tcBorders>
              <w:top w:val="single" w:sz="8" w:color="EEEEEE"/>
            </w:tcBorders>
            <w:shd w:val="clear" w:color="auto" w:fill="EEEEEE"/>
          </w:tcPr>
          <w:p>
            <w:pPr>
              <w:spacing w:after="0"/>
              <w:rPr>
                <w:sz w:val="9"/>
                <w:szCs w:val="9"/>
                <w:color w:val="auto"/>
              </w:rPr>
            </w:pPr>
          </w:p>
        </w:tc>
        <w:tc>
          <w:tcPr>
            <w:tcW w:w="900" w:type="dxa"/>
            <w:vAlign w:val="bottom"/>
            <w:tcBorders>
              <w:top w:val="single" w:sz="8" w:color="auto"/>
            </w:tcBorders>
            <w:shd w:val="clear" w:color="auto" w:fill="EEEEEE"/>
          </w:tcPr>
          <w:p>
            <w:pPr>
              <w:spacing w:after="0"/>
              <w:rPr>
                <w:sz w:val="9"/>
                <w:szCs w:val="9"/>
                <w:color w:val="auto"/>
              </w:rPr>
            </w:pPr>
          </w:p>
        </w:tc>
        <w:tc>
          <w:tcPr>
            <w:tcW w:w="220" w:type="dxa"/>
            <w:vAlign w:val="bottom"/>
            <w:tcBorders>
              <w:top w:val="single" w:sz="8" w:color="EEEEEE"/>
            </w:tcBorders>
            <w:shd w:val="clear" w:color="auto" w:fill="EEEEEE"/>
          </w:tcPr>
          <w:p>
            <w:pPr>
              <w:spacing w:after="0"/>
              <w:rPr>
                <w:sz w:val="9"/>
                <w:szCs w:val="9"/>
                <w:color w:val="auto"/>
              </w:rPr>
            </w:pPr>
          </w:p>
        </w:tc>
        <w:tc>
          <w:tcPr>
            <w:tcW w:w="140" w:type="dxa"/>
            <w:vAlign w:val="bottom"/>
            <w:tcBorders>
              <w:top w:val="single" w:sz="8" w:color="auto"/>
            </w:tcBorders>
            <w:shd w:val="clear" w:color="auto" w:fill="EEEEEE"/>
          </w:tcPr>
          <w:p>
            <w:pPr>
              <w:spacing w:after="0"/>
              <w:rPr>
                <w:sz w:val="9"/>
                <w:szCs w:val="9"/>
                <w:color w:val="auto"/>
              </w:rPr>
            </w:pPr>
          </w:p>
        </w:tc>
        <w:tc>
          <w:tcPr>
            <w:tcW w:w="740" w:type="dxa"/>
            <w:vAlign w:val="bottom"/>
            <w:tcBorders>
              <w:top w:val="single" w:sz="8" w:color="auto"/>
            </w:tcBorders>
            <w:shd w:val="clear" w:color="auto" w:fill="EEEEEE"/>
          </w:tcPr>
          <w:p>
            <w:pPr>
              <w:spacing w:after="0"/>
              <w:rPr>
                <w:sz w:val="9"/>
                <w:szCs w:val="9"/>
                <w:color w:val="auto"/>
              </w:rPr>
            </w:pPr>
          </w:p>
        </w:tc>
        <w:tc>
          <w:tcPr>
            <w:tcW w:w="220" w:type="dxa"/>
            <w:vAlign w:val="bottom"/>
            <w:tcBorders>
              <w:top w:val="single" w:sz="8" w:color="EEEEEE"/>
            </w:tcBorders>
            <w:shd w:val="clear" w:color="auto" w:fill="EEEEEE"/>
          </w:tcPr>
          <w:p>
            <w:pPr>
              <w:spacing w:after="0"/>
              <w:rPr>
                <w:sz w:val="9"/>
                <w:szCs w:val="9"/>
                <w:color w:val="auto"/>
              </w:rPr>
            </w:pPr>
          </w:p>
        </w:tc>
        <w:tc>
          <w:tcPr>
            <w:tcW w:w="80" w:type="dxa"/>
            <w:vAlign w:val="bottom"/>
            <w:tcBorders>
              <w:top w:val="single" w:sz="8" w:color="auto"/>
            </w:tcBorders>
            <w:shd w:val="clear" w:color="auto" w:fill="EEEEEE"/>
          </w:tcPr>
          <w:p>
            <w:pPr>
              <w:spacing w:after="0"/>
              <w:rPr>
                <w:sz w:val="9"/>
                <w:szCs w:val="9"/>
                <w:color w:val="auto"/>
              </w:rPr>
            </w:pPr>
          </w:p>
        </w:tc>
        <w:tc>
          <w:tcPr>
            <w:tcW w:w="820" w:type="dxa"/>
            <w:vAlign w:val="bottom"/>
            <w:tcBorders>
              <w:top w:val="single" w:sz="8" w:color="auto"/>
            </w:tcBorders>
            <w:shd w:val="clear" w:color="auto" w:fill="EEEEEE"/>
          </w:tcPr>
          <w:p>
            <w:pPr>
              <w:spacing w:after="0"/>
              <w:rPr>
                <w:sz w:val="9"/>
                <w:szCs w:val="9"/>
                <w:color w:val="auto"/>
              </w:rPr>
            </w:pPr>
          </w:p>
        </w:tc>
        <w:tc>
          <w:tcPr>
            <w:tcW w:w="200" w:type="dxa"/>
            <w:vAlign w:val="bottom"/>
            <w:tcBorders>
              <w:top w:val="single" w:sz="8" w:color="EEEEEE"/>
            </w:tcBorders>
            <w:shd w:val="clear" w:color="auto" w:fill="EEEEEE"/>
          </w:tcPr>
          <w:p>
            <w:pPr>
              <w:spacing w:after="0"/>
              <w:rPr>
                <w:sz w:val="9"/>
                <w:szCs w:val="9"/>
                <w:color w:val="auto"/>
              </w:rPr>
            </w:pPr>
          </w:p>
        </w:tc>
        <w:tc>
          <w:tcPr>
            <w:tcW w:w="120" w:type="dxa"/>
            <w:vAlign w:val="bottom"/>
            <w:tcBorders>
              <w:top w:val="single" w:sz="8" w:color="auto"/>
            </w:tcBorders>
            <w:shd w:val="clear" w:color="auto" w:fill="EEEEEE"/>
          </w:tcPr>
          <w:p>
            <w:pPr>
              <w:spacing w:after="0"/>
              <w:rPr>
                <w:sz w:val="9"/>
                <w:szCs w:val="9"/>
                <w:color w:val="auto"/>
              </w:rPr>
            </w:pPr>
          </w:p>
        </w:tc>
        <w:tc>
          <w:tcPr>
            <w:tcW w:w="780" w:type="dxa"/>
            <w:vAlign w:val="bottom"/>
            <w:tcBorders>
              <w:top w:val="single" w:sz="8" w:color="auto"/>
            </w:tcBorders>
            <w:shd w:val="clear" w:color="auto" w:fill="EEEEEE"/>
          </w:tcPr>
          <w:p>
            <w:pPr>
              <w:spacing w:after="0"/>
              <w:rPr>
                <w:sz w:val="9"/>
                <w:szCs w:val="9"/>
                <w:color w:val="auto"/>
              </w:rPr>
            </w:pPr>
          </w:p>
        </w:tc>
        <w:tc>
          <w:tcPr>
            <w:tcW w:w="220" w:type="dxa"/>
            <w:vAlign w:val="bottom"/>
            <w:tcBorders>
              <w:top w:val="single" w:sz="8" w:color="EEEEEE"/>
            </w:tcBorders>
            <w:shd w:val="clear" w:color="auto" w:fill="EEEEEE"/>
          </w:tcPr>
          <w:p>
            <w:pPr>
              <w:spacing w:after="0"/>
              <w:rPr>
                <w:sz w:val="9"/>
                <w:szCs w:val="9"/>
                <w:color w:val="auto"/>
              </w:rPr>
            </w:pPr>
          </w:p>
        </w:tc>
        <w:tc>
          <w:tcPr>
            <w:tcW w:w="120" w:type="dxa"/>
            <w:vAlign w:val="bottom"/>
            <w:tcBorders>
              <w:top w:val="single" w:sz="8" w:color="auto"/>
            </w:tcBorders>
            <w:shd w:val="clear" w:color="auto" w:fill="EEEEEE"/>
          </w:tcPr>
          <w:p>
            <w:pPr>
              <w:spacing w:after="0"/>
              <w:rPr>
                <w:sz w:val="9"/>
                <w:szCs w:val="9"/>
                <w:color w:val="auto"/>
              </w:rPr>
            </w:pPr>
          </w:p>
        </w:tc>
        <w:tc>
          <w:tcPr>
            <w:tcW w:w="760" w:type="dxa"/>
            <w:vAlign w:val="bottom"/>
            <w:tcBorders>
              <w:top w:val="single" w:sz="8" w:color="auto"/>
            </w:tcBorders>
            <w:shd w:val="clear" w:color="auto" w:fill="EEEEEE"/>
          </w:tcPr>
          <w:p>
            <w:pPr>
              <w:spacing w:after="0"/>
              <w:rPr>
                <w:sz w:val="9"/>
                <w:szCs w:val="9"/>
                <w:color w:val="auto"/>
              </w:rPr>
            </w:pPr>
          </w:p>
        </w:tc>
        <w:tc>
          <w:tcPr>
            <w:tcW w:w="220" w:type="dxa"/>
            <w:vAlign w:val="bottom"/>
            <w:tcBorders>
              <w:top w:val="single" w:sz="8" w:color="EEEEEE"/>
            </w:tcBorders>
            <w:shd w:val="clear" w:color="auto" w:fill="EEEEEE"/>
          </w:tcPr>
          <w:p>
            <w:pPr>
              <w:spacing w:after="0"/>
              <w:rPr>
                <w:sz w:val="9"/>
                <w:szCs w:val="9"/>
                <w:color w:val="auto"/>
              </w:rPr>
            </w:pPr>
          </w:p>
        </w:tc>
        <w:tc>
          <w:tcPr>
            <w:tcW w:w="180" w:type="dxa"/>
            <w:vAlign w:val="bottom"/>
            <w:tcBorders>
              <w:top w:val="single" w:sz="8" w:color="auto"/>
            </w:tcBorders>
            <w:shd w:val="clear" w:color="auto" w:fill="EEEEEE"/>
          </w:tcPr>
          <w:p>
            <w:pPr>
              <w:spacing w:after="0"/>
              <w:rPr>
                <w:sz w:val="9"/>
                <w:szCs w:val="9"/>
                <w:color w:val="auto"/>
              </w:rPr>
            </w:pPr>
          </w:p>
        </w:tc>
        <w:tc>
          <w:tcPr>
            <w:tcW w:w="720" w:type="dxa"/>
            <w:vAlign w:val="bottom"/>
            <w:tcBorders>
              <w:top w:val="single" w:sz="8" w:color="auto"/>
            </w:tcBorders>
            <w:shd w:val="clear" w:color="auto" w:fill="EEEEEE"/>
          </w:tcPr>
          <w:p>
            <w:pPr>
              <w:spacing w:after="0"/>
              <w:rPr>
                <w:sz w:val="9"/>
                <w:szCs w:val="9"/>
                <w:color w:val="auto"/>
              </w:rPr>
            </w:pPr>
          </w:p>
        </w:tc>
        <w:tc>
          <w:tcPr>
            <w:tcW w:w="20" w:type="dxa"/>
            <w:vAlign w:val="bottom"/>
            <w:tcBorders>
              <w:top w:val="single" w:sz="8" w:color="EEEEEE"/>
            </w:tcBorders>
            <w:shd w:val="clear" w:color="auto" w:fill="EEEEEE"/>
          </w:tcPr>
          <w:p>
            <w:pPr>
              <w:spacing w:after="0"/>
              <w:rPr>
                <w:sz w:val="9"/>
                <w:szCs w:val="9"/>
                <w:color w:val="auto"/>
              </w:rPr>
            </w:pPr>
          </w:p>
        </w:tc>
        <w:tc>
          <w:tcPr>
            <w:tcW w:w="80" w:type="dxa"/>
            <w:vAlign w:val="bottom"/>
            <w:tcBorders>
              <w:top w:val="single" w:sz="8" w:color="EEEEEE"/>
            </w:tcBorders>
            <w:shd w:val="clear" w:color="auto" w:fill="EEEEEE"/>
          </w:tcPr>
          <w:p>
            <w:pPr>
              <w:spacing w:after="0"/>
              <w:rPr>
                <w:sz w:val="9"/>
                <w:szCs w:val="9"/>
                <w:color w:val="auto"/>
              </w:rPr>
            </w:pPr>
          </w:p>
        </w:tc>
      </w:tr>
      <w:tr>
        <w:trPr>
          <w:trHeight w:val="167"/>
        </w:trPr>
        <w:tc>
          <w:tcPr>
            <w:tcW w:w="2380" w:type="dxa"/>
            <w:vAlign w:val="bottom"/>
            <w:shd w:val="clear" w:color="auto" w:fill="EEEEEE"/>
          </w:tcPr>
          <w:p>
            <w:pPr>
              <w:ind w:left="100"/>
              <w:spacing w:after="0"/>
              <w:rPr>
                <w:sz w:val="20"/>
                <w:szCs w:val="20"/>
                <w:color w:val="auto"/>
              </w:rPr>
            </w:pPr>
            <w:r>
              <w:rPr>
                <w:rFonts w:ascii="Arial" w:cs="Arial" w:eastAsia="Arial" w:hAnsi="Arial"/>
                <w:sz w:val="14"/>
                <w:szCs w:val="14"/>
                <w:color w:val="auto"/>
              </w:rPr>
              <w:t>unaudited</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20,000,000</w:t>
            </w:r>
          </w:p>
        </w:tc>
        <w:tc>
          <w:tcPr>
            <w:tcW w:w="1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20,000</w:t>
            </w:r>
          </w:p>
        </w:tc>
        <w:tc>
          <w:tcPr>
            <w:tcW w:w="1120" w:type="dxa"/>
            <w:vAlign w:val="bottom"/>
            <w:gridSpan w:val="2"/>
            <w:shd w:val="clear" w:color="auto" w:fill="EEEEEE"/>
          </w:tcPr>
          <w:p>
            <w:pPr>
              <w:ind w:left="240"/>
              <w:spacing w:after="0"/>
              <w:rPr>
                <w:sz w:val="20"/>
                <w:szCs w:val="20"/>
                <w:color w:val="auto"/>
              </w:rPr>
            </w:pPr>
            <w:r>
              <w:rPr>
                <w:rFonts w:ascii="Arial" w:cs="Arial" w:eastAsia="Arial" w:hAnsi="Arial"/>
                <w:sz w:val="14"/>
                <w:szCs w:val="14"/>
                <w:color w:val="auto"/>
              </w:rPr>
              <w:t>14,000,000</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14,000</w:t>
            </w:r>
          </w:p>
        </w:tc>
        <w:tc>
          <w:tcPr>
            <w:tcW w:w="8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EEEEE"/>
          </w:tcPr>
          <w:p>
            <w:pPr>
              <w:jc w:val="right"/>
              <w:ind w:right="119"/>
              <w:spacing w:after="0"/>
              <w:rPr>
                <w:sz w:val="20"/>
                <w:szCs w:val="20"/>
                <w:color w:val="auto"/>
              </w:rPr>
            </w:pPr>
            <w:r>
              <w:rPr>
                <w:rFonts w:ascii="Arial" w:cs="Arial" w:eastAsia="Arial" w:hAnsi="Arial"/>
                <w:sz w:val="14"/>
                <w:szCs w:val="14"/>
                <w:color w:val="auto"/>
              </w:rPr>
              <w:t>(14,000)</w:t>
            </w:r>
          </w:p>
        </w:tc>
        <w:tc>
          <w:tcPr>
            <w:tcW w:w="12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(37,316)</w:t>
            </w:r>
          </w:p>
        </w:tc>
        <w:tc>
          <w:tcPr>
            <w:tcW w:w="120" w:type="dxa"/>
            <w:vAlign w:val="bottom"/>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1,111,082</w:t>
            </w:r>
          </w:p>
        </w:tc>
        <w:tc>
          <w:tcPr>
            <w:tcW w:w="180" w:type="dxa"/>
            <w:vAlign w:val="bottom"/>
            <w:shd w:val="clear" w:color="auto" w:fill="EEEEEE"/>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1,093,766</w:t>
            </w:r>
          </w:p>
        </w:tc>
        <w:tc>
          <w:tcPr>
            <w:tcW w:w="80" w:type="dxa"/>
            <w:vAlign w:val="bottom"/>
            <w:shd w:val="clear" w:color="auto" w:fill="EEEEEE"/>
          </w:tcPr>
          <w:p>
            <w:pPr>
              <w:spacing w:after="0"/>
              <w:rPr>
                <w:sz w:val="14"/>
                <w:szCs w:val="14"/>
                <w:color w:val="auto"/>
              </w:rPr>
            </w:pPr>
          </w:p>
        </w:tc>
      </w:tr>
      <w:tr>
        <w:trPr>
          <w:trHeight w:val="149"/>
        </w:trPr>
        <w:tc>
          <w:tcPr>
            <w:tcW w:w="2380" w:type="dxa"/>
            <w:vAlign w:val="bottom"/>
          </w:tcPr>
          <w:p>
            <w:pPr>
              <w:ind w:left="180"/>
              <w:spacing w:after="0" w:line="149" w:lineRule="exact"/>
              <w:rPr>
                <w:sz w:val="20"/>
                <w:szCs w:val="20"/>
                <w:color w:val="auto"/>
              </w:rPr>
            </w:pPr>
            <w:r>
              <w:rPr>
                <w:rFonts w:ascii="Arial" w:cs="Arial" w:eastAsia="Arial" w:hAnsi="Arial"/>
                <w:sz w:val="14"/>
                <w:szCs w:val="14"/>
                <w:color w:val="auto"/>
              </w:rPr>
              <w:t>Shares issued for cash</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204,496</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204</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426,806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427,010</w:t>
            </w:r>
          </w:p>
        </w:tc>
      </w:tr>
      <w:tr>
        <w:trPr>
          <w:trHeight w:val="148"/>
        </w:trPr>
        <w:tc>
          <w:tcPr>
            <w:tcW w:w="238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220,724</w:t>
            </w:r>
          </w:p>
        </w:tc>
        <w:tc>
          <w:tcPr>
            <w:tcW w:w="180" w:type="dxa"/>
            <w:vAlign w:val="bottom"/>
            <w:shd w:val="clear" w:color="auto" w:fill="EEEEEE"/>
          </w:tcPr>
          <w:p>
            <w:pPr>
              <w:spacing w:after="0"/>
              <w:rPr>
                <w:sz w:val="12"/>
                <w:szCs w:val="12"/>
                <w:color w:val="auto"/>
              </w:rPr>
            </w:pPr>
          </w:p>
        </w:tc>
        <w:tc>
          <w:tcPr>
            <w:tcW w:w="820" w:type="dxa"/>
            <w:vAlign w:val="bottom"/>
            <w:gridSpan w:val="3"/>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220,724</w:t>
            </w:r>
          </w:p>
        </w:tc>
      </w:tr>
      <w:tr>
        <w:trPr>
          <w:trHeight w:val="162"/>
        </w:trPr>
        <w:tc>
          <w:tcPr>
            <w:tcW w:w="2380" w:type="dxa"/>
            <w:vAlign w:val="bottom"/>
            <w:tcBorders>
              <w:bottom w:val="single" w:sz="8" w:color="EEEEEE"/>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EEEEEE"/>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EEEEEE"/>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EEEEEE"/>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EEEEEE"/>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EEEEEE"/>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EEEEEE"/>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EEEEEE"/>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EEEEEE"/>
            </w:tcBorders>
          </w:tcPr>
          <w:p>
            <w:pPr>
              <w:spacing w:after="0"/>
              <w:rPr>
                <w:sz w:val="14"/>
                <w:szCs w:val="14"/>
                <w:color w:val="auto"/>
              </w:rPr>
            </w:pPr>
          </w:p>
        </w:tc>
        <w:tc>
          <w:tcPr>
            <w:tcW w:w="80" w:type="dxa"/>
            <w:vAlign w:val="bottom"/>
            <w:tcBorders>
              <w:bottom w:val="single" w:sz="8" w:color="EEEEEE"/>
            </w:tcBorders>
          </w:tcPr>
          <w:p>
            <w:pPr>
              <w:spacing w:after="0"/>
              <w:rPr>
                <w:sz w:val="14"/>
                <w:szCs w:val="14"/>
                <w:color w:val="auto"/>
              </w:rPr>
            </w:pPr>
          </w:p>
        </w:tc>
      </w:tr>
      <w:tr>
        <w:trPr>
          <w:trHeight w:val="156"/>
        </w:trPr>
        <w:tc>
          <w:tcPr>
            <w:tcW w:w="2380" w:type="dxa"/>
            <w:vAlign w:val="bottom"/>
            <w:tcBorders>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Balance, March 31, 2020, unaudited</w:t>
            </w:r>
          </w:p>
        </w:tc>
        <w:tc>
          <w:tcPr>
            <w:tcW w:w="92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20,204,496</w:t>
            </w:r>
          </w:p>
        </w:tc>
        <w:tc>
          <w:tcPr>
            <w:tcW w:w="240" w:type="dxa"/>
            <w:vAlign w:val="bottom"/>
            <w:tcBorders>
              <w:bottom w:val="single" w:sz="8" w:color="EEEEEE"/>
            </w:tcBorders>
            <w:shd w:val="clear" w:color="auto" w:fill="EEEEEE"/>
          </w:tcPr>
          <w:p>
            <w:pPr>
              <w:spacing w:after="0"/>
              <w:rPr>
                <w:sz w:val="13"/>
                <w:szCs w:val="13"/>
                <w:color w:val="auto"/>
              </w:rPr>
            </w:pPr>
          </w:p>
        </w:tc>
        <w:tc>
          <w:tcPr>
            <w:tcW w:w="160" w:type="dxa"/>
            <w:vAlign w:val="bottom"/>
            <w:tcBorders>
              <w:bottom w:val="single" w:sz="8" w:color="auto"/>
            </w:tcBorders>
            <w:shd w:val="clear" w:color="auto" w:fill="EEEE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20,204</w:t>
            </w:r>
          </w:p>
        </w:tc>
        <w:tc>
          <w:tcPr>
            <w:tcW w:w="240" w:type="dxa"/>
            <w:vAlign w:val="bottom"/>
            <w:tcBorders>
              <w:bottom w:val="single" w:sz="8" w:color="EEEEEE"/>
            </w:tcBorders>
            <w:shd w:val="clear" w:color="auto" w:fill="EEEEEE"/>
          </w:tcPr>
          <w:p>
            <w:pPr>
              <w:spacing w:after="0"/>
              <w:rPr>
                <w:sz w:val="13"/>
                <w:szCs w:val="13"/>
                <w:color w:val="auto"/>
              </w:rPr>
            </w:pPr>
          </w:p>
        </w:tc>
        <w:tc>
          <w:tcPr>
            <w:tcW w:w="900" w:type="dxa"/>
            <w:vAlign w:val="bottom"/>
            <w:tcBorders>
              <w:bottom w:val="single" w:sz="8" w:color="auto"/>
            </w:tcBorders>
            <w:shd w:val="clear" w:color="auto" w:fill="EEEEEE"/>
          </w:tcPr>
          <w:p>
            <w:pPr>
              <w:ind w:left="240"/>
              <w:spacing w:after="0" w:line="155" w:lineRule="exact"/>
              <w:rPr>
                <w:sz w:val="20"/>
                <w:szCs w:val="20"/>
                <w:color w:val="auto"/>
              </w:rPr>
            </w:pPr>
            <w:r>
              <w:rPr>
                <w:rFonts w:ascii="Arial" w:cs="Arial" w:eastAsia="Arial" w:hAnsi="Arial"/>
                <w:sz w:val="14"/>
                <w:szCs w:val="14"/>
                <w:color w:val="auto"/>
                <w:w w:val="91"/>
              </w:rPr>
              <w:t>14,000,000</w:t>
            </w:r>
          </w:p>
        </w:tc>
        <w:tc>
          <w:tcPr>
            <w:tcW w:w="220" w:type="dxa"/>
            <w:vAlign w:val="bottom"/>
            <w:tcBorders>
              <w:bottom w:val="single" w:sz="8" w:color="EEEEEE"/>
            </w:tcBorders>
            <w:shd w:val="clear" w:color="auto" w:fill="EEEEEE"/>
          </w:tcPr>
          <w:p>
            <w:pPr>
              <w:spacing w:after="0"/>
              <w:rPr>
                <w:sz w:val="13"/>
                <w:szCs w:val="13"/>
                <w:color w:val="auto"/>
              </w:rPr>
            </w:pPr>
          </w:p>
        </w:tc>
        <w:tc>
          <w:tcPr>
            <w:tcW w:w="140" w:type="dxa"/>
            <w:vAlign w:val="bottom"/>
            <w:tcBorders>
              <w:bottom w:val="single" w:sz="8" w:color="auto"/>
            </w:tcBorders>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14,000</w:t>
            </w:r>
          </w:p>
        </w:tc>
        <w:tc>
          <w:tcPr>
            <w:tcW w:w="220" w:type="dxa"/>
            <w:vAlign w:val="bottom"/>
            <w:tcBorders>
              <w:bottom w:val="single" w:sz="8" w:color="EEEEEE"/>
            </w:tcBorders>
            <w:shd w:val="clear" w:color="auto" w:fill="EEEEEE"/>
          </w:tcPr>
          <w:p>
            <w:pPr>
              <w:spacing w:after="0"/>
              <w:rPr>
                <w:sz w:val="13"/>
                <w:szCs w:val="13"/>
                <w:color w:val="auto"/>
              </w:rPr>
            </w:pPr>
          </w:p>
        </w:tc>
        <w:tc>
          <w:tcPr>
            <w:tcW w:w="8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(14,000</w:t>
            </w:r>
          </w:p>
        </w:tc>
        <w:tc>
          <w:tcPr>
            <w:tcW w:w="200" w:type="dxa"/>
            <w:vAlign w:val="bottom"/>
            <w:tcBorders>
              <w:bottom w:val="single" w:sz="8" w:color="EEEEEE"/>
            </w:tcBorders>
            <w:shd w:val="clear" w:color="auto" w:fill="EEEEEE"/>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389,490</w:t>
            </w:r>
          </w:p>
        </w:tc>
        <w:tc>
          <w:tcPr>
            <w:tcW w:w="220" w:type="dxa"/>
            <w:vAlign w:val="bottom"/>
            <w:tcBorders>
              <w:bottom w:val="single" w:sz="8" w:color="EEEEEE"/>
            </w:tcBorders>
            <w:shd w:val="clear" w:color="auto" w:fill="EEEEEE"/>
          </w:tcPr>
          <w:p>
            <w:pPr>
              <w:spacing w:after="0"/>
              <w:rPr>
                <w:sz w:val="13"/>
                <w:szCs w:val="13"/>
                <w:color w:val="auto"/>
              </w:rPr>
            </w:pPr>
          </w:p>
        </w:tc>
        <w:tc>
          <w:tcPr>
            <w:tcW w:w="120" w:type="dxa"/>
            <w:vAlign w:val="bottom"/>
            <w:tcBorders>
              <w:bottom w:val="single" w:sz="8" w:color="auto"/>
            </w:tcBorders>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1,331,806</w:t>
            </w:r>
          </w:p>
        </w:tc>
        <w:tc>
          <w:tcPr>
            <w:tcW w:w="220" w:type="dxa"/>
            <w:vAlign w:val="bottom"/>
            <w:tcBorders>
              <w:bottom w:val="single" w:sz="8" w:color="EEEEEE"/>
            </w:tcBorders>
            <w:shd w:val="clear" w:color="auto" w:fill="EEEEEE"/>
          </w:tcPr>
          <w:p>
            <w:pPr>
              <w:spacing w:after="0"/>
              <w:rPr>
                <w:sz w:val="13"/>
                <w:szCs w:val="13"/>
                <w:color w:val="auto"/>
              </w:rPr>
            </w:pPr>
          </w:p>
        </w:tc>
        <w:tc>
          <w:tcPr>
            <w:tcW w:w="180" w:type="dxa"/>
            <w:vAlign w:val="bottom"/>
            <w:tcBorders>
              <w:bottom w:val="single" w:sz="8" w:color="auto"/>
            </w:tcBorders>
            <w:shd w:val="clear" w:color="auto" w:fill="EEEEEE"/>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1,741,500</w:t>
            </w:r>
          </w:p>
        </w:tc>
        <w:tc>
          <w:tcPr>
            <w:tcW w:w="20" w:type="dxa"/>
            <w:vAlign w:val="bottom"/>
            <w:tcBorders>
              <w:bottom w:val="single" w:sz="8" w:color="EEEEEE"/>
            </w:tcBorders>
            <w:shd w:val="clear" w:color="auto" w:fill="EEEEEE"/>
          </w:tcPr>
          <w:p>
            <w:pPr>
              <w:spacing w:after="0"/>
              <w:rPr>
                <w:sz w:val="13"/>
                <w:szCs w:val="13"/>
                <w:color w:val="auto"/>
              </w:rPr>
            </w:pPr>
          </w:p>
        </w:tc>
        <w:tc>
          <w:tcPr>
            <w:tcW w:w="80" w:type="dxa"/>
            <w:vAlign w:val="bottom"/>
            <w:tcBorders>
              <w:bottom w:val="single" w:sz="8" w:color="EEEEEE"/>
            </w:tcBorders>
            <w:shd w:val="clear" w:color="auto" w:fill="EEEEEE"/>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23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Balance, June 30, 2020</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20,204,496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20,204</w:t>
            </w:r>
          </w:p>
        </w:tc>
        <w:tc>
          <w:tcPr>
            <w:tcW w:w="11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14,000,000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(14,000)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389,490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2,520,822</w:t>
            </w:r>
          </w:p>
        </w:tc>
        <w:tc>
          <w:tcPr>
            <w:tcW w:w="1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2,930,516</w:t>
            </w:r>
          </w:p>
        </w:tc>
        <w:tc>
          <w:tcPr>
            <w:tcW w:w="80" w:type="dxa"/>
            <w:vAlign w:val="bottom"/>
          </w:tcPr>
          <w:p>
            <w:pPr>
              <w:spacing w:after="0"/>
              <w:rPr>
                <w:sz w:val="12"/>
                <w:szCs w:val="12"/>
                <w:color w:val="auto"/>
              </w:rPr>
            </w:pPr>
          </w:p>
        </w:tc>
      </w:tr>
      <w:tr>
        <w:trPr>
          <w:trHeight w:val="148"/>
        </w:trPr>
        <w:tc>
          <w:tcPr>
            <w:tcW w:w="238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1,337,472</w:t>
            </w:r>
          </w:p>
        </w:tc>
        <w:tc>
          <w:tcPr>
            <w:tcW w:w="1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1,337,472</w:t>
            </w:r>
          </w:p>
        </w:tc>
        <w:tc>
          <w:tcPr>
            <w:tcW w:w="80" w:type="dxa"/>
            <w:vAlign w:val="bottom"/>
            <w:shd w:val="clear" w:color="auto" w:fill="EEEEEE"/>
          </w:tcPr>
          <w:p>
            <w:pPr>
              <w:spacing w:after="0"/>
              <w:rPr>
                <w:sz w:val="12"/>
                <w:szCs w:val="12"/>
                <w:color w:val="auto"/>
              </w:rPr>
            </w:pPr>
          </w:p>
        </w:tc>
      </w:tr>
      <w:tr>
        <w:trPr>
          <w:trHeight w:val="130"/>
        </w:trPr>
        <w:tc>
          <w:tcPr>
            <w:tcW w:w="2380" w:type="dxa"/>
            <w:vAlign w:val="bottom"/>
          </w:tcPr>
          <w:p>
            <w:pPr>
              <w:ind w:left="180"/>
              <w:spacing w:after="0" w:line="130" w:lineRule="exact"/>
              <w:rPr>
                <w:sz w:val="20"/>
                <w:szCs w:val="20"/>
                <w:color w:val="auto"/>
              </w:rPr>
            </w:pPr>
            <w:r>
              <w:rPr>
                <w:rFonts w:ascii="Arial" w:cs="Arial" w:eastAsia="Arial" w:hAnsi="Arial"/>
                <w:sz w:val="14"/>
                <w:szCs w:val="14"/>
                <w:color w:val="auto"/>
                <w:w w:val="99"/>
              </w:rPr>
              <w:t>Cash received for Class B common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380" w:type="dxa"/>
            <w:vAlign w:val="bottom"/>
          </w:tcPr>
          <w:p>
            <w:pPr>
              <w:ind w:left="180"/>
              <w:spacing w:after="0"/>
              <w:rPr>
                <w:sz w:val="20"/>
                <w:szCs w:val="20"/>
                <w:color w:val="auto"/>
              </w:rPr>
            </w:pPr>
            <w:r>
              <w:rPr>
                <w:rFonts w:ascii="Arial" w:cs="Arial" w:eastAsia="Arial" w:hAnsi="Arial"/>
                <w:sz w:val="14"/>
                <w:szCs w:val="14"/>
                <w:color w:val="auto"/>
              </w:rPr>
              <w:t>stock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4"/>
                <w:szCs w:val="14"/>
                <w:color w:val="auto"/>
              </w:rPr>
              <w:t>14,000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14,000</w:t>
            </w:r>
          </w:p>
        </w:tc>
      </w:tr>
      <w:tr>
        <w:trPr>
          <w:trHeight w:val="110"/>
        </w:trPr>
        <w:tc>
          <w:tcPr>
            <w:tcW w:w="2380" w:type="dxa"/>
            <w:vAlign w:val="bottom"/>
            <w:tcBorders>
              <w:top w:val="single" w:sz="8" w:color="EEEEEE"/>
            </w:tcBorders>
            <w:shd w:val="clear" w:color="auto" w:fill="EEEEEE"/>
          </w:tcPr>
          <w:p>
            <w:pPr>
              <w:spacing w:after="0" w:line="110" w:lineRule="exact"/>
              <w:rPr>
                <w:sz w:val="20"/>
                <w:szCs w:val="20"/>
                <w:color w:val="auto"/>
              </w:rPr>
            </w:pPr>
            <w:r>
              <w:rPr>
                <w:rFonts w:ascii="Arial" w:cs="Arial" w:eastAsia="Arial" w:hAnsi="Arial"/>
                <w:sz w:val="12"/>
                <w:szCs w:val="12"/>
                <w:color w:val="auto"/>
              </w:rPr>
              <w:t>Balance, December 31, 2020,</w:t>
            </w:r>
          </w:p>
        </w:tc>
        <w:tc>
          <w:tcPr>
            <w:tcW w:w="920" w:type="dxa"/>
            <w:vAlign w:val="bottom"/>
            <w:tcBorders>
              <w:top w:val="single" w:sz="8" w:color="auto"/>
            </w:tcBorders>
            <w:shd w:val="clear" w:color="auto" w:fill="EEEEEE"/>
          </w:tcPr>
          <w:p>
            <w:pPr>
              <w:spacing w:after="0"/>
              <w:rPr>
                <w:sz w:val="9"/>
                <w:szCs w:val="9"/>
                <w:color w:val="auto"/>
              </w:rPr>
            </w:pPr>
          </w:p>
        </w:tc>
        <w:tc>
          <w:tcPr>
            <w:tcW w:w="240" w:type="dxa"/>
            <w:vAlign w:val="bottom"/>
            <w:tcBorders>
              <w:top w:val="single" w:sz="8" w:color="EEEEEE"/>
            </w:tcBorders>
            <w:shd w:val="clear" w:color="auto" w:fill="EEEEEE"/>
          </w:tcPr>
          <w:p>
            <w:pPr>
              <w:spacing w:after="0"/>
              <w:rPr>
                <w:sz w:val="9"/>
                <w:szCs w:val="9"/>
                <w:color w:val="auto"/>
              </w:rPr>
            </w:pPr>
          </w:p>
        </w:tc>
        <w:tc>
          <w:tcPr>
            <w:tcW w:w="160" w:type="dxa"/>
            <w:vAlign w:val="bottom"/>
            <w:tcBorders>
              <w:top w:val="single" w:sz="8" w:color="auto"/>
            </w:tcBorders>
            <w:shd w:val="clear" w:color="auto" w:fill="EEEEEE"/>
          </w:tcPr>
          <w:p>
            <w:pPr>
              <w:spacing w:after="0"/>
              <w:rPr>
                <w:sz w:val="9"/>
                <w:szCs w:val="9"/>
                <w:color w:val="auto"/>
              </w:rPr>
            </w:pPr>
          </w:p>
        </w:tc>
        <w:tc>
          <w:tcPr>
            <w:tcW w:w="760" w:type="dxa"/>
            <w:vAlign w:val="bottom"/>
            <w:tcBorders>
              <w:top w:val="single" w:sz="8" w:color="auto"/>
            </w:tcBorders>
            <w:shd w:val="clear" w:color="auto" w:fill="EEEEEE"/>
          </w:tcPr>
          <w:p>
            <w:pPr>
              <w:spacing w:after="0"/>
              <w:rPr>
                <w:sz w:val="9"/>
                <w:szCs w:val="9"/>
                <w:color w:val="auto"/>
              </w:rPr>
            </w:pPr>
          </w:p>
        </w:tc>
        <w:tc>
          <w:tcPr>
            <w:tcW w:w="240" w:type="dxa"/>
            <w:vAlign w:val="bottom"/>
            <w:tcBorders>
              <w:top w:val="single" w:sz="8" w:color="EEEEEE"/>
            </w:tcBorders>
            <w:shd w:val="clear" w:color="auto" w:fill="EEEEEE"/>
          </w:tcPr>
          <w:p>
            <w:pPr>
              <w:spacing w:after="0"/>
              <w:rPr>
                <w:sz w:val="9"/>
                <w:szCs w:val="9"/>
                <w:color w:val="auto"/>
              </w:rPr>
            </w:pPr>
          </w:p>
        </w:tc>
        <w:tc>
          <w:tcPr>
            <w:tcW w:w="900" w:type="dxa"/>
            <w:vAlign w:val="bottom"/>
            <w:tcBorders>
              <w:top w:val="single" w:sz="8" w:color="auto"/>
            </w:tcBorders>
            <w:shd w:val="clear" w:color="auto" w:fill="EEEEEE"/>
          </w:tcPr>
          <w:p>
            <w:pPr>
              <w:spacing w:after="0"/>
              <w:rPr>
                <w:sz w:val="9"/>
                <w:szCs w:val="9"/>
                <w:color w:val="auto"/>
              </w:rPr>
            </w:pPr>
          </w:p>
        </w:tc>
        <w:tc>
          <w:tcPr>
            <w:tcW w:w="220" w:type="dxa"/>
            <w:vAlign w:val="bottom"/>
            <w:tcBorders>
              <w:top w:val="single" w:sz="8" w:color="EEEEEE"/>
            </w:tcBorders>
            <w:shd w:val="clear" w:color="auto" w:fill="EEEEEE"/>
          </w:tcPr>
          <w:p>
            <w:pPr>
              <w:spacing w:after="0"/>
              <w:rPr>
                <w:sz w:val="9"/>
                <w:szCs w:val="9"/>
                <w:color w:val="auto"/>
              </w:rPr>
            </w:pPr>
          </w:p>
        </w:tc>
        <w:tc>
          <w:tcPr>
            <w:tcW w:w="140" w:type="dxa"/>
            <w:vAlign w:val="bottom"/>
            <w:tcBorders>
              <w:top w:val="single" w:sz="8" w:color="auto"/>
            </w:tcBorders>
            <w:shd w:val="clear" w:color="auto" w:fill="EEEEEE"/>
          </w:tcPr>
          <w:p>
            <w:pPr>
              <w:spacing w:after="0"/>
              <w:rPr>
                <w:sz w:val="9"/>
                <w:szCs w:val="9"/>
                <w:color w:val="auto"/>
              </w:rPr>
            </w:pPr>
          </w:p>
        </w:tc>
        <w:tc>
          <w:tcPr>
            <w:tcW w:w="740" w:type="dxa"/>
            <w:vAlign w:val="bottom"/>
            <w:tcBorders>
              <w:top w:val="single" w:sz="8" w:color="auto"/>
            </w:tcBorders>
            <w:shd w:val="clear" w:color="auto" w:fill="EEEEEE"/>
          </w:tcPr>
          <w:p>
            <w:pPr>
              <w:spacing w:after="0"/>
              <w:rPr>
                <w:sz w:val="9"/>
                <w:szCs w:val="9"/>
                <w:color w:val="auto"/>
              </w:rPr>
            </w:pPr>
          </w:p>
        </w:tc>
        <w:tc>
          <w:tcPr>
            <w:tcW w:w="220" w:type="dxa"/>
            <w:vAlign w:val="bottom"/>
            <w:tcBorders>
              <w:top w:val="single" w:sz="8" w:color="EEEEEE"/>
            </w:tcBorders>
            <w:shd w:val="clear" w:color="auto" w:fill="EEEEEE"/>
          </w:tcPr>
          <w:p>
            <w:pPr>
              <w:spacing w:after="0"/>
              <w:rPr>
                <w:sz w:val="9"/>
                <w:szCs w:val="9"/>
                <w:color w:val="auto"/>
              </w:rPr>
            </w:pPr>
          </w:p>
        </w:tc>
        <w:tc>
          <w:tcPr>
            <w:tcW w:w="80" w:type="dxa"/>
            <w:vAlign w:val="bottom"/>
            <w:tcBorders>
              <w:top w:val="single" w:sz="8" w:color="auto"/>
            </w:tcBorders>
            <w:shd w:val="clear" w:color="auto" w:fill="EEEEEE"/>
          </w:tcPr>
          <w:p>
            <w:pPr>
              <w:spacing w:after="0"/>
              <w:rPr>
                <w:sz w:val="9"/>
                <w:szCs w:val="9"/>
                <w:color w:val="auto"/>
              </w:rPr>
            </w:pPr>
          </w:p>
        </w:tc>
        <w:tc>
          <w:tcPr>
            <w:tcW w:w="820" w:type="dxa"/>
            <w:vAlign w:val="bottom"/>
            <w:tcBorders>
              <w:top w:val="single" w:sz="8" w:color="auto"/>
            </w:tcBorders>
            <w:shd w:val="clear" w:color="auto" w:fill="EEEEEE"/>
          </w:tcPr>
          <w:p>
            <w:pPr>
              <w:spacing w:after="0"/>
              <w:rPr>
                <w:sz w:val="9"/>
                <w:szCs w:val="9"/>
                <w:color w:val="auto"/>
              </w:rPr>
            </w:pPr>
          </w:p>
        </w:tc>
        <w:tc>
          <w:tcPr>
            <w:tcW w:w="200" w:type="dxa"/>
            <w:vAlign w:val="bottom"/>
            <w:tcBorders>
              <w:top w:val="single" w:sz="8" w:color="EEEEEE"/>
            </w:tcBorders>
            <w:shd w:val="clear" w:color="auto" w:fill="EEEEEE"/>
          </w:tcPr>
          <w:p>
            <w:pPr>
              <w:spacing w:after="0"/>
              <w:rPr>
                <w:sz w:val="9"/>
                <w:szCs w:val="9"/>
                <w:color w:val="auto"/>
              </w:rPr>
            </w:pPr>
          </w:p>
        </w:tc>
        <w:tc>
          <w:tcPr>
            <w:tcW w:w="120" w:type="dxa"/>
            <w:vAlign w:val="bottom"/>
            <w:tcBorders>
              <w:top w:val="single" w:sz="8" w:color="auto"/>
            </w:tcBorders>
            <w:shd w:val="clear" w:color="auto" w:fill="EEEEEE"/>
          </w:tcPr>
          <w:p>
            <w:pPr>
              <w:spacing w:after="0"/>
              <w:rPr>
                <w:sz w:val="9"/>
                <w:szCs w:val="9"/>
                <w:color w:val="auto"/>
              </w:rPr>
            </w:pPr>
          </w:p>
        </w:tc>
        <w:tc>
          <w:tcPr>
            <w:tcW w:w="780" w:type="dxa"/>
            <w:vAlign w:val="bottom"/>
            <w:tcBorders>
              <w:top w:val="single" w:sz="8" w:color="auto"/>
            </w:tcBorders>
            <w:shd w:val="clear" w:color="auto" w:fill="EEEEEE"/>
          </w:tcPr>
          <w:p>
            <w:pPr>
              <w:spacing w:after="0"/>
              <w:rPr>
                <w:sz w:val="9"/>
                <w:szCs w:val="9"/>
                <w:color w:val="auto"/>
              </w:rPr>
            </w:pPr>
          </w:p>
        </w:tc>
        <w:tc>
          <w:tcPr>
            <w:tcW w:w="220" w:type="dxa"/>
            <w:vAlign w:val="bottom"/>
            <w:tcBorders>
              <w:top w:val="single" w:sz="8" w:color="EEEEEE"/>
            </w:tcBorders>
            <w:shd w:val="clear" w:color="auto" w:fill="EEEEEE"/>
          </w:tcPr>
          <w:p>
            <w:pPr>
              <w:spacing w:after="0"/>
              <w:rPr>
                <w:sz w:val="9"/>
                <w:szCs w:val="9"/>
                <w:color w:val="auto"/>
              </w:rPr>
            </w:pPr>
          </w:p>
        </w:tc>
        <w:tc>
          <w:tcPr>
            <w:tcW w:w="120" w:type="dxa"/>
            <w:vAlign w:val="bottom"/>
            <w:tcBorders>
              <w:top w:val="single" w:sz="8" w:color="auto"/>
            </w:tcBorders>
            <w:shd w:val="clear" w:color="auto" w:fill="EEEEEE"/>
          </w:tcPr>
          <w:p>
            <w:pPr>
              <w:spacing w:after="0"/>
              <w:rPr>
                <w:sz w:val="9"/>
                <w:szCs w:val="9"/>
                <w:color w:val="auto"/>
              </w:rPr>
            </w:pPr>
          </w:p>
        </w:tc>
        <w:tc>
          <w:tcPr>
            <w:tcW w:w="760" w:type="dxa"/>
            <w:vAlign w:val="bottom"/>
            <w:tcBorders>
              <w:top w:val="single" w:sz="8" w:color="auto"/>
            </w:tcBorders>
            <w:shd w:val="clear" w:color="auto" w:fill="EEEEEE"/>
          </w:tcPr>
          <w:p>
            <w:pPr>
              <w:spacing w:after="0"/>
              <w:rPr>
                <w:sz w:val="9"/>
                <w:szCs w:val="9"/>
                <w:color w:val="auto"/>
              </w:rPr>
            </w:pPr>
          </w:p>
        </w:tc>
        <w:tc>
          <w:tcPr>
            <w:tcW w:w="220" w:type="dxa"/>
            <w:vAlign w:val="bottom"/>
            <w:tcBorders>
              <w:top w:val="single" w:sz="8" w:color="EEEEEE"/>
            </w:tcBorders>
            <w:shd w:val="clear" w:color="auto" w:fill="EEEEEE"/>
          </w:tcPr>
          <w:p>
            <w:pPr>
              <w:spacing w:after="0"/>
              <w:rPr>
                <w:sz w:val="9"/>
                <w:szCs w:val="9"/>
                <w:color w:val="auto"/>
              </w:rPr>
            </w:pPr>
          </w:p>
        </w:tc>
        <w:tc>
          <w:tcPr>
            <w:tcW w:w="180" w:type="dxa"/>
            <w:vAlign w:val="bottom"/>
            <w:tcBorders>
              <w:top w:val="single" w:sz="8" w:color="auto"/>
            </w:tcBorders>
            <w:shd w:val="clear" w:color="auto" w:fill="EEEEEE"/>
          </w:tcPr>
          <w:p>
            <w:pPr>
              <w:spacing w:after="0"/>
              <w:rPr>
                <w:sz w:val="9"/>
                <w:szCs w:val="9"/>
                <w:color w:val="auto"/>
              </w:rPr>
            </w:pPr>
          </w:p>
        </w:tc>
        <w:tc>
          <w:tcPr>
            <w:tcW w:w="720" w:type="dxa"/>
            <w:vAlign w:val="bottom"/>
            <w:tcBorders>
              <w:top w:val="single" w:sz="8" w:color="auto"/>
            </w:tcBorders>
            <w:shd w:val="clear" w:color="auto" w:fill="EEEEEE"/>
          </w:tcPr>
          <w:p>
            <w:pPr>
              <w:spacing w:after="0"/>
              <w:rPr>
                <w:sz w:val="9"/>
                <w:szCs w:val="9"/>
                <w:color w:val="auto"/>
              </w:rPr>
            </w:pPr>
          </w:p>
        </w:tc>
        <w:tc>
          <w:tcPr>
            <w:tcW w:w="20" w:type="dxa"/>
            <w:vAlign w:val="bottom"/>
            <w:tcBorders>
              <w:top w:val="single" w:sz="8" w:color="EEEEEE"/>
            </w:tcBorders>
            <w:shd w:val="clear" w:color="auto" w:fill="EEEEEE"/>
          </w:tcPr>
          <w:p>
            <w:pPr>
              <w:spacing w:after="0"/>
              <w:rPr>
                <w:sz w:val="9"/>
                <w:szCs w:val="9"/>
                <w:color w:val="auto"/>
              </w:rPr>
            </w:pPr>
          </w:p>
        </w:tc>
        <w:tc>
          <w:tcPr>
            <w:tcW w:w="80" w:type="dxa"/>
            <w:vAlign w:val="bottom"/>
            <w:tcBorders>
              <w:top w:val="single" w:sz="8" w:color="EEEEEE"/>
            </w:tcBorders>
            <w:shd w:val="clear" w:color="auto" w:fill="EEEEEE"/>
          </w:tcPr>
          <w:p>
            <w:pPr>
              <w:spacing w:after="0"/>
              <w:rPr>
                <w:sz w:val="9"/>
                <w:szCs w:val="9"/>
                <w:color w:val="auto"/>
              </w:rPr>
            </w:pPr>
          </w:p>
        </w:tc>
      </w:tr>
      <w:tr>
        <w:trPr>
          <w:trHeight w:val="167"/>
        </w:trPr>
        <w:tc>
          <w:tcPr>
            <w:tcW w:w="2380" w:type="dxa"/>
            <w:vAlign w:val="bottom"/>
            <w:shd w:val="clear" w:color="auto" w:fill="EEEEEE"/>
          </w:tcPr>
          <w:p>
            <w:pPr>
              <w:ind w:left="100"/>
              <w:spacing w:after="0"/>
              <w:rPr>
                <w:sz w:val="20"/>
                <w:szCs w:val="20"/>
                <w:color w:val="auto"/>
              </w:rPr>
            </w:pPr>
            <w:r>
              <w:rPr>
                <w:rFonts w:ascii="Arial" w:cs="Arial" w:eastAsia="Arial" w:hAnsi="Arial"/>
                <w:sz w:val="14"/>
                <w:szCs w:val="14"/>
                <w:color w:val="auto"/>
              </w:rPr>
              <w:t>unaudited</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20,204,496</w:t>
            </w:r>
          </w:p>
        </w:tc>
        <w:tc>
          <w:tcPr>
            <w:tcW w:w="1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20,204</w:t>
            </w:r>
          </w:p>
        </w:tc>
        <w:tc>
          <w:tcPr>
            <w:tcW w:w="1120" w:type="dxa"/>
            <w:vAlign w:val="bottom"/>
            <w:gridSpan w:val="2"/>
            <w:shd w:val="clear" w:color="auto" w:fill="EEEEEE"/>
          </w:tcPr>
          <w:p>
            <w:pPr>
              <w:ind w:left="240"/>
              <w:spacing w:after="0"/>
              <w:rPr>
                <w:sz w:val="20"/>
                <w:szCs w:val="20"/>
                <w:color w:val="auto"/>
              </w:rPr>
            </w:pPr>
            <w:r>
              <w:rPr>
                <w:rFonts w:ascii="Arial" w:cs="Arial" w:eastAsia="Arial" w:hAnsi="Arial"/>
                <w:sz w:val="14"/>
                <w:szCs w:val="14"/>
                <w:color w:val="auto"/>
              </w:rPr>
              <w:t>14,000,000</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14,000</w:t>
            </w:r>
          </w:p>
        </w:tc>
        <w:tc>
          <w:tcPr>
            <w:tcW w:w="8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389,490</w:t>
            </w:r>
          </w:p>
        </w:tc>
        <w:tc>
          <w:tcPr>
            <w:tcW w:w="120" w:type="dxa"/>
            <w:vAlign w:val="bottom"/>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3,858,294</w:t>
            </w:r>
          </w:p>
        </w:tc>
        <w:tc>
          <w:tcPr>
            <w:tcW w:w="180" w:type="dxa"/>
            <w:vAlign w:val="bottom"/>
            <w:shd w:val="clear" w:color="auto" w:fill="EEEEEE"/>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4,281,988</w:t>
            </w:r>
          </w:p>
        </w:tc>
        <w:tc>
          <w:tcPr>
            <w:tcW w:w="80" w:type="dxa"/>
            <w:vAlign w:val="bottom"/>
            <w:shd w:val="clear" w:color="auto" w:fill="EEEEEE"/>
          </w:tcPr>
          <w:p>
            <w:pPr>
              <w:spacing w:after="0"/>
              <w:rPr>
                <w:sz w:val="14"/>
                <w:szCs w:val="14"/>
                <w:color w:val="auto"/>
              </w:rPr>
            </w:pPr>
          </w:p>
        </w:tc>
      </w:tr>
      <w:tr>
        <w:trPr>
          <w:trHeight w:val="148"/>
        </w:trPr>
        <w:tc>
          <w:tcPr>
            <w:tcW w:w="238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(206,823)</w:t>
            </w:r>
          </w:p>
        </w:tc>
        <w:tc>
          <w:tcPr>
            <w:tcW w:w="18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(206,823)</w:t>
            </w:r>
          </w:p>
        </w:tc>
      </w:tr>
      <w:tr>
        <w:trPr>
          <w:trHeight w:val="162"/>
        </w:trPr>
        <w:tc>
          <w:tcPr>
            <w:tcW w:w="2380" w:type="dxa"/>
            <w:vAlign w:val="bottom"/>
            <w:shd w:val="clear" w:color="auto" w:fill="EEEEEE"/>
          </w:tcPr>
          <w:p>
            <w:pPr>
              <w:spacing w:after="0"/>
              <w:rPr>
                <w:sz w:val="14"/>
                <w:szCs w:val="14"/>
                <w:color w:val="auto"/>
              </w:rPr>
            </w:pPr>
          </w:p>
        </w:tc>
        <w:tc>
          <w:tcPr>
            <w:tcW w:w="920" w:type="dxa"/>
            <w:vAlign w:val="bottom"/>
            <w:tcBorders>
              <w:bottom w:val="single" w:sz="8" w:color="auto"/>
            </w:tcBorders>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60" w:type="dxa"/>
            <w:vAlign w:val="bottom"/>
            <w:tcBorders>
              <w:bottom w:val="single" w:sz="8" w:color="auto"/>
            </w:tcBorders>
            <w:shd w:val="clear" w:color="auto" w:fill="EEEEEE"/>
          </w:tcPr>
          <w:p>
            <w:pPr>
              <w:spacing w:after="0"/>
              <w:rPr>
                <w:sz w:val="14"/>
                <w:szCs w:val="14"/>
                <w:color w:val="auto"/>
              </w:rPr>
            </w:pPr>
          </w:p>
        </w:tc>
        <w:tc>
          <w:tcPr>
            <w:tcW w:w="760" w:type="dxa"/>
            <w:vAlign w:val="bottom"/>
            <w:tcBorders>
              <w:bottom w:val="single" w:sz="8" w:color="auto"/>
            </w:tcBorders>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90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40" w:type="dxa"/>
            <w:vAlign w:val="bottom"/>
            <w:tcBorders>
              <w:bottom w:val="single" w:sz="8" w:color="auto"/>
            </w:tcBorders>
            <w:shd w:val="clear" w:color="auto" w:fill="EEEEEE"/>
          </w:tcPr>
          <w:p>
            <w:pPr>
              <w:spacing w:after="0"/>
              <w:rPr>
                <w:sz w:val="14"/>
                <w:szCs w:val="14"/>
                <w:color w:val="auto"/>
              </w:rPr>
            </w:pPr>
          </w:p>
        </w:tc>
        <w:tc>
          <w:tcPr>
            <w:tcW w:w="74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0" w:type="dxa"/>
            <w:vAlign w:val="bottom"/>
            <w:tcBorders>
              <w:bottom w:val="single" w:sz="8" w:color="auto"/>
            </w:tcBorders>
            <w:shd w:val="clear" w:color="auto" w:fill="EEEEEE"/>
          </w:tcPr>
          <w:p>
            <w:pPr>
              <w:spacing w:after="0"/>
              <w:rPr>
                <w:sz w:val="14"/>
                <w:szCs w:val="14"/>
                <w:color w:val="auto"/>
              </w:rPr>
            </w:pPr>
          </w:p>
        </w:tc>
        <w:tc>
          <w:tcPr>
            <w:tcW w:w="820" w:type="dxa"/>
            <w:vAlign w:val="bottom"/>
            <w:tcBorders>
              <w:bottom w:val="single" w:sz="8" w:color="auto"/>
            </w:tcBorders>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20" w:type="dxa"/>
            <w:vAlign w:val="bottom"/>
            <w:tcBorders>
              <w:bottom w:val="single" w:sz="8" w:color="auto"/>
            </w:tcBorders>
            <w:shd w:val="clear" w:color="auto" w:fill="EEEEEE"/>
          </w:tcPr>
          <w:p>
            <w:pPr>
              <w:spacing w:after="0"/>
              <w:rPr>
                <w:sz w:val="14"/>
                <w:szCs w:val="14"/>
                <w:color w:val="auto"/>
              </w:rPr>
            </w:pPr>
          </w:p>
        </w:tc>
        <w:tc>
          <w:tcPr>
            <w:tcW w:w="78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20" w:type="dxa"/>
            <w:vAlign w:val="bottom"/>
            <w:tcBorders>
              <w:bottom w:val="single" w:sz="8" w:color="auto"/>
            </w:tcBorders>
            <w:shd w:val="clear" w:color="auto" w:fill="EEEEEE"/>
          </w:tcPr>
          <w:p>
            <w:pPr>
              <w:spacing w:after="0"/>
              <w:rPr>
                <w:sz w:val="14"/>
                <w:szCs w:val="14"/>
                <w:color w:val="auto"/>
              </w:rPr>
            </w:pPr>
          </w:p>
        </w:tc>
        <w:tc>
          <w:tcPr>
            <w:tcW w:w="76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80" w:type="dxa"/>
            <w:vAlign w:val="bottom"/>
            <w:tcBorders>
              <w:bottom w:val="single" w:sz="8" w:color="auto"/>
            </w:tcBorders>
            <w:shd w:val="clear" w:color="auto" w:fill="EEEEEE"/>
          </w:tcPr>
          <w:p>
            <w:pPr>
              <w:spacing w:after="0"/>
              <w:rPr>
                <w:sz w:val="14"/>
                <w:szCs w:val="14"/>
                <w:color w:val="auto"/>
              </w:rPr>
            </w:pPr>
          </w:p>
        </w:tc>
        <w:tc>
          <w:tcPr>
            <w:tcW w:w="720" w:type="dxa"/>
            <w:vAlign w:val="bottom"/>
            <w:tcBorders>
              <w:bottom w:val="single" w:sz="8" w:color="auto"/>
            </w:tcBorders>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r>
      <w:tr>
        <w:trPr>
          <w:trHeight w:val="156"/>
        </w:trPr>
        <w:tc>
          <w:tcPr>
            <w:tcW w:w="2380" w:type="dxa"/>
            <w:vAlign w:val="bottom"/>
          </w:tcPr>
          <w:p>
            <w:pPr>
              <w:spacing w:after="0" w:line="155" w:lineRule="exact"/>
              <w:rPr>
                <w:sz w:val="20"/>
                <w:szCs w:val="20"/>
                <w:color w:val="auto"/>
              </w:rPr>
            </w:pPr>
            <w:r>
              <w:rPr>
                <w:rFonts w:ascii="Arial" w:cs="Arial" w:eastAsia="Arial" w:hAnsi="Arial"/>
                <w:sz w:val="14"/>
                <w:szCs w:val="14"/>
                <w:color w:val="auto"/>
              </w:rPr>
              <w:t>Balance, March 31, 2021, unaudited</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20,204,496</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20,204</w:t>
            </w:r>
          </w:p>
        </w:tc>
        <w:tc>
          <w:tcPr>
            <w:tcW w:w="240" w:type="dxa"/>
            <w:vAlign w:val="bottom"/>
          </w:tcPr>
          <w:p>
            <w:pPr>
              <w:spacing w:after="0"/>
              <w:rPr>
                <w:sz w:val="13"/>
                <w:szCs w:val="13"/>
                <w:color w:val="auto"/>
              </w:rPr>
            </w:pPr>
          </w:p>
        </w:tc>
        <w:tc>
          <w:tcPr>
            <w:tcW w:w="90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w w:val="91"/>
              </w:rPr>
              <w:t>14,000,000</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14,000</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389,490</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3,651,471</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4,075,165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Except shares authorized, all references to number of shares, and to per share information in the consolidated and combined financial statements have been retroactively adjusted.</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March 31, 2021 and 2020</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5"/>
          </w:tcPr>
          <w:p>
            <w:pPr>
              <w:jc w:val="right"/>
              <w:ind w:right="440"/>
              <w:spacing w:after="0"/>
              <w:rPr>
                <w:sz w:val="20"/>
                <w:szCs w:val="20"/>
                <w:color w:val="auto"/>
              </w:rPr>
            </w:pPr>
            <w:r>
              <w:rPr>
                <w:rFonts w:ascii="Arial" w:cs="Arial" w:eastAsia="Arial" w:hAnsi="Arial"/>
                <w:sz w:val="18"/>
                <w:szCs w:val="18"/>
                <w:color w:val="auto"/>
                <w:w w:val="95"/>
              </w:rPr>
              <w:t>For the Nine Months Ended March 31,</w:t>
            </w:r>
          </w:p>
        </w:tc>
      </w:tr>
      <w:tr>
        <w:trPr>
          <w:trHeight w:val="223"/>
        </w:trPr>
        <w:tc>
          <w:tcPr>
            <w:tcW w:w="6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9"/>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1,130,649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797,946</w:t>
            </w: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8,394</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Non-cash operating lease expense</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86,321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Credit loss expenses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189,206</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PPP loan forgiven</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(175,500)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Preferred stock warrant expense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8,047</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Amortization of debt discount and non-cash financing costs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501,562</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Change in fair value of warrants and conversion features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334,564</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(2,214,794)</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(1,155,185)</w:t>
            </w: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(4,272,742)</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(2,129,274)</w:t>
            </w: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Deferred tax assets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(52,947)</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Prepayments and other current assets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(2,307,340)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7,713</w:t>
            </w: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(99,395)</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2,765,091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1,886,144</w:t>
            </w: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Credit cards payable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(639,240)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131,541</w:t>
            </w: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Customer deposit</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(113,221)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193,816</w:t>
            </w: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Other payables and accrued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(51,215)</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978,691</w:t>
            </w:r>
          </w:p>
        </w:tc>
      </w:tr>
      <w:tr>
        <w:trPr>
          <w:trHeight w:val="230"/>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Income taxes payable</w:t>
            </w:r>
          </w:p>
        </w:tc>
        <w:tc>
          <w:tcPr>
            <w:tcW w:w="9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116,483</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64,515</w:t>
            </w: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Net cash (used in) / provided by operating activities</w:t>
            </w:r>
          </w:p>
        </w:tc>
        <w:tc>
          <w:tcPr>
            <w:tcW w:w="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(4,786,077)</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775,907</w:t>
            </w:r>
          </w:p>
        </w:tc>
        <w:tc>
          <w:tcPr>
            <w:tcW w:w="100" w:type="dxa"/>
            <w:vAlign w:val="bottom"/>
          </w:tcPr>
          <w:p>
            <w:pPr>
              <w:spacing w:after="0"/>
              <w:rPr>
                <w:sz w:val="18"/>
                <w:szCs w:val="18"/>
                <w:color w:val="auto"/>
              </w:rPr>
            </w:pPr>
          </w:p>
        </w:tc>
      </w:tr>
      <w:tr>
        <w:trPr>
          <w:trHeight w:val="216"/>
        </w:trPr>
        <w:tc>
          <w:tcPr>
            <w:tcW w:w="67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Purchase of equipment</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(61,498)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(6,252)</w:t>
            </w:r>
          </w:p>
        </w:tc>
      </w:tr>
      <w:tr>
        <w:trPr>
          <w:trHeight w:val="230"/>
        </w:trPr>
        <w:tc>
          <w:tcPr>
            <w:tcW w:w="6700" w:type="dxa"/>
            <w:vAlign w:val="bottom"/>
            <w:tcBorders>
              <w:bottom w:val="single" w:sz="8" w:color="EEEEEE"/>
            </w:tcBorders>
          </w:tcPr>
          <w:p>
            <w:pPr>
              <w:spacing w:after="0"/>
              <w:rPr>
                <w:sz w:val="19"/>
                <w:szCs w:val="19"/>
                <w:color w:val="auto"/>
              </w:rPr>
            </w:pPr>
          </w:p>
        </w:tc>
        <w:tc>
          <w:tcPr>
            <w:tcW w:w="96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09"/>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(61,498)</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(6,252)</w:t>
            </w:r>
          </w:p>
        </w:tc>
        <w:tc>
          <w:tcPr>
            <w:tcW w:w="100" w:type="dxa"/>
            <w:vAlign w:val="bottom"/>
            <w:shd w:val="clear" w:color="auto" w:fill="EEEEEE"/>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related parties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532,222</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1,203,170</w:t>
            </w: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to related parties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(150,498)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(2,476,217)</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short-term loans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22,414,846</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11,757,178</w:t>
            </w: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short-term loans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(21,691,308)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(11,275,098)</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convertible notes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3,000,000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for financing cost</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(120,000)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Shares issued</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359,000</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427,010</w:t>
            </w:r>
          </w:p>
        </w:tc>
      </w:tr>
      <w:tr>
        <w:trPr>
          <w:trHeight w:val="210"/>
        </w:trPr>
        <w:tc>
          <w:tcPr>
            <w:tcW w:w="670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provided by / (used in) financing activities</w:t>
            </w:r>
          </w:p>
        </w:tc>
        <w:tc>
          <w:tcPr>
            <w:tcW w:w="9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4,344,262</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(363,957)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CHANGES IN CASH</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(503,313)</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405,698</w:t>
            </w: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beginning of year</w:t>
            </w:r>
          </w:p>
        </w:tc>
        <w:tc>
          <w:tcPr>
            <w:tcW w:w="9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977,635</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471,458</w:t>
            </w:r>
          </w:p>
        </w:tc>
      </w:tr>
      <w:tr>
        <w:trPr>
          <w:trHeight w:val="209"/>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end of year</w:t>
            </w:r>
          </w:p>
        </w:tc>
        <w:tc>
          <w:tcPr>
            <w:tcW w:w="11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474,322</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877,156</w:t>
            </w:r>
          </w:p>
        </w:tc>
      </w:tr>
      <w:tr>
        <w:trPr>
          <w:trHeight w:val="20"/>
        </w:trPr>
        <w:tc>
          <w:tcPr>
            <w:tcW w:w="67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 INFORMATION:</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700" w:type="dxa"/>
            <w:vAlign w:val="bottom"/>
          </w:tcPr>
          <w:p>
            <w:pPr>
              <w:ind w:left="180"/>
              <w:spacing w:after="0"/>
              <w:rPr>
                <w:sz w:val="20"/>
                <w:szCs w:val="20"/>
                <w:color w:val="auto"/>
              </w:rPr>
            </w:pPr>
            <w:r>
              <w:rPr>
                <w:rFonts w:ascii="Arial" w:cs="Arial" w:eastAsia="Arial" w:hAnsi="Arial"/>
                <w:sz w:val="18"/>
                <w:szCs w:val="18"/>
                <w:color w:val="auto"/>
              </w:rPr>
              <w:t>Cash paid for income tax</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696,119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244,923</w:t>
            </w:r>
          </w:p>
        </w:tc>
      </w:tr>
      <w:tr>
        <w:trPr>
          <w:trHeight w:val="196"/>
        </w:trPr>
        <w:tc>
          <w:tcPr>
            <w:tcW w:w="670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960" w:type="dxa"/>
            <w:vAlign w:val="bottom"/>
            <w:tcBorders>
              <w:top w:val="single" w:sz="8" w:color="EEEEEE"/>
              <w:bottom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109,656</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43,519</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NON-CASH TRANSACTIONS:</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Right of use assets acquired under new operating leases</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2,346,200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 and June 30, 2020 and for the Nine Months Ended March 31, 2021 and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iPower Inc., formerly known as BZRTH Inc. (the “Company”), a Nevada corporation incorporated on April 11, 2018, is principally engaged in the marketing and sale of advanced indoor and greenhouse lighting, ventilation systems, nutrients, growing media, grow tents, trimming machines, pumps and accessories in the United States.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will provide technical support, management services and other services on an exclusive basis in relation to E Marketing’s business during the term of the agreement. The Company agrees to fund E Marketing for operational cash flow needs and bear the risk of E Marketing’s losses from operations and E Marketing agrees that iPower has rights to E Marketing’s net profits, if any. Under the terms of the agreement, the Company may at any time, at its option, acquire for nominal consideration 100% of either the equity of E Marketing or its assets subject to assumption of all of its liabilities. E Marketing is determined as a variable interest entity (“VIE”). See Note 2 and Note 3 below for details.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4, 2020, the Company entered into an agreement with Global Product Marketing Inc. (“GPM”), an entity incorporated in the State of Nevada on September 4, 2020. GPM is wholly owned by Chenlong Tan, the Chairman, CEO and President and one of the majority shareholders of the Company. Pursuant to the terms of the agreement, the Company will provide technical support, management services and other services on an exclusive basis in relation to GPM’s business during the term of the Agreement. The Company agrees to fund GPM for operational cash flow needs and bear the risk of GPM’s losses from operations and GPM agrees that the Company has the right to GPM’s net profits, if any. Under the terms of the agreement, the Company may at any time, at its option, acquire for nominal consideration 100% of either the equity of GPM or its assets subject to assumption of all of its liabilities. GPM is determined as a variable interest entity (“VIE”). See Note 2 and Note 3 below for details.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variable interest entities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2021, or for any other interim period or for any other future year. All intercompany balances and transactions have been eliminated in consolidation.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interim financial statements should be read in conjunction with the Company’s audited financial statements for years ended June 30, 2020 and 2019 included in the prospectus filed on May 13,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VIEs, E Marketing Solution Inc. and Global Product Marketing Inc. All inter-company balances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and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entered into an agreement with E Marketing Solution Inc. (“E Marketing”), an entity incorporated in California and owned by one of the shareholders of the Company. The Company also entered into an agreement with Global Product Marketing Inc. (“GPM”), an entity incorporated in the State of Nevada on September 4, 2020. GPM is owned by Chenlong Tan, the Chairman, CEO, President, and one of the majority shareholders of the Company. The Company does not have direct ownership in E Marketing and GPM but has been actively involved in their operations and has the power to direct the activities and significantly impact E Marketing’s and GPM’s economic performance. The Company also bears all the risk of losses and has the right to receive all of the benefits from E Marketing and GPM. As such, in accordance with ASC 810-10-25-38A through 25-38J, E Marketing and GPM are considered variable interest entities (“VIEs”) of the Company and the financial statements of E Marketing and GPM were consolidated from the date of control existed.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maintain bank balances in interest bearing accounts in excess of the $250,000 currently insured by the Federal Deposit Insurance Corporation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Company adopted ASU 2016-13, Topics 326 - Credit Loss, Measurement of Credit Losses on Financial Instruments, which replaces the incurred loss methodology with an expected loss methodology that is referred to as the current expected credit loss (CECL) methodology, for its accounting standard for its trade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 collectability for that particular customer. At the same time, the Company may cease further sales or services to such customer. The following are some of the factors that the Company develops allowance for credit losses: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fails to comply with its payment schedule;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is in serious financial difficulty;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dispute with the customer has occurred regarding job progress or other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breaches any of the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appears to be financially distressed due to economic or legal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between the customer and the Company is not active;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objective evidence indicates non-collectability of the accounts receivable.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The adoption of the credit loss accounting standard has no material impact on the Company’s consolidated financial statements. 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assets and liabilities approximate fair values due to their short-term nature.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used Level 3 inputs for its valuation methodology for the conversion feature and warrant liabilities in determining the fair value using the Modified Black Scholes option-pricing model. Significant increase or decrease in any of the significant unobservable inputs, such as the probability of the occurrence of an IPO, would have resulted in a significantly higher or lower fair value measurement. The redeemable preferred stock was measured based on the fixed monetary amount of the convertible share upon IPO and the probability of IPO.</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is no transfer into or out of Level 3 of the fair value hierarchy. The following table presents information about the Company’s redeemable preferred stock, conversion feature, and warrant liabilities that are measured at fair value on a recurring basis as of March 31, 2021 and June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740" w:type="dxa"/>
            <w:vAlign w:val="bottom"/>
            <w:tcBorders>
              <w:bottom w:val="single" w:sz="8" w:color="EEEEEE"/>
            </w:tcBorders>
          </w:tcPr>
          <w:p>
            <w:pPr>
              <w:spacing w:after="0"/>
              <w:rPr>
                <w:sz w:val="20"/>
                <w:szCs w:val="20"/>
                <w:color w:val="auto"/>
              </w:rPr>
            </w:pPr>
          </w:p>
        </w:tc>
        <w:tc>
          <w:tcPr>
            <w:tcW w:w="12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Level</w:t>
            </w: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20"/>
                <w:szCs w:val="20"/>
                <w:color w:val="auto"/>
              </w:rPr>
            </w:pPr>
          </w:p>
        </w:tc>
      </w:tr>
      <w:tr>
        <w:trPr>
          <w:trHeight w:val="210"/>
        </w:trPr>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Conversion feature liabilities</w:t>
            </w: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776,507</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ind w:left="12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EEEEE"/>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433,714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Warrant liabilities</w:t>
            </w:r>
          </w:p>
        </w:tc>
        <w:tc>
          <w:tcPr>
            <w:tcW w:w="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905,713</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adopted Accounting Standards Codification (“ASC”) 606 since its inception on April 11, 2018 and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periodic costs and are reflected in selling, general and administrative expenses. The Company regularly reviews inventory and considers forecasts of future demand, market conditions and product obsolescence.</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The Company’s long-lived assets are all located in California, United States, and substantially all of the Company’s revenues are derived from within the USA. Therefore, no geographical segments are presented.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its inception date, April 11, 2018, the Company adopted ASC 842 – Leases (“ASC 842”), which requires lessees to record right-of-use (“ROU”) assets and related lease obligations on the balance sheet, as well as disclose key information regarding leasing arrangements.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offering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financing. Should a planned equity financing be abandoned, terminated or significantly delayed, the deferred offering costs are immediately written off to operating expenses in the consolidated statements of operations and comprehensive income (loss) in the period of determination. As of March 31, 2021 and June 30, 2020, $351,882 and $0 of deferred offering costs were included in prepaid expenses and other current assets in the condensed consolidated balance sheets,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Convertible notes and warrants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27, 2021, the Company completed a private placement offering pursuant to which the Company sold to two accredited investors an aggregate of $3,000,000 in convertible notes with a 6% interest per annum (the “Convertible Notes”) and warrants to purchase shares of Class A Common Stock equaling 80% of the number of shares of Class A Common Stock issuable upon conversion of the Convertible Notes. The warrants shall be exercisable for a period of three years from the IPO completion date at a per share exercise price equal to the IPO. The Convertible Notes shall be automatically converted into the Company’s Class A Common Stock upon a qualified IPO (the “Mandatory Conversion”) or repayable in cash at the option of the holders of the Convertible Notes with repayment to commence six months after January 27, 2021. The Convertible Notes convert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In the event the Company does not receive a minimum of $15,000,000 of gross proceeds in the Offering or otherwise close on the Offering, the Convertible Notes will bear interest at a rate of 6% per annum which shall accrue from January 27, 2021 and be repayable in six equal monthly installments between July 27, 2021 and January 27, 2022. Alternatively, the Convertible Notes may be converted at the conversion price into shares of Class A Common Stock at the option of the holder prior to the maturity date (the “Conversion Option”). If the notes are converted, either on a Mandatory Conversion basis or through each holder’s exercise of the Conversion Option, any interest accrued on the Convertible Note shall be waived.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shall be exercisable for a period of five years from the issuance date and are treated as a debt issuance cost.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conversion feature included in the terms of the convertible notes creates an obligation to the Company requiring it to repay the notes for cash in January 2022, if an IPO does not occur. Upon an IPO, the Conversion Option is settleable with a variable number of the Company’s shares resulting in a fixed monetary amount known at inception in accordance with ASC 480-10-25-14a. As such, the conversion feature was determined to be a derivative liability, which represent an embedded derivative predominately based on fixed monetary amount. The convertible note warrants and placement agent warrants were determined to be derivative liabilities, which represent free-standing derivative instruments. The Company measured the derivative liabilities at fair value at the issuance date of the convertible notes, convertible note warrants and placement agent warrants based on a Modified Black Scholes option-pricing model. The derivative liabilities were recorded with a corresponding debit to debt discount that will be amortized over the life of the notes using effective interest rate method. At time of issuance, the convertible notes and warrant liabilities were recorded on the balance sheet as liabilities. Debt issuance costs are allocated to derivative liabilities based on its fair value at issuance to total proceeds received. Debt issuance costs associated with warrant liabilities are expensed immediately and the debt issuance cost associated with the debt host are amortized over the life of the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30, 2020, the Company issued a total of 34,500 shares of Series A Convertible Preferred Stock, par value $0.001 per share. Pursuant to the certificate of designations, the Series A Convertible Preferred Stock will automatically convert into shares of the Class A Common Stock (the “Conversion Shares”) at a conversion price equal to 70% of the initial price per share of the Class A Common Stock. If the IPO shall not have occurred by December 31, 2021, the Company shall redeem and repurchase for cash all of the outstanding shares of Series A Convertible Preferred Stock for a purchase price equal to</w:t>
      </w:r>
    </w:p>
    <w:p>
      <w:pPr>
        <w:spacing w:after="0" w:line="1" w:lineRule="exact"/>
        <w:rPr>
          <w:sz w:val="20"/>
          <w:szCs w:val="20"/>
          <w:color w:val="auto"/>
        </w:rPr>
      </w:pPr>
    </w:p>
    <w:p>
      <w:pPr>
        <w:jc w:val="both"/>
        <w:ind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product of multiplying the $10.00 Stated Value of each outstanding share of Series A Convertible Preferred Stock by the total number of outstanding shares of Series A Convertible Preferred Stock, plus (b) all accrued and unpaid Dividends at 9% per annum. In the event that the Series A Convertible Preferred Stock shall be converted into Conversion Shares, no Dividend shall accrue or be payable.</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redemption feature creates an obligation to the Company requiring it to redeem the Preferred Shares for cash on December 31, 2021, if an IPO does not occur. Upon an IPO, the Conversion Option is settleable with a variable number of the Company’s shares resulting in a fixed monetary amount known at inception in accordance with ASC 480-10-25-14a. The Series A convertible preferred stock are mandatorily redeemable and should be classified as a liability in accordance with ASC 480-10 and the Company has elected to record the Series A Convertible Preferred Stock at fair value with changes in fair value recorded through earnings under the ASC 825-10-15-4 fair value option (“FVO”) election.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Stock Warrant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this private placement, the Company issued warrants to purchase shares of Series A Convertible Preferred Stock. The exercise price of the warrants is $10 per share. The Company accounts for its redeemable convertible preferred stock warrants as a liability, and they are recorded at their estimated fair value, because the warrants may conditionally obligate the Company to transfer assets at some point in the future. At the end of each reporting period, changes in the estimated fair value during the period are recorded in other income (expense), net in the statement of operations. The Company will continue to adjust the liability for changes in estimated fair value until the earlier of the expiration of the warrants, exercise of the warrants, or conversion of the redeemable convertible preferred stock warrants into common stock warrants upon the completion of a liquidation event, including the completion of an IPO.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2022, including interim periods within those fiscal years. Adoption is either a modified retrospective method or a fully retrospective method of transition. The Company is currently assessing the impact the new guidance will have on our consolidated financial statements.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The Company does not expect the adoption of this standard have a material impact on the consolidated financial statements.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combined financial statements are available to be issued. Material subsequent events that required recognition or additional disclosure in the consolidated financial statements are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Variable interest entity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on March 1, 2020, as amended and restated pursuant to an agreement dated Oct 26, 2020, the Company entered into an exclusive business cooperation agreement with E Marketing Solution Inc. (“E Marketing”), an entity incorporated in California and owned by one of the shareholders of the Company. Pursuant to the terms of the agreement, the Company provides technical support, management services and other services on an exclusive basis in relation to E Marketing’s business during the term of the agreement. The Company agrees to fund E Marketing for operational cash flow needs and bear the risk of E Marketing’s losses from operations and E Marketing agrees that iPower has rights to E Marketing’s net profits, if any. Under the terms of the agreement, the Company may at any time, at its option, acquire for nominal consideration 100% of either the equity of E Marketing or its assets subject to assumption of all of its liabilities. As of March 31, 2021 and June 30, 2020, the Company had paid $60,270 and $20,600, respectively, to fund all of E Marketing’s operations under this agreement.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4, 2020, the Company entered into an exclusive business cooperation agreement with Global Product Marketing Inc. (“GPM”), an entity incorporated in the State of Nevada on September 4, 2020. GPM is owned by Chenlong Tan, the Chairman, CEO, President, and one of the majority shareholders of the Company. Pursuant to the terms of the agreement, the Company will provide technical support, management services and other services on an exclusive basis in relation to GPM’s business during the term of the Agreement. The Company agrees to fund GPM for operational cash flow needs and bear the risk of GPM’s losses from operations and GPM agrees that the Company has rights to GPM’s net profits, if any. Under the terms of the agreement, the Company may at any time, at its option, acquire for nominal consideration 100% of either the equity of GPM or its assets subject to assumption of all of its liabilities. As of March 31, 2021 and June 30, 2020, the Company had paid $30,875 and $0, respectively, for GPM’s operating expenses.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Summary of the key terms of the exclusive business cooperation agreements (the “Agreements”) with E Marketing and GPM (“VIEs"):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iPower is the exclusive manager of the VIEs;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VIEs shall not directly or indirectly accepts same or similar services from other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Agreements shall remain effective unless terminated by iPower;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iPower is granted an irrevocable and exclusive option to purchase all assets and business at nominal price;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iPower agrees to fund VIEs’ operational needs and bear the risk of VIEs’ losses from operations and VIEs agree that iPower has rights to VIEs’ net profits, if any.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terms of the Agreements, the Company does not have direct ownership in either E Marketing and GPM but has been actively involved in their operations as the sole manager to direct the activities and significantly impact E Marketing’s and GPM’s economic performance. Each of E Marketing and GPM has only one shareholder and all operational funding was provided by the Company. The Company bears all the risk of losses and has the right to receive all of the benefits from E Marketing and GPM. As such, based on the determination that the Company is the primary beneficiary of E Marketing and GPM, in accordance with ASC 810-10-25-38A through 25-38J, E Marketing and GPM are considered variable interest entities (“VIEs”) of the Company and the financial statements of E Marketing and GPM have been consolidated from the date of control existed, March 1, 2020 and September 4, 2020, respectively.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provide financial or other support to the VIEs for the periods presented where the Company was not otherwise contractually required to provide such support.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and June 30, 2020, there was no pledge or collateralization of the VIEs’ assets that would be used to settle obligations of the VIEs.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6"/>
              </w:rPr>
              <w:t>The carrying amount of the VIEs’ assets and liabilities were as follows for the periods indicated: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320" w:type="dxa"/>
            <w:vAlign w:val="bottom"/>
            <w:tcBorders>
              <w:bottom w:val="single" w:sz="8" w:color="EEEEEE"/>
            </w:tcBorders>
          </w:tcPr>
          <w:p>
            <w:pPr>
              <w:spacing w:after="0"/>
              <w:rPr>
                <w:sz w:val="20"/>
                <w:szCs w:val="20"/>
                <w:color w:val="auto"/>
              </w:rPr>
            </w:pPr>
          </w:p>
        </w:tc>
        <w:tc>
          <w:tcPr>
            <w:tcW w:w="3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20"/>
                <w:szCs w:val="20"/>
                <w:color w:val="auto"/>
              </w:rPr>
            </w:pPr>
          </w:p>
        </w:tc>
      </w:tr>
      <w:tr>
        <w:trPr>
          <w:trHeight w:val="209"/>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Cash in bank</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110,872</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72,686</w:t>
            </w:r>
          </w:p>
        </w:tc>
        <w:tc>
          <w:tcPr>
            <w:tcW w:w="100" w:type="dxa"/>
            <w:vAlign w:val="bottom"/>
            <w:shd w:val="clear" w:color="auto" w:fill="EEEEEE"/>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Receivables from iPower</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492,384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Payables to iPower</w:t>
            </w:r>
          </w:p>
        </w:tc>
        <w:tc>
          <w:tcPr>
            <w:tcW w:w="5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72,686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tax payable</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174,410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Other payables</w:t>
            </w:r>
          </w:p>
        </w:tc>
        <w:tc>
          <w:tcPr>
            <w:tcW w:w="5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599</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and payables were included in the consolidated balance sheets as of March 31, 2021 and June 30, 2020 and the payables to and receivables from iPower were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VIEs were as follows for the nine months ended March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10"/>
        </w:trPr>
        <w:tc>
          <w:tcPr>
            <w:tcW w:w="95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1,448,464</w:t>
            </w:r>
          </w:p>
        </w:tc>
        <w:tc>
          <w:tcPr>
            <w:tcW w:w="100" w:type="dxa"/>
            <w:vAlign w:val="bottom"/>
            <w:shd w:val="clear" w:color="auto" w:fill="EEEEEE"/>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448,848</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Accounts receivable, net consisted of the following as of the dates indicated:</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6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20"/>
                <w:szCs w:val="20"/>
                <w:color w:val="auto"/>
              </w:rPr>
            </w:pPr>
          </w:p>
        </w:tc>
      </w:tr>
      <w:tr>
        <w:trPr>
          <w:trHeight w:val="209"/>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8,281,993</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6,067,199</w:t>
            </w:r>
          </w:p>
        </w:tc>
        <w:tc>
          <w:tcPr>
            <w:tcW w:w="100" w:type="dxa"/>
            <w:vAlign w:val="bottom"/>
            <w:shd w:val="clear" w:color="auto" w:fill="EEEEEE"/>
          </w:tcPr>
          <w:p>
            <w:pPr>
              <w:spacing w:after="0"/>
              <w:rPr>
                <w:sz w:val="18"/>
                <w:szCs w:val="18"/>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189,206</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receivable, net</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8,092,787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6,067,199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Credit loss expenses were $189,206 and $0 for the nine months ended March 31,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June 30, 2020, inventories consisted of finished goods ready for sale, net of allowance for obsolescence, amounted to $10,015,923 and $5,743,181,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June 30, 2020, allowance for obsolescence was $95,574 and $95,574,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Prepayments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June 30, 2020, prepayments and other current assets consisted of the followings: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40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260" w:type="dxa"/>
            <w:vAlign w:val="bottom"/>
            <w:tcBorders>
              <w:bottom w:val="single" w:sz="8" w:color="EEEEEE"/>
            </w:tcBorders>
          </w:tcPr>
          <w:p>
            <w:pPr>
              <w:spacing w:after="0"/>
              <w:rPr>
                <w:sz w:val="20"/>
                <w:szCs w:val="20"/>
                <w:color w:val="auto"/>
              </w:rPr>
            </w:pPr>
          </w:p>
        </w:tc>
        <w:tc>
          <w:tcPr>
            <w:tcW w:w="240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10"/>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Advance to suppliers</w:t>
            </w:r>
          </w:p>
        </w:tc>
        <w:tc>
          <w:tcPr>
            <w:tcW w:w="240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1,768,768</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298,841</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1,154,804</w:t>
            </w: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317,390</w:t>
            </w:r>
          </w:p>
        </w:tc>
        <w:tc>
          <w:tcPr>
            <w:tcW w:w="80" w:type="dxa"/>
            <w:vAlign w:val="bottom"/>
          </w:tcPr>
          <w:p>
            <w:pPr>
              <w:spacing w:after="0"/>
              <w:rPr>
                <w:sz w:val="19"/>
                <w:szCs w:val="19"/>
                <w:color w:val="auto"/>
              </w:rPr>
            </w:pPr>
          </w:p>
        </w:tc>
      </w:tr>
      <w:tr>
        <w:trPr>
          <w:trHeight w:val="210"/>
        </w:trPr>
        <w:tc>
          <w:tcPr>
            <w:tcW w:w="5260" w:type="dxa"/>
            <w:vAlign w:val="bottom"/>
            <w:tcBorders>
              <w:top w:val="single" w:sz="8" w:color="EEEEEE"/>
            </w:tcBorders>
            <w:shd w:val="clear" w:color="auto" w:fill="EEEEEE"/>
          </w:tcPr>
          <w:p>
            <w:pPr>
              <w:spacing w:after="0"/>
              <w:rPr>
                <w:sz w:val="18"/>
                <w:szCs w:val="18"/>
                <w:color w:val="auto"/>
              </w:rPr>
            </w:pPr>
          </w:p>
        </w:tc>
        <w:tc>
          <w:tcPr>
            <w:tcW w:w="24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2,923,572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616,231</w:t>
            </w:r>
          </w:p>
        </w:tc>
        <w:tc>
          <w:tcPr>
            <w:tcW w:w="8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receivables consisted of delivery fees of $212,266 and $132,433 and receivables from two unrelated parties for their use of the Company’s courier accounts at March 31, 2021 and June 30, 2020. As of the date of this report, the amount had been fully collected.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PPP note payable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The PPP Note bears interest at the rate of 1.00% per annum and may be repaid at any time without penalty. The PPP Note contains customary events of default relating to, among other things, payment defaults, breach of representations and warranties, or provisions of the promissory note. The occurrence of an event of default may result in a claim for the immediate repayment of all amounts outstanding under the PPP Note.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87" w:lineRule="auto"/>
        <w:rPr>
          <w:sz w:val="20"/>
          <w:szCs w:val="20"/>
          <w:color w:val="auto"/>
        </w:rPr>
      </w:pPr>
      <w:r>
        <w:rPr>
          <w:rFonts w:ascii="Arial" w:cs="Arial" w:eastAsia="Arial" w:hAnsi="Arial"/>
          <w:sz w:val="16"/>
          <w:szCs w:val="16"/>
          <w:color w:val="auto"/>
        </w:rPr>
        <w:t>The Company accounts for the PPP loan under Topic 470 as follows: (a) Initially record the cash inflow from the PPP Note as a financial liability and accrued interest in accordance with the interest method under ASC Subtopic 835-30; (b) Not impute additional interest at a market rate; (c) Continue to record the proceeds from the loan as a liability until either (1) the loan is partly or wholly forgiven and the debtor has been legally released by the Lender or</w:t>
      </w:r>
    </w:p>
    <w:p>
      <w:pPr>
        <w:spacing w:after="0" w:line="2" w:lineRule="exact"/>
        <w:rPr>
          <w:sz w:val="20"/>
          <w:szCs w:val="20"/>
          <w:color w:val="auto"/>
        </w:rPr>
      </w:pPr>
    </w:p>
    <w:p>
      <w:pPr>
        <w:jc w:val="both"/>
        <w:ind w:firstLine="8"/>
        <w:spacing w:after="0" w:line="255" w:lineRule="auto"/>
        <w:tabs>
          <w:tab w:leader="none" w:pos="2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debtor pays off the loan; (d) Reduce the liability by the amount forgiven and record a gain on extinguishment once the loan is partly or wholly forgiven and legal release is received. On March 22, 2021, the $175,500 PPP Note due to Royal Business Bank was fully forgiven. As of March 31, 2021 and June 30, 2020, the Company had an outstanding balance of $0 and $175,500, respectively, under the PPP Note.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pursuant to which WFC may, but is not obligated to, purchase accounts receivable from the Company from time to time. The credit limit of the revolving facility under the Original RPA was $2,000,000, which had a discount rate equal to the prime rate plus 4.25% per annum on the outstanding amount. This revolving credit facility is secured by all of the Company’s assets and guaranteed by Allan Huang, a former director and executive officer, and one of the Company’s major shareholders and founders. Pursuant to the Original RPA, the purchases of accounts receivable were made with full recourse to the Company, and the Company was obligated to collect the accounts receivables and to repurchase or pay back the amount drawn if the accounts receivable were not collected. In accordance with ASC 860-10-05, the revolving credit facility under the Receivable Purchase Agreement is treated as secured borrowing.</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16, 2020, the Original RPA was further amended and restated (the “Restated RPA”) to increase the credit limit of the revolving credit facility from $2,000,000 to $3,000,000. The Restated RPA bears a discount rate of 3.055555%, subject to a rebate of 0.0277% per day. This revolving credit facility is secured by all of the Company’s assets and guaranteed by Chenlong Tan, the CEO and one of the Company’s major shareholders and founders. Pursuant to the agreement, all purchases of accounts receivable are without recourse to the Company, and WFC assumes the risk of nonpayment of the accounts receivable due to a customer’s financial inability to pay the accounts receivable or the customer’s insolvency but not the risk of non-payment of the accounts receivable for any other reason. The Company is obligated to collect the accounts receivables and to repurchase or pay back the amount drawn if the accounts receivable are not collected.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June 30, 2020, the outstanding balance due was $1,877,718 and $1,154,180,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payable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December 31, 2020, the Company borrowed a total amount of $300,000 from two unrelated parties for short-term cash flow needs. The loans bear interest at the rate of 8% per annum and may be repaid at any time without penalty. In February 2021, the Company had fully repaid the outstanding amount. As of March 31, 2021, the outstanding balance of the loans was $0.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loan payable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As of March 31, 2021, the outstanding balance of the SBA Note was $500,000, which included a current portion of $29,244 and a non-current portion of $470,756.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 Convertible notes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with a 6% interest per annum (the “Convertible Note”) and warrants to purchase shares of Class A Common Stock equaling 80% of the number of shares of Class A Common Stock issuable upon conversion of the Convertible Notes. The warrants shall be exercisable for a period of three years from the IPO completion date at a per share exercise price equal to the IPO. The Convertible Notes shall be automatically converted into the Company’s Class A Common Stock upon a qualified IPO (the “Mandatory Conversion”) or repayable in cash at the option of the holders of the Convertible Notes with repayment to commence six months after January 27, 2021. The Convertible Notes convert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Any interest accrued on the Convertible Note will be waived upon conversion. In the event the Company does not receive a minimum of $15,000,000 of gross proceeds in the Offering or otherwise close on the Offering, the Convertible Notes will bear interest at a rate of 6% per annum which shall accrue from January 27, 2021 and be repayable in six equal monthly installments between July 27, 2021 and January 27, 2022. Alternatively, the Convertible Notes may be converted at the conversion price into shares of Class A Common Stock at the option of the holder prior to the maturity date (the “Conversion Option”). If the notes are converted, either on a Mandatory Conversion basis or through each holder’s exercise of the Conversion Option, any interest accrued on the Convertible Note shall be waived.</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shall be exercisable for a period of five years from the issuance date and are treated as a debt issuance cost.</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conversion feature included in the terms of the convertible notes creates an obligation to the Company requiring it to repay the notes for cash in January 2022, if an IPO does not occur. Upon an IPO, the Conversion Option is settleable with a variable number of the Company’s shares resulting in a fixed monetary amount known at inception in accordance with ASC 480-10-25-14a. As such, the conversion feature was determined to be a derivative liability, which represent an embedded derivative predominately based on fixed monetary amount. The convertible note warrants and placement agent warrants were determined to be derivative liabilities, which represent free-standing derivative instruments. The Company measured the derivative liabilities at fair value at the issuance date of the convertible notes, convertible note warrants and placement agent warrants based on a Modified Black Scholes option-pricing model. The derivative liabilities were recorded with a corresponding debit to debt discount that will be amortized over the life of the notes using effective interest rate method. At time of issuance, the convertible notes and warrant liabilities were recorded on the balance sheet as liabilities. Debt issuance costs, which consisted of $120,000 in cash netted against the note proceeds and $84,849 in placement agent warrants, are allocated to derivative liabilities based on its fair value at issuance to total proceeds received. Debt issuance costs associated with warrant liabilities are expensed immediately and the debt issuance cost associated with the debt host are amortized over the life of the notes.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Upon issuance, the Company allocated the total proceeds first to the stock warrants, then to the embedded conversion features and the residual to the note. The amount allocated to debt discount was $1,390,141 and the amount allocated to the note was $1,609,859, respectively. The conversion feature and warrant liabilities of $1,390,141 was recorded as a debit to debt discount that was amortized as other non-operating expense over the life of the notes using effective interest rate method. As of March 31, 2021, the Company recorded amortization of debt discount of $463,380 as other non-operating expense and the remaining unamortized debt discount was $926,761.</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31, 2021, the Company measured the conversion liability to fair value using the Modified Black Scholes Option Pricing Model based on the expected fair value of the underlying stock with the following assumptions:</w:t>
      </w:r>
    </w:p>
    <w:p>
      <w:pPr>
        <w:spacing w:after="0" w:line="170"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2800" w:type="dxa"/>
            <w:vAlign w:val="bottom"/>
            <w:tcBorders>
              <w:bottom w:val="single" w:sz="8" w:color="EEEEEE"/>
            </w:tcBorders>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 of March 31, 2021</w:t>
            </w:r>
          </w:p>
        </w:tc>
      </w:tr>
      <w:tr>
        <w:trPr>
          <w:trHeight w:val="210"/>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0.3 year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volatility</w:t>
            </w: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35%</w:t>
            </w: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0.04%</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60%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fair value of the convertible note, net of debt discount, was $2,729,747, which included fair value of the conversion feature of $776,507, and a change in fair value of $83,891 was recorded within other non-operating income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accounting on warrants issued with the convertible notes, see Note 14 below for detail.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 2018, the Company acquired certain assets and assumed liabilities from BizRight, LLC, an entity owned and managed by the founders and officers of the Company. The net assets received were recorded at their historical carrying amounts and the purchase price of $2,611,594 was recorded as payable due to related parties. The purchase price shall be paid based on the Company’s cash flow availability and bears an interest rate of 8% per annum on the outstanding amount. During the nine months ended March 31, 2021 and 2020, the Company recorded proceeds of $532,222 and $1,203,170 and payments of $150,498 and $2,476,217, respectively. As of March 31, 2021 and June 30, 2020, the outstanding amount due to related parties was $515,517 and $133,793,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U.S. President signed into law H.R.1, formerly known as the Tax Cuts and Jobs Act (the “Tax Legislation”). The Tax Legislation significantly revised the U.S. tax code by (i) lowering the U.S. federal statutory income tax rate from 35% to 21%, (ii) implementing a territorial tax system, (iii) imposing a one-time transition tax on deemed repatriated earnings of foreign subsidiaries, (iv) requiring a current inclusion of global intangible low taxed income of certain earnings of controlled foreign corporations in U.S. federal taxable income, (v) creating the base erosion anti-abuse tax regime, (vi) implementing bonus depreciation that will allow for full expensing of qualified property, and (vii) limiting deductibility of interest and executive compensation expense, among other changes. The Company has computed its tax expenses using the new statutory rate effective on January 1, 2018 of 21%.</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provisions of the new legislation include, but are not limited to, limiting deductibility of interest and executive compensation expense. These additional items have been considered in the income tax provision for the nine months ended March 31, 2021 and 2020 and the impact was not material to the overall financial statements. For the nine months ended March 31, 2021, the Company recorded deferred tax assets of $52,947, which was resulted from allowance for credit loss of $189,206.</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spacing w:after="0"/>
        <w:rPr>
          <w:sz w:val="20"/>
          <w:szCs w:val="20"/>
          <w:color w:val="auto"/>
        </w:rPr>
      </w:pPr>
      <w:r>
        <w:rPr>
          <w:rFonts w:ascii="Arial" w:cs="Arial" w:eastAsia="Arial" w:hAnsi="Arial"/>
          <w:sz w:val="19"/>
          <w:szCs w:val="19"/>
          <w:color w:val="auto"/>
        </w:rPr>
        <w:t>The income tax provision for the nine months ended March 31, 2021 and 2020 consisted of the following:</w:t>
      </w:r>
    </w:p>
    <w:p>
      <w:pPr>
        <w:sectPr>
          <w:pgSz w:w="11900" w:h="16838" w:orient="portrait"/>
          <w:cols w:equalWidth="0" w:num="1">
            <w:col w:w="11240"/>
          </w:cols>
          <w:pgMar w:left="320" w:top="7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income tax provision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March 31, 2021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March 31, 2020</w:t>
            </w:r>
          </w:p>
        </w:tc>
      </w:tr>
      <w:tr>
        <w:trPr>
          <w:trHeight w:val="641"/>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555,430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212,722</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258,204</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98,316</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813,634</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311,038</w:t>
            </w:r>
          </w:p>
        </w:tc>
      </w:tr>
      <w:tr>
        <w:trPr>
          <w:trHeight w:val="41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(36,221)</w:t>
            </w: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(16,726)</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-993775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-719455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-427990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-145415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940" w:space="720"/>
            <w:col w:w="3580"/>
          </w:cols>
          <w:pgMar w:left="320" w:top="793"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00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taxes</w:t>
            </w:r>
          </w:p>
        </w:tc>
        <w:tc>
          <w:tcPr>
            <w:tcW w:w="2660" w:type="dxa"/>
            <w:vAlign w:val="bottom"/>
            <w:tcBorders>
              <w:bottom w:val="single" w:sz="8" w:color="EEEEEE"/>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(52,947</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tcPr>
          <w:p>
            <w:pPr>
              <w:spacing w:after="0"/>
              <w:rPr>
                <w:sz w:val="18"/>
                <w:szCs w:val="18"/>
                <w:color w:val="auto"/>
              </w:rPr>
            </w:pPr>
          </w:p>
        </w:tc>
      </w:tr>
      <w:tr>
        <w:trPr>
          <w:trHeight w:val="209"/>
        </w:trPr>
        <w:tc>
          <w:tcPr>
            <w:tcW w:w="5000" w:type="dxa"/>
            <w:vAlign w:val="bottom"/>
            <w:shd w:val="clear" w:color="auto" w:fill="EEEEEE"/>
          </w:tcPr>
          <w:p>
            <w:pPr>
              <w:spacing w:after="0"/>
              <w:rPr>
                <w:sz w:val="18"/>
                <w:szCs w:val="18"/>
                <w:color w:val="auto"/>
              </w:rPr>
            </w:pPr>
          </w:p>
        </w:tc>
        <w:tc>
          <w:tcPr>
            <w:tcW w:w="26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32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760,687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311,038</w:t>
            </w:r>
          </w:p>
        </w:tc>
        <w:tc>
          <w:tcPr>
            <w:tcW w:w="100" w:type="dxa"/>
            <w:vAlign w:val="bottom"/>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is subject to U.S. federal income tax as well as income tax of state tax jurisdictions. The tax years 2018 and 2019 remain open to examination by the major taxing jurisdictions to which the Company is subject. The following is a reconciliation of income tax expenses at the effective rate to income tax at the calculated statutory rates:</w:t>
      </w:r>
    </w:p>
    <w:p>
      <w:pPr>
        <w:sectPr>
          <w:pgSz w:w="11900" w:h="16838" w:orient="portrait"/>
          <w:cols w:equalWidth="0" w:num="1">
            <w:col w:w="11240"/>
          </w:cols>
          <w:pgMar w:left="320" w:top="793"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Statutory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State of California</w:t>
      </w:r>
    </w:p>
    <w:p>
      <w:pPr>
        <w:spacing w:after="0" w:line="9" w:lineRule="exact"/>
        <w:rPr>
          <w:sz w:val="20"/>
          <w:szCs w:val="20"/>
          <w:color w:val="auto"/>
        </w:rPr>
      </w:pPr>
    </w:p>
    <w:p>
      <w:pPr>
        <w:ind w:right="1720" w:firstLine="180"/>
        <w:spacing w:after="0" w:line="276" w:lineRule="auto"/>
        <w:rPr>
          <w:sz w:val="20"/>
          <w:szCs w:val="20"/>
          <w:color w:val="auto"/>
        </w:rPr>
      </w:pPr>
      <w:r>
        <w:rPr>
          <w:rFonts w:ascii="Arial" w:cs="Arial" w:eastAsia="Arial" w:hAnsi="Arial"/>
          <w:sz w:val="18"/>
          <w:szCs w:val="18"/>
          <w:color w:val="auto"/>
        </w:rPr>
        <w:t>Net effect of state income tax deduction and other permanent differences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2021</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10.38%</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31750</wp:posOffset>
            </wp:positionV>
            <wp:extent cx="10026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2020</w:t>
      </w:r>
    </w:p>
    <w:p>
      <w:pPr>
        <w:spacing w:after="0" w:line="2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8.84%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(1.79%)</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31750</wp:posOffset>
            </wp:positionV>
            <wp:extent cx="9944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7140" w:space="720"/>
            <w:col w:w="1380" w:space="520"/>
            <w:col w:w="1480"/>
          </w:cols>
          <w:pgMar w:left="320" w:top="793"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and June 30, 2020, the income taxes payable was $837,694 and $721,211,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11 – Earnings per share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w w:val="91"/>
              </w:rPr>
              <w:t>The following table sets forth the computation of basic and diluted earnings per share for the periods presented:</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80" w:type="dxa"/>
            <w:vAlign w:val="bottom"/>
            <w:gridSpan w:val="6"/>
          </w:tcPr>
          <w:p>
            <w:pPr>
              <w:ind w:left="2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8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EEEEEE"/>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1,130,649</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797,946</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shares used in computing basic and diluted earnings per share*</w:t>
            </w:r>
          </w:p>
        </w:tc>
        <w:tc>
          <w:tcPr>
            <w:tcW w:w="880" w:type="dxa"/>
            <w:vAlign w:val="bottom"/>
            <w:shd w:val="clear" w:color="auto" w:fill="EEEEEE"/>
          </w:tcPr>
          <w:p>
            <w:pPr>
              <w:spacing w:after="0"/>
              <w:rPr>
                <w:sz w:val="21"/>
                <w:szCs w:val="21"/>
                <w:color w:val="auto"/>
              </w:rPr>
            </w:pPr>
          </w:p>
        </w:tc>
        <w:tc>
          <w:tcPr>
            <w:tcW w:w="50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20,204,496</w:t>
            </w:r>
          </w:p>
        </w:tc>
        <w:tc>
          <w:tcPr>
            <w:tcW w:w="420" w:type="dxa"/>
            <w:vAlign w:val="bottom"/>
            <w:shd w:val="clear" w:color="auto" w:fill="EEEEEE"/>
          </w:tcPr>
          <w:p>
            <w:pPr>
              <w:spacing w:after="0"/>
              <w:rPr>
                <w:sz w:val="21"/>
                <w:szCs w:val="21"/>
                <w:color w:val="auto"/>
              </w:rPr>
            </w:pPr>
          </w:p>
        </w:tc>
        <w:tc>
          <w:tcPr>
            <w:tcW w:w="12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20,056,515</w:t>
            </w:r>
          </w:p>
        </w:tc>
        <w:tc>
          <w:tcPr>
            <w:tcW w:w="0" w:type="dxa"/>
            <w:vAlign w:val="bottom"/>
          </w:tcPr>
          <w:p>
            <w:pPr>
              <w:spacing w:after="0"/>
              <w:rPr>
                <w:sz w:val="1"/>
                <w:szCs w:val="1"/>
                <w:color w:val="auto"/>
              </w:rPr>
            </w:pPr>
          </w:p>
        </w:tc>
      </w:tr>
      <w:tr>
        <w:trPr>
          <w:trHeight w:val="20"/>
        </w:trPr>
        <w:tc>
          <w:tcPr>
            <w:tcW w:w="67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Earnings per share of ordinary shares: -basic and diluted</w:t>
            </w:r>
          </w:p>
        </w:tc>
        <w:tc>
          <w:tcPr>
            <w:tcW w:w="880" w:type="dxa"/>
            <w:vAlign w:val="bottom"/>
            <w:tcBorders>
              <w:top w:val="single" w:sz="8" w:color="EEEEEE"/>
              <w:bottom w:val="single" w:sz="8" w:color="EEEEEE"/>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bottom w:val="single" w:sz="8" w:color="EEEEEE"/>
            </w:tcBorders>
            <w:vMerge w:val="restart"/>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0.056</w:t>
            </w:r>
          </w:p>
        </w:tc>
        <w:tc>
          <w:tcPr>
            <w:tcW w:w="32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The computation of basic and diluted EPS was retroactively adjusted for all periods presented.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20, 2020, the Company issued to its founders 14,000,000 shares of Class B Common Stock, which shall be eligible to convert into Class A Common Stock, on a one-for-ten basis, at any time following twelve (12) months after the Company’s completion of its initial public offering of its Class A Common Stock. The computation of basic and diluted EPS did not include the Class B Common Stock as the holders of Class B Common Stock have no dividend or liquidation right until such time as their shares of Class B Common Stock have been converted into Class A Common Stock. See Note 16 for the status of Class B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computation of basic and diluted EPS did not include the underlying shares of Series A Convertible Preferred Stock, convertible notes, and warrants, as the conversion/exercise of these instruments and participation in dividends with the Company’s Common Stock was contingent on completion of an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was incorporated in Nevada on April 11, 2018. As of March 31, 2021, the total authorized shares of capital stock were 200,000,000 shares consisting of 166,000,000 shares of Class A Common Stock (“Class A Common Stock”) and 14,000,000 shares of Class B Common Stock (“Class B Common Stock”), and 20,000,000 shares of preferred stock (the “Preferred Stock”), each with a par value of $0.001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16, 2020, the Company filed an amended and restated articles of incorporation in Nevada to consummate a 2-for-1 forward split of our outstanding shares of Class A Common Stock. All share numbers of Class A Common Stock are stated at post-split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Class A Common Stock shall be entitled to one vote per share in voting or consenting to the election of directors and for all other corporate purposes. The Company issued 20,000,000 shares to its founders at inception.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2020, pursuant to a rescission and mutual release agreement with an unrelated company, the Company issued 204,496 shares of its Class A Common Stock as settlement payment of the $427,010 received.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and June 30, 2020, after giving effect to a 2-for-1 forward split of the outstanding shares of Class A Common Stock, there were 20,204,496 and 20,204,496 shares of Class A Common Stock issued and outstanding,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spacing w:after="0" w:line="293" w:lineRule="auto"/>
        <w:rPr>
          <w:sz w:val="20"/>
          <w:szCs w:val="20"/>
          <w:color w:val="auto"/>
        </w:rPr>
      </w:pPr>
      <w:r>
        <w:rPr>
          <w:rFonts w:ascii="Arial" w:cs="Arial" w:eastAsia="Arial" w:hAnsi="Arial"/>
          <w:sz w:val="16"/>
          <w:szCs w:val="16"/>
          <w:color w:val="auto"/>
        </w:rPr>
        <w:t>On October 20, 2020, the Company entered into stock purchase agreements with Chenlong Tan and Allan Huang (the “Founders”) pursuant to which each of the Founders received 7,000,000 shares of the Company’s Class B Common Stock, for a purchase price of $0.001 per share in cash. Based on the fact that other than the total consideration of $14,000 (total par value of the Class B Common Stock issued), the Founders did not provide additional services or other means of considerations for the issuance of these shares of Class B Common Stock, the issuance of the Class B Common Stock to the Founders was considered as a nominal issuance, in substance a recapitalization transaction. As such, in accordance with FASB ASC 260-10-55-12 and SAB Topic 4D, the Company recorded and presented the issuance retroactively as outstanding for all reporting periods.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Class B Common Stock shall be entitled to ten (10) votes per share in voting or consenting to the election of directors and for all other corporate purposes. Class B Common Stock shall be eligible to convert into Class A Common Stock, on a ten-for-one basis, at any time following twelve (12) months after the Company’s completion of the initial public offering of its Class A Common Stock. Holders of Class B Common Stock shall have no dividend or liquidation right until such time as their shares of Class B Common Stock have been converted into Class A Common Stock. As of March 31, 2021 and June 30, 2020, the outstanding shares of Class B Common Stock were retroactively stated as 14,000,000 and 14,000,000, respectively. See Note 17 for status of the Class B Common Stock.</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See Note 13 below for details of Series A Convertible Preferred Stock issued on December 30,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Series A Convertible Preferred Stock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30, 2020, the Company closed a private placement and issued a total of 34,500 shares of Series A Convertible Preferred Stock, par value $0.001 per share, to a total of three accredited investors, at a purchase price of $10.00 per share, for a total purchase price of $345,000 in cash. Pursuant to the certificate of designations, the Series A Convertible Preferred Stock will automatically convert into shares of the Class A Common Stock (the “Conversion Shares”) at a conversion price equal to 70% of the initial price per share of the Class A Common Stock. If the IPO has not occurred by December 31, 2021, the Company will be obligated to redeem and repurchase for cash all of the outstanding shares of Series A Convertible Preferred Stock for a purchase price equal to (a) the product of multiplying the $10.00 Stated Value of each outstanding share of Series A Convertible Preferred Stock by the total number of outstanding shares of Series A Convertible Preferred Stock, plus (b) all accrued and unpaid Dividends at 9% per annum. In the event that the Series A Convertible Preferred Stock are converted into Conversion Shares, no Dividend shall accrue or be payable.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private placement, the Company paid $27,600 in cash and issued warrants to purchase 2,415 shares of Series A Convertible Preferred Stock to Boustead Securities, LLC (the “Placement Agent”) as compensation, which was recorded as financing expense. The exercise price of the warrants is $10 per share. The warrants were recorded as liability. See Note 14 below for detail.</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redemption feature creates an obligation to the Company requiring it to redeem the Preferred Shares for cash on December 31, 2021, if an IPO does not occur. Upon an IPO, the Conversion Option is settleable with a variable number of the Company’s shares resulting in a fixed monetary amount known at inception in accordance with ASC 480-10-25-14a. The Series A convertible preferred stock are mandatorily redeemable and should be classified as a liability in accordance with ASC 480-10 and the Company has elected to record the Series A Convertible Preferred Stock at fair value with changes in fair value recorded through earnings under the ASC 825-10-15-4 fair value option (“FVO”) election.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FVO election the financial instrument is initially measured at its issue-date estimated fair value and subsequently remeasured at estimated fair value on a recurring basis at each reporting period date. As of March 31, 2021, the fair value was $433,714 which was measured based on the fixed monetary amount of the convertible share upon IPO and the probability of IPO. The change in fair value of $88,714 was recorded as other non-operating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June 30, 2020, respectively, the Company had 34,500 and 0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 – Warrant 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warrant liabilities contained unobservable inputs that reflected the Company’s own assumptions in which there was little, if any, market activity for at the measurement date. Accordingly, the Company’s warrant liabilities were measured at fair value on a recurring basis using unobservable inputs and were classified as Level 3 measurements.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30, 2020, the Company issued warrants to purchase 2,415 shares of Series A Convertible Preferred Stock to Boustead Securities, LLC (the “Placement Agent”) as compensation, which was recorded as financing expense. The exercise price of the warrants is $10 per share and expires in five years from the issuance date. This Series A Preferred Stock warrant were valued using Black Scholes Option Pricing Model at issuance date and recorded $8,047 as financing expense and warrant liability.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the event the Convertible Notes are repaid in cash by the Company, the convertible notes warrants will expire and have no further value.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also issued placement agent warrants to purchase 7.0% of the shares of Common Stock underlying the Convertible Notes exercisable at the conversion price of the Convertible Note (the “Conversion Price”). The placement agent warrants shall be exercisable for a period of five years from the issuance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2021, the Company remeasured the warrants to fair value using the Modified Black Scholes Option Pricing Model based on the expected fair value of the underlying stock with the following assumptions:</w:t>
      </w:r>
    </w:p>
    <w:p>
      <w:pPr>
        <w:spacing w:after="0" w:line="170"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2800" w:type="dxa"/>
            <w:vAlign w:val="bottom"/>
            <w:tcBorders>
              <w:bottom w:val="single" w:sz="8" w:color="EEEEEE"/>
            </w:tcBorders>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 of March 31, 2021</w:t>
            </w:r>
          </w:p>
        </w:tc>
      </w:tr>
      <w:tr>
        <w:trPr>
          <w:trHeight w:val="210"/>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3 to 5 years</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volatility</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56% to 58%</w:t>
            </w: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0.35% to 0.92%</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20" w:type="dxa"/>
            <w:vAlign w:val="bottom"/>
          </w:tcPr>
          <w:p>
            <w:pPr>
              <w:jc w:val="right"/>
              <w:ind w:right="1210"/>
              <w:spacing w:after="0"/>
              <w:rPr>
                <w:sz w:val="20"/>
                <w:szCs w:val="20"/>
                <w:color w:val="auto"/>
              </w:rPr>
            </w:pPr>
            <w:r>
              <w:rPr>
                <w:rFonts w:ascii="Arial" w:cs="Arial" w:eastAsia="Arial" w:hAnsi="Arial"/>
                <w:sz w:val="18"/>
                <w:szCs w:val="18"/>
                <w:color w:val="auto"/>
              </w:rPr>
              <w:t>0%</w:t>
            </w: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282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31, 2021, the fair value of the warrant liabilities was $905,713 and the change in fair value of $161,959 was recorded within other non-operating income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15 - Concentration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June 30, 2020, $474,322 and $977,635, respectively, were deposited with various major financial institutions in the United States.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and vendor concentration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March 31, 2021 and 2020, Amazon Vendor and Amazon Seller customers accounted for 78% and 70% of the Company's total revenues, respectively. As of March 31, 2021 and June 30, 2020, accounts receivable from Amazon Vendor and Amazon Seller accounted for 91% and 95% of the Company’s total accounts receivable.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nine months ended March 31, 2021 and 2020, two suppliers accounted for 28% (17% and 11%) and 44% (30% and 14%) of the Company's total purchases, respectively. As of March 31, 2021, accounts payable to two suppliers accounted for 19% and 17% of the Company’s total accounts payable. As of June 30, 2020, accounts payable to three suppliers accounted for 26%, 13% and 12%, respectively, of the Company’s total accounts payable.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ASC842 since its inception date, April 11, 2018. The Company has entered into a lease agreement for office and warehouse space with a lease period from December 1, 2018 until December 31, 2020. On August 24, 2020, the Company negotiated for new terms to extend the lease. The lease term is amended and extended through December 31,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in addition to the primary fulfillment center, the Company leased a second fulfillment center in City of Industry, California. The base rental fee is $27,921 to $29,910 per month through October 31,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line="308" w:lineRule="auto"/>
        <w:rPr>
          <w:sz w:val="20"/>
          <w:szCs w:val="20"/>
          <w:color w:val="auto"/>
        </w:rPr>
      </w:pPr>
      <w:r>
        <w:rPr>
          <w:rFonts w:ascii="Arial" w:cs="Arial" w:eastAsia="Arial" w:hAnsi="Arial"/>
          <w:sz w:val="17"/>
          <w:szCs w:val="17"/>
          <w:color w:val="auto"/>
        </w:rPr>
        <w:t>Total commitment for the full term of these leases is $2,346,200. $1,987,363 and $262,875 of operating lease right-of-use assets and $2,073,684 and $262,875 of operating lease liabilities were reflected on the March 31, 2021 and June 30, 2020 financial statements,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3"/>
          </w:tcPr>
          <w:p>
            <w:pPr>
              <w:spacing w:after="0"/>
              <w:rPr>
                <w:sz w:val="20"/>
                <w:szCs w:val="20"/>
                <w:color w:val="auto"/>
              </w:rPr>
            </w:pPr>
            <w:r>
              <w:rPr>
                <w:rFonts w:ascii="Arial" w:cs="Arial" w:eastAsia="Arial" w:hAnsi="Arial"/>
                <w:sz w:val="18"/>
                <w:szCs w:val="18"/>
                <w:color w:val="auto"/>
              </w:rPr>
              <w:t>Nine Months Ended March 31, 2021 and 2020:</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7660" w:type="dxa"/>
            <w:vAlign w:val="bottom"/>
            <w:gridSpan w:val="3"/>
          </w:tcPr>
          <w:p>
            <w:pPr>
              <w:spacing w:after="0"/>
              <w:rPr>
                <w:sz w:val="20"/>
                <w:szCs w:val="20"/>
                <w:color w:val="auto"/>
              </w:rPr>
            </w:pPr>
            <w:r>
              <w:rPr>
                <w:rFonts w:ascii="Arial" w:cs="Arial" w:eastAsia="Arial" w:hAnsi="Arial"/>
                <w:sz w:val="18"/>
                <w:szCs w:val="18"/>
                <w:color w:val="auto"/>
              </w:rPr>
              <w:t>Lease cost</w:t>
            </w: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3/31/2021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3/31/2020</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560" w:type="dxa"/>
            <w:vAlign w:val="bottom"/>
            <w:tcBorders>
              <w:bottom w:val="single" w:sz="8" w:color="EEEEEE"/>
            </w:tcBorders>
          </w:tcPr>
          <w:p>
            <w:pPr>
              <w:spacing w:after="0"/>
              <w:rPr>
                <w:sz w:val="2"/>
                <w:szCs w:val="2"/>
                <w:color w:val="auto"/>
              </w:rPr>
            </w:pPr>
          </w:p>
        </w:tc>
        <w:tc>
          <w:tcPr>
            <w:tcW w:w="634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76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Operating lease cost (included in G&amp;A in the Company's statement of operations)</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559,606</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275,859</w:t>
            </w:r>
          </w:p>
        </w:tc>
        <w:tc>
          <w:tcPr>
            <w:tcW w:w="100" w:type="dxa"/>
            <w:vAlign w:val="bottom"/>
            <w:shd w:val="clear" w:color="auto" w:fill="EEEEEE"/>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320" w:type="dxa"/>
            <w:vAlign w:val="bottom"/>
            <w:tcBorders>
              <w:bottom w:val="single" w:sz="8" w:color="auto"/>
            </w:tcBorders>
            <w:gridSpan w:val="2"/>
            <w:shd w:val="clear" w:color="auto" w:fill="EEEEEE"/>
          </w:tcPr>
          <w:p>
            <w:pPr>
              <w:spacing w:after="0" w:line="176" w:lineRule="exact"/>
              <w:rPr>
                <w:sz w:val="20"/>
                <w:szCs w:val="20"/>
                <w:color w:val="auto"/>
              </w:rPr>
            </w:pPr>
            <w:r>
              <w:rPr>
                <w:rFonts w:ascii="Arial" w:cs="Arial" w:eastAsia="Arial" w:hAnsi="Arial"/>
                <w:sz w:val="18"/>
                <w:szCs w:val="18"/>
                <w:color w:val="auto"/>
                <w:w w:val="93"/>
              </w:rPr>
              <w:t>Other information</w:t>
            </w:r>
          </w:p>
        </w:tc>
        <w:tc>
          <w:tcPr>
            <w:tcW w:w="634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473,285</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275,859</w:t>
            </w:r>
          </w:p>
        </w:tc>
      </w:tr>
      <w:tr>
        <w:trPr>
          <w:trHeight w:val="216"/>
        </w:trPr>
        <w:tc>
          <w:tcPr>
            <w:tcW w:w="76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Remaining term in years</w:t>
            </w: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0.75</w:t>
            </w:r>
          </w:p>
        </w:tc>
      </w:tr>
      <w:tr>
        <w:trPr>
          <w:trHeight w:val="230"/>
        </w:trPr>
        <w:tc>
          <w:tcPr>
            <w:tcW w:w="7660" w:type="dxa"/>
            <w:vAlign w:val="bottom"/>
            <w:gridSpan w:val="3"/>
          </w:tcPr>
          <w:p>
            <w:pPr>
              <w:spacing w:after="0"/>
              <w:rPr>
                <w:sz w:val="20"/>
                <w:szCs w:val="20"/>
                <w:color w:val="auto"/>
              </w:rPr>
            </w:pPr>
            <w:r>
              <w:rPr>
                <w:rFonts w:ascii="Arial" w:cs="Arial" w:eastAsia="Arial" w:hAnsi="Arial"/>
                <w:sz w:val="18"/>
                <w:szCs w:val="18"/>
                <w:color w:val="auto"/>
              </w:rPr>
              <w:t>Average discount rate - operating leases</w:t>
            </w:r>
          </w:p>
        </w:tc>
        <w:tc>
          <w:tcPr>
            <w:tcW w:w="2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balance sheet information related to leases for the period is as follows:</w:t>
      </w:r>
    </w:p>
    <w:p>
      <w:pPr>
        <w:sectPr>
          <w:pgSz w:w="11900" w:h="16838" w:orient="portrait"/>
          <w:cols w:equalWidth="0" w:num="1">
            <w:col w:w="11240"/>
          </w:cols>
          <w:pgMar w:left="320" w:top="800"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April 1, 2021 to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 value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3/31/2021</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6/30/2020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1,987,363</w:t>
            </w:r>
          </w:p>
        </w:tc>
        <w:tc>
          <w:tcPr>
            <w:tcW w:w="3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262,875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715,083</w:t>
            </w:r>
          </w:p>
        </w:tc>
        <w:tc>
          <w:tcPr>
            <w:tcW w:w="2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262,875</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1,358,601</w:t>
            </w:r>
          </w:p>
        </w:tc>
        <w:tc>
          <w:tcPr>
            <w:tcW w:w="26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2,073,684</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262,875</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Operating</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w w:val="85"/>
              </w:rPr>
              <w:t>Lease</w:t>
            </w:r>
          </w:p>
        </w:tc>
      </w:tr>
      <w:tr>
        <w:trPr>
          <w:trHeight w:val="224"/>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209,762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847,845</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859,881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371,639</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(215,443)</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2,073,684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940" w:space="720"/>
            <w:col w:w="3580"/>
          </w:cols>
          <w:pgMar w:left="320" w:top="800" w:right="339" w:bottom="1440" w:gutter="0" w:footer="0" w:header="0"/>
          <w:type w:val="continuous"/>
        </w:sectPr>
      </w:pPr>
    </w:p>
    <w:p>
      <w:pPr>
        <w:spacing w:after="0" w:line="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as disclosed in Note 17 below, the Company is not currently a party to any material legal proceedings, investigation or claims. However, the Company may, from time to time, be involved in legal matters arising in the ordinary course of its business. While the Company is not presently subject to any material legal proceedings,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will have on the Company’s business.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Conversion of Class B Common Stock and Reclassification of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April 14, 2021, the Company amended its Articles of Incorporation to allow conversion of its Class B Common Stock at any time after issuance. On the same date, the Class B Common stockholders, Chenlong Tan and Allan Huang, elected to convert all their 14,000,000 outstanding shares of the Company’s Class B Common Stock into 1,400,000 shares of Class A Common Stock. On April 23, 2021, the Company amended and restated its articles of incorporation to eliminate the Class A and Class B Common Stock designations and authorize for issuance a total of 180,000,000 shares which are solely designated as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of Agreement with Boustead Securities LLC</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14, 2020, the Company closed its initial public offering (“IPO”) under a registration statement effective May 11, 2021, in which it issued and sold 3,360,000 shares of its Common Stock at a purchase price of $5.00 per share. On May 21, 2021, the Company closed on the IPO’s overallotment option, selling an additional 504,000 shares of Common Stock to the IPO’s underwriters at the public offering price of $5.00 per share. The Company received net proceeds of approximately $16.5 million from the IPO after deducting underwriting discounts and offering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Conversion of Preferred Stock and Convertible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the Company closed on an Offering of $16.8 million in gross proceeds, following which time the Series A convertible preferred stock and Convertible Notes converted into an aggregate of 955,716 shares of the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of Placement Agent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the Company issued 24,451 shares of Common Stock upon cashless exercise of warrants held by Boustead Securities LLC, the placement agent for the Company’s private offerings completed in December 2020 and January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Variable Interest Entities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18, 2021, the Company entered into equity purchase agreements (“Equity Purchase Agreements”) with the shareholders of each of our variable interest entities, E Marketing Solution Inc. (“E Marketing”) and Global Product Marketing Inc. (“GPM”), pursuant to which we acquired 100% of the equity interests of each of E Marketing and GPM. The Company paid nominal consideration of $10.00 for the acquisition of each of E Marketing and GPM, entities that were 100% owned, respectively, by our long-time shareholder, Shanshan Huang, and our President, Chief Executive Officer and Chairman, Chenlong Tan.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our financial statements and the related notes thereto included elsewhere herein. The Management’s Discussion and Analysis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form. Our actual results and the timing of events could differ materially from those anticipated in these forward-looking statements as a result of several factors.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iPower Inc. is an online hydroponic equipment supplier based in the United States. Through the operations of our e-commerce platform, www.Zenhydro.com, and our combined 72,000 square foot fulfillment centers in Los Angeles, California, we believe we are one of the leading marketers, distributors and retailers of grow-light systems, ventilation systems, activated carbon filters, nutrients, growing media, hydroponic water-resistant grow tents, trimming machines, pumps and accessories for hydroponic gardening,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are actively developing and acquiring our in-house branded products, which to date include the </w:t>
      </w:r>
      <w:r>
        <w:rPr>
          <w:rFonts w:ascii="Arial" w:cs="Arial" w:eastAsia="Arial" w:hAnsi="Arial"/>
          <w:sz w:val="17"/>
          <w:szCs w:val="17"/>
          <w:b w:val="1"/>
          <w:bCs w:val="1"/>
          <w:i w:val="1"/>
          <w:iCs w:val="1"/>
          <w:color w:val="auto"/>
        </w:rPr>
        <w:t>iPower</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Simple Deluxe</w:t>
      </w:r>
      <w:r>
        <w:rPr>
          <w:rFonts w:ascii="Arial" w:cs="Arial" w:eastAsia="Arial" w:hAnsi="Arial"/>
          <w:sz w:val="17"/>
          <w:szCs w:val="17"/>
          <w:color w:val="auto"/>
        </w:rPr>
        <w:t xml:space="preserve"> brands and consist of more than 2,600 SKUs of products such as grow-light systems, ventilation systems, activated carbon filters, nutrients, growing media, hydroponic water-resistant grow tents, trimming machines, pumps and many more hydroponic-related items; some of which have been designated as Amazon best seller product leaders, among others. For the second half of 2020, our top five product segments consisted of nutrients (17% of total sales), ventilation systems (16% of sales), grow light systems (9% of sales), air filtration devices (8% of sales) and gardening equipment (5% of sales). While we will continue focusing on our top products, we are working to expand its product line to include nutrients.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Brand Development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plan to increase investments in product and brand development. We actively evaluate and pursue acquisitions of product brand names and improvements on existing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Outbreak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continuing to closely monitor the impact of the COVID-19 outbreak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that the outbreak continues, the impact on consumer activity and behaviors and the effect on our customers, employees, suppliers, and stockholders, all of which are uncertain and cannot be predicted. Our focus remains on promoting the health, safety and financial security of our employees and serving our customers. As a result, we have taken a number of precautionary measures, including implementing social distancing and enhanced cleaning measures in our facilities, suspending all non-essential travel, transitioning certain of our employees to working-from-home arrangements, reimbursing certain employee technology purchases, providing emergency paid time off and targeted hourly pay increases and developing no contact delivery methods.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648"/>
        <w:spacing w:after="0" w:line="296" w:lineRule="auto"/>
        <w:rPr>
          <w:sz w:val="20"/>
          <w:szCs w:val="20"/>
          <w:color w:val="auto"/>
        </w:rPr>
      </w:pPr>
      <w:r>
        <w:rPr>
          <w:rFonts w:ascii="Arial" w:cs="Arial" w:eastAsia="Arial" w:hAnsi="Arial"/>
          <w:sz w:val="16"/>
          <w:szCs w:val="16"/>
          <w:color w:val="auto"/>
        </w:rPr>
        <w:t>In an effort to contain or slow the COVID-19 outbreak, authorities across the world have implemented various measures, some of which have been subsequently rescinded or modified, including travel bans, stay-at-home orders and shutdowns of certain businesses. We anticipate that these actions and the global health crisis caused by the COVID-19 outbreak, including any resurgences, will continue to negatively impact global economic activity.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short term, we have continued to see increased sales and order activity in the market since the COVID-19 outbreak. In order to keep up with the increased orders, we have hired and are continuing to hire additional personnel. However, much is unknown and accordingly the situation remains dynamic and subject to rapid and possibly material change.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Environment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March 31, 2021 and 2020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certain unaudited condensed consolidated and combined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Nine Months</w:t>
            </w: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Nine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March 31, 2021</w:t>
            </w: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March 31, 2020</w:t>
            </w: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0"/>
        </w:trPr>
        <w:tc>
          <w:tcPr>
            <w:tcW w:w="44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2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39,348,154</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25,278,339</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goods sold</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23,073,000</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16,710,953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r>
      <w:tr>
        <w:trPr>
          <w:trHeight w:val="210"/>
        </w:trPr>
        <w:tc>
          <w:tcPr>
            <w:tcW w:w="44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2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16,275,154</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8,567,386</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13,556,941</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7,422,996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2,718,213</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1,144,390</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137.5%</w:t>
            </w:r>
          </w:p>
        </w:tc>
      </w:tr>
      <w:tr>
        <w:trPr>
          <w:trHeight w:val="210"/>
        </w:trPr>
        <w:tc>
          <w:tcPr>
            <w:tcW w:w="44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224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(826,877)</w:t>
            </w:r>
          </w:p>
        </w:tc>
        <w:tc>
          <w:tcPr>
            <w:tcW w:w="22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(35,406)</w:t>
            </w:r>
          </w:p>
        </w:tc>
        <w:tc>
          <w:tcPr>
            <w:tcW w:w="220" w:type="dxa"/>
            <w:vAlign w:val="bottom"/>
            <w:tcBorders>
              <w:bottom w:val="single" w:sz="8" w:color="EEEEEE"/>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2,235.4%</w:t>
            </w:r>
          </w:p>
        </w:tc>
        <w:tc>
          <w:tcPr>
            <w:tcW w:w="100" w:type="dxa"/>
            <w:vAlign w:val="bottom"/>
            <w:tcBorders>
              <w:bottom w:val="single" w:sz="8" w:color="EEEEEE"/>
            </w:tcBorders>
          </w:tcPr>
          <w:p>
            <w:pPr>
              <w:spacing w:after="0"/>
              <w:rPr>
                <w:sz w:val="18"/>
                <w:szCs w:val="18"/>
                <w:color w:val="auto"/>
              </w:rPr>
            </w:pPr>
          </w:p>
        </w:tc>
      </w:tr>
      <w:tr>
        <w:trPr>
          <w:trHeight w:val="209"/>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1,891,336</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1,108,984</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EEEEEE"/>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Income tax expenses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760,687</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311,038</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r>
      <w:tr>
        <w:trPr>
          <w:trHeight w:val="250"/>
        </w:trPr>
        <w:tc>
          <w:tcPr>
            <w:tcW w:w="44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2240" w:type="dxa"/>
            <w:vAlign w:val="bottom"/>
            <w:tcBorders>
              <w:top w:val="single" w:sz="8" w:color="EEEEEE"/>
              <w:bottom w:val="single" w:sz="8" w:color="EEEEEE"/>
            </w:tcBorders>
            <w:shd w:val="clear" w:color="auto" w:fill="EEEEEE"/>
          </w:tcPr>
          <w:p>
            <w:pPr>
              <w:spacing w:after="0"/>
              <w:rPr>
                <w:sz w:val="21"/>
                <w:szCs w:val="21"/>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1,130,649</w:t>
            </w:r>
          </w:p>
        </w:tc>
        <w:tc>
          <w:tcPr>
            <w:tcW w:w="220" w:type="dxa"/>
            <w:vAlign w:val="bottom"/>
            <w:tcBorders>
              <w:top w:val="single" w:sz="8" w:color="EEEEEE"/>
              <w:bottom w:val="single" w:sz="8" w:color="EEEEEE"/>
            </w:tcBorders>
            <w:shd w:val="clear" w:color="auto" w:fill="EEEEEE"/>
          </w:tcPr>
          <w:p>
            <w:pPr>
              <w:spacing w:after="0"/>
              <w:rPr>
                <w:sz w:val="21"/>
                <w:szCs w:val="21"/>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797,946</w:t>
            </w:r>
          </w:p>
        </w:tc>
        <w:tc>
          <w:tcPr>
            <w:tcW w:w="220" w:type="dxa"/>
            <w:vAlign w:val="bottom"/>
            <w:tcBorders>
              <w:top w:val="single" w:sz="8" w:color="EEEEEE"/>
              <w:bottom w:val="single" w:sz="8" w:color="EEEEEE"/>
            </w:tcBorders>
            <w:shd w:val="clear" w:color="auto" w:fill="EEEEEE"/>
          </w:tcPr>
          <w:p>
            <w:pPr>
              <w:spacing w:after="0"/>
              <w:rPr>
                <w:sz w:val="21"/>
                <w:szCs w:val="21"/>
                <w:color w:val="auto"/>
              </w:rPr>
            </w:pPr>
          </w:p>
        </w:tc>
        <w:tc>
          <w:tcPr>
            <w:tcW w:w="134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EEEEEE"/>
              <w:bottom w:val="single" w:sz="8" w:color="EEEEEE"/>
            </w:tcBorders>
            <w:shd w:val="clear" w:color="auto" w:fill="EEEEEE"/>
          </w:tcPr>
          <w:p>
            <w:pPr>
              <w:spacing w:after="0"/>
              <w:rPr>
                <w:sz w:val="21"/>
                <w:szCs w:val="21"/>
                <w:color w:val="auto"/>
              </w:rPr>
            </w:pPr>
          </w:p>
        </w:tc>
      </w:tr>
      <w:tr>
        <w:trPr>
          <w:trHeight w:val="196"/>
        </w:trPr>
        <w:tc>
          <w:tcPr>
            <w:tcW w:w="4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33.9%</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0"/>
        </w:trPr>
        <w:tc>
          <w:tcPr>
            <w:tcW w:w="44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income % of revenues</w:t>
            </w:r>
          </w:p>
        </w:tc>
        <w:tc>
          <w:tcPr>
            <w:tcW w:w="224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210"/>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Net income % of revenues</w:t>
            </w:r>
          </w:p>
        </w:tc>
        <w:tc>
          <w:tcPr>
            <w:tcW w:w="2240" w:type="dxa"/>
            <w:vAlign w:val="bottom"/>
            <w:shd w:val="clear" w:color="auto" w:fill="EEEEEE"/>
          </w:tcPr>
          <w:p>
            <w:pPr>
              <w:spacing w:after="0"/>
              <w:rPr>
                <w:sz w:val="18"/>
                <w:szCs w:val="18"/>
                <w:color w:val="auto"/>
              </w:rPr>
            </w:pPr>
          </w:p>
        </w:tc>
        <w:tc>
          <w:tcPr>
            <w:tcW w:w="1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EEEEE"/>
          </w:tcPr>
          <w:p>
            <w:pPr>
              <w:spacing w:after="0"/>
              <w:rPr>
                <w:sz w:val="18"/>
                <w:szCs w:val="18"/>
                <w:color w:val="auto"/>
              </w:rPr>
            </w:pPr>
          </w:p>
        </w:tc>
        <w:tc>
          <w:tcPr>
            <w:tcW w:w="140" w:type="dxa"/>
            <w:vAlign w:val="bottom"/>
            <w:tcBorders>
              <w:bottom w:val="single" w:sz="8" w:color="auto"/>
            </w:tcBorders>
            <w:shd w:val="clear" w:color="auto" w:fill="EEEEEE"/>
          </w:tcPr>
          <w:p>
            <w:pPr>
              <w:spacing w:after="0"/>
              <w:rPr>
                <w:sz w:val="18"/>
                <w:szCs w:val="18"/>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965"/>
        </w:trPr>
        <w:tc>
          <w:tcPr>
            <w:tcW w:w="44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Revenues for the nine months ended March 31, 2021 increased 55.7% to $39,348,154 as compared to $25,278,339 for the nine months ended March 31, 2020. While pricing remained stable, the increased revenue mainly resulted from an increase in sales volume. In addition to our organic growth, which we achieved as a result of improved products and more effective online marketing and merchandising efforts, the increase in sales was attributable to more people shopping online and pursuing gardening and growing projects during the COVID-19 pandemic. However, we cannot assure that this trend will continue, and our business may be adversely affected by poor overall economic conditions caused by the ongoing COVID-19 pandemic.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Costs of goods sold for the nine months ended March 31, 2021 increased 38.1% to $23,073,000 compared to $16,710,953 for the nine months ended March 31, 2020. The increase was due to an increase in sales as discussed above. In addition, we experienced a decrease of cost of goods sold as a percentage of revenue as a result of selling more products under in-house brands as opposed to third party brands. See discussions on gross profit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was $16,275,154 for the nine months ended March 31, 2021 as compared to $8,567,386 for the nine months ended March 31, 2020. The gross profit ratio also increased to 41.4% for the nine months ended March 31, 2021 from 33.9% for the nine months ended March 31, 2020. The increase was due to a combination of an increase in sales as discussed above and a decrease of cost of goods sold resulting from selling more products under in-house brands as opposed to third party brands. The gross margin for in-house branded products is, on average, 20% higher than our gross margin for third party brands.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for the nine months ended March 31, 2021 increased 82.6% to $13,556,941 as compared to $7,422,996 for the nine months ended March 31, 2020. The increase was mainly due to an increase in selling expenses of $2,962,190 and G&amp;A expenses of $3,171,755, which included payroll expenses and other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from Operations was $2,718,213 for the nine months ended March 31, 2021 as compared to $1,144,390 for the nine ended March 31, 2020. The Income from Operations ratio also increased to 6.9 % for the nine months ended March 31, 2021 from 4.5% for the nine months ended March 31, 2020. The increase was due to a combination of an increase in sales as discussed above and a decrease of cost of goods sold resulting from selling more in house branded products as opposed to third party brands.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(expenses) consists of interest expense, financing fees and other non-operating income (expenses). Other expenses for the nine months ended March 31, 2021 was $(826,877) as compared to $(35,406) for the nine months ended March 31, 2020. The increase in other expenses was mainly due to an increase in interest expenses of $66,137, financing fees of $98,139, amortization of debt discount of $463,380, and change in fair value of conversion feature and warrant liabilities of $334,564 resulted from issuance of our Series A Convertible Preferred Stock, convertible notes and warrants during the period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income for the nine months ended March 31, 2021 was $1,130,649 as compared to net income of $797,946 for the nine months ended March 31, 2020, representing an increase of $332,703. While the operating income % of revenues was increased to 6.9% in the nine months ended March 31, 2021 comparing to 4.5% for the same period in 2020, the decrease in net income % of revenue from 3.2% for the nine months ended March 31, 2020 to 2.9% for the nine months ended March 31, 2021 was primarily due to the increase in non-operating expense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March 31, 2021 and 2020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certain unaudited condensed consolidated and combined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Three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60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2"/>
              </w:rPr>
              <w:t>March 31, 2021</w:t>
            </w:r>
          </w:p>
        </w:tc>
        <w:tc>
          <w:tcPr>
            <w:tcW w:w="15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March 31, 2020</w:t>
            </w: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0"/>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13,133,902</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9,772,108</w:t>
            </w: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7,369,127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6,612,596</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5,764,775</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3,159,512</w:t>
            </w: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4,976,041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2,819,327</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788,734</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340,185</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131.9%</w:t>
            </w:r>
          </w:p>
        </w:tc>
      </w:tr>
      <w:tr>
        <w:trPr>
          <w:trHeight w:val="209"/>
        </w:trPr>
        <w:tc>
          <w:tcPr>
            <w:tcW w:w="66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(757,744)</w:t>
            </w:r>
          </w:p>
        </w:tc>
        <w:tc>
          <w:tcPr>
            <w:tcW w:w="2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(33,376)</w:t>
            </w:r>
          </w:p>
        </w:tc>
        <w:tc>
          <w:tcPr>
            <w:tcW w:w="220" w:type="dxa"/>
            <w:vAlign w:val="bottom"/>
            <w:tcBorders>
              <w:bottom w:val="single" w:sz="8" w:color="EEEEEE"/>
            </w:tcBorders>
            <w:gridSpan w:val="2"/>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2,170.3%</w:t>
            </w:r>
          </w:p>
        </w:tc>
        <w:tc>
          <w:tcPr>
            <w:tcW w:w="100" w:type="dxa"/>
            <w:vAlign w:val="bottom"/>
            <w:tcBorders>
              <w:bottom w:val="single" w:sz="8" w:color="EEEEEE"/>
            </w:tcBorders>
          </w:tcPr>
          <w:p>
            <w:pPr>
              <w:spacing w:after="0"/>
              <w:rPr>
                <w:sz w:val="18"/>
                <w:szCs w:val="18"/>
                <w:color w:val="auto"/>
              </w:rPr>
            </w:pPr>
          </w:p>
        </w:tc>
      </w:tr>
      <w:tr>
        <w:trPr>
          <w:trHeight w:val="209"/>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30,990</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306,809</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Income tax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237,813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86,085</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(206,823)</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220,724</w:t>
            </w: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Gross profit % of revenues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EEEEEE"/>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209"/>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 % of revenues</w:t>
            </w:r>
          </w:p>
        </w:tc>
        <w:tc>
          <w:tcPr>
            <w:tcW w:w="120" w:type="dxa"/>
            <w:vAlign w:val="bottom"/>
            <w:tcBorders>
              <w:bottom w:val="single" w:sz="8" w:color="auto"/>
            </w:tcBorders>
            <w:shd w:val="clear" w:color="auto" w:fill="EEEEEE"/>
          </w:tcPr>
          <w:p>
            <w:pPr>
              <w:spacing w:after="0"/>
              <w:rPr>
                <w:sz w:val="18"/>
                <w:szCs w:val="18"/>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EEEEEE"/>
          </w:tcPr>
          <w:p>
            <w:pPr>
              <w:spacing w:after="0"/>
              <w:rPr>
                <w:sz w:val="18"/>
                <w:szCs w:val="18"/>
                <w:color w:val="auto"/>
              </w:rPr>
            </w:pPr>
          </w:p>
        </w:tc>
        <w:tc>
          <w:tcPr>
            <w:tcW w:w="10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Net (loss) income % of revenues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800" w:right="339" w:bottom="19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Revenues for the three months ended March 31, 2021 increased 34.4% to $13,133,902 as compared to $9,772,108 for the three months ended March 31, 2020. While pricing remained stable, the increased revenue mainly resulted from an increase in sales volume. In addition to our organic growth, which we achieved as a result of improved products and more effective online marketing and merchandising efforts, the increase in sales was attributable to more people shopping online and pursuing gardening and growing projects during the COVID-19 pandemic. However, we cannot assure that this trend will continue, and our business may be adversely affected by poor overall economic conditions caused by the ongoing COVID-19 pandemic.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Costs of goods sold for the three months ended March 31, 2021 increased 11.4% to $7,369,127 as compared to $6,612,596 for the three months ended March 31, 2020. The increase was due to an increase in sales as discussed above. In addition, we experienced a decrease of cost of goods sold as a percentage of revenue as a result of selling more products under in-house brands as opposed to third party brands. See discussions on gross profit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was $5,764,775 for the three months ended March 31, 2020 as compared to $3,159,512 for the three months ended March 31, 2020. The gross profit ratio also increased to 43.9 % for the three months ended March 31, 2021 from 32.3% for the three months ended March 31, 2020. The increase was due to a combination of an increase in sales as discussed above and a decrease of cost of goods sold resulting from selling more in house branded products as opposed to third party brands. The gross margin for in-house branded products is, on average, approximately 20% higher than the gross margin for third party brands.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for the three months ended March 31, 2021 increased 76.5% to $4,976,041 as compared to $2,819,327 for the three months ended March 31, 2020. The increase was mainly due to an increase in selling expenses of 735,248 and general and administrative expenses of $1,421,466, which included payroll expenses and other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from Operations was $788,734 for the three months ended March 31, 2021 as compared to $340,185 for the three months ended March 31, 2020. The Income from Operations ratio also increased to 6.0% for the three months ended March 31, 2021 from 3.5% for the three months ended March 31, 2020. The increase was due to a combination of an increase in sales as discussed above and a decrease of cost of goods sold resulting from selling more in house branded products as opposed to third party brands.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(expenses) consists of interest expense, financing fees and other non-operating income (expenses). Other expenses for the three months ended March 31, 2021 was $(757,744) as compared to $(33,376) for the three months ended March 31, 2020. The increase in other expenses was mainly due to an increase in interest expenses of $33,896, financing fees of 60,692, amortization of debt discount of $463,380, and change in fair value of conversion feature and warrant liabilities of $334,564 resulting from the issuance of our Series A Convertible Preferred Stock, convertible notes and warrants during the period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loss for the three months ended March 31, 2021 was ($206,823) as compared to net income of $220,724 for the three months ended March 31, 2020, representing a decrease of $427,547. While the operating income as a percent of revenues increased to 6.0% in the nine months ended March 31, 2021 as compared to 3.5% for the same period in 2020, the decrease in net income as a percent of revenue decreased from 2.3% for the nine months ended March 31, 2020 to (1.6%) for the nine months ended March 31, 2021 primarily due to the increase in non-operating expense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nine months ended March 31, 2021 we primarily funded our operations with cash and cash equivalents generated from operations, as well as through borrowing under our credit facility and the issuance of convertible preferred stock and convertible notes. We had cash and cash equivalents of $474,322 as of March 31, 2021, representing a $503,313 decrease from $977,635 of cash as of June 30, 2020. The cash decrease was primarily the result of the decrease in net cash provided by operating activities. During the nine months ended March 31, 2021, we increased our purchase of products in order to maintain the higher inventory level required to meet our increasing sales. Based on our current operating plan, and despite the current uncertainty resulting from the ongoing COVID-19 pandemic, we believe that our existing cash and cash equivalents, cash flows from operations and available funds under our credit facility will be sufficient to finance our operations through at least the next twelve months.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30, 2020, we closed on a private placement offering pursuant to which we sold to three accredited investors an aggregate of $345,000 in Series A convertible preferred stock, at a purchase price of $10.00 per share, which stock will convert into Class A Common Stock upon completion of our initial public offering (the “IPO”) at a discount of 30% to the IPO per share purchase price. The Series A convertible preferred stock offering was completed pursuant to an exemption from registration under Rule 506(b) of the Securities Act of 1933, as amended.</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January 27, 2021, we completed a private placement offering pursuant to which we sold to two accredited investors an aggregate of $3,000,000 of our 6% convertible notes due six months from the date of issuance, subject to extension as provided below (the “Convertible Notes”). Upon completion of our IPO, assuming we sell not less than $15,000,000 of our Class A Common Stock, the Convertible Notes will automatically convert into shares of Class A Common Stock at a conversion price equal to the lesser of (a) $3.5 per share, representing a 30% discount to the public offering price per share of the Class A Common Stock in this offering, or (b) $6.31 per share, representing a 30% discount to the price per share equal to dividing $200 million by the total number of (x) the 21,604,496 outstanding shares of Class A Common Stock immediately prior to the IPO, (y) the shares of Class A Common Stock issuable upon conversion of the 34,500 shares of Series A Preferred Stock, and (z) the shares of Class A Common Stock issuable upon conversion of all outstanding Convertible Notes. Boustead Securities LLC acted as placement agent in both the December 30, 2020 and the January 27, 2021 private placements.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the Company does not receive a minimum of $15,000,000 of gross proceeds in the IPO or otherwise close on the IPO, the Convertible Notes will bear interest at a rate of 6% per annum which shall accrue from January 27, 2021 and be repayable in six equal monthly installments between July 27, 2021 and January 27, 2022. Alternatively, the Convertible Notes may be converted at the conversion price into Class A Common Stock at the option of the holder prior to the maturity date. If the notes are converted, either on a Mandatory Conversion basis or at the option of the holder, any interest accrued on the Convertible Note shall be waived.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Convertible Notes, the purchasers of the Convertible Notes received three-year warrants entitling the holders to purchase 685,714 shares of Class A Common Stock which equals 80% of the number of shares of Class A Common Stock issuable upon conversion of the Convertible Notes. In the event the Convertible Notes are repaid in cash by the Company, the warrants will expire and have no further value.</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completion of our IPO, on April 14, 2021, we amended and restated our articles of incorporation to eliminate the Class A Common Stock and Class B Common Stock designations. And on May 14, 2020, the Company closed its IPO under a registration statement, effective May 11, 2021, in which we issued and sold 3,360,000 shares of Common Stock at a purchase price of $5.00 per share. On May 21, 2021, the Company closed on the IPO’s overallotment option, selling an additional 504,000 shares of Common Stock to the IPO’s underwriters at the public offering price of $5.00 per share. The Company received net proceeds of approximately $16.5 million from the IPO after deducting underwriting discounts and offering expenses.</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Following completion of the IPO, on May 14, 2021, the Series A convertible preferred stock and Convertible Notes were converted into an aggregate of 955,716 shares of the Common Stock. The Company also issued 24,451 shares of Common Stock upon the cashless exercise of warrants held by Boustead Securities LLC, the placement agent of the Company’s private placement offerings completed in December 2020 and January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March 31, 2021 and June 30, 2020, our working capital was $4,611,174 and $3,161,389, respectively. The historical seasonality in our business during the year can cause cash and cash equivalents, inventory and accounts payable to fluctuate, resulting in changes in our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 provided by operating activities for the nine months ended March 31, 2021 and March 31, 2020 was ($ 4,786,077) and $775,907, respectively. The increase in use of cash in operating activities resulted from an increased purchase of products in order to maintain the higher inventory levels required to meet our increasing sales volumes.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nine months ended March 31, 2021 and March 31, 2020, net cash used in investing activities was the result of additions to property and equipment of ($61,498) and ($6,252), respectively, which were mainly related to the purchase of warehouse fixtures and office equipment.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 (used in) financing activities was $4,344,262 and ($363,957), respectively, for the nine months ended March 31, 2021 and March 31, 2020. The main reason for the increase in net cash provided was primarily a result of proceeds from our revolving facility with WFC and the closing of our private placement of an aggregate of $345,000 in Series A convertible preferred stock and a $3,000,000 note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2019 Share Exchange Agreement and Rescission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2019, we entered into a share exchange agreement (the “Share Exchange Agreement”) with Sugarmade, Inc., a Delaware corporation (“Sugarmade”), pursuant to which, among other things, the Company and its stockholders agreed to sell 100% of the issued and outstanding capital stock of the Company to Sugarmade in exchange for $870,000 in cash, $7,130,000 under a promissory note, up to 650,000 shares of Sugarmade’s common stock, and up to 3,500,000 shares of Sugarmade’s Series B preferred 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certain disputes that arose between the parties with respect to certain terms and conditions contained in the Share Exchange Agreement, the parties entered into a Rescission and Mutual Release Agreement on January 15, 2020 (the “Rescission Agreement”). Pursuant to the terms of the Rescission Agreement, the Company and its stockholders returned the shares of Sugarmade common stock and preferred stock and issued to Sugarmade 102,248 (204,496 post forward split) shares of the Company’s common stock valued at $427,010.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prepare our consolidated and combined financial statements in accordance with accounting principles generally accepted in the United States, or GAAP and pursuant to the rules and regulations of the Securities Exchange Commission (“SEC”). The preparation of consolidated and combined financial statements in conformity with GAAP requires management to make estimates and assumptions that affect the amounts reported in the consolidated and combined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and combined financial statements, we believe that the following accounting policies are critical to the process of making significant judgments and estimates in the preparation of our audited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Variable interest entity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entered into an agreement with E Marketing Solution Inc. (“E Marketing”), an entity incorporated in California and owned by Shanshan Huang, one of the shareholders of the Company. The Company also entered into an agreement with Global Product Marketing Inc. (“GPM”), an entity incorporated in the State of Nevada on September 4, 2020. GPM is owned by Chenlong Tan, the Chairman, CEO, President and one of the majority shareholders of the Company. The Company does not have direct ownership in E Marketing and GPM but has been actively involved in their operations and has the power to direct the activities and significantly impact E Marketing’s and GPM’s economic performance. The Company also bears all the risk of losses and has the right to receive all of the benefits from E Marketing and GPM. As such, in accordance with ASC 810-10-25-38A through 25-38J, E Marketing and GPM are considered variable interest entities (“VIEs”) of the Company and the financial statements of E Marketing and GPM were consolidated from the date of control existed.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Promptly following completion of our IPO, Messrs. Huang and Tan have agreed to convey for nominal consideration 100% of the equity of both E Marketing and GPM to the Company, at which time E Marketing and GPM will become wholly-owned subsidiaries of iPower.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Payments received prior to the shipment of goods to customers are recorded as customer deposits.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 costs and reflected in selling, general and administrative expenses. The Company regularly reviews inventory and considers forecasts of future demand, market conditions and product obsolescence.</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its inception date, April 11, 2018, the Company adopted ASC 842 – Leases (“ASC 842”), which requires lessees to record right-of-use, or ROU, assets and related lease obligations on the balance sheet, as well as disclose key information regarding leasing arrangements.</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and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with a 6% interest per annum (“Convertible Notes”) and warrants to purchase shares of Class A Common Stock equaling 80% of the number of shares of Class A Common Stock issuable upon conversion of the Convertible Notes. The warrants shall be exercisable for a period of three years from the IPO completion date at a per share exercise price equal to the IPO. The Convertible Notes shall be automatically converted into the Company’s Class A Common Stock upon a qualified IPO or repayable in cash at the option of the holders of the Convertible Notes with repayment to commence six months after January 27, 2021. The Convertible Notes convert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In the event the Company does not receive a minimum of $15,000,000 of gross proceeds in the Offering or otherwise close on the Offering, the Convertible Notes will bear interest at a rate of 6% per annum which shall accrue from January 27, 2021 and be repayable in six equal monthly installments between July 27, 2021 and January 27, 2022. Alternatively, the Convertible Notes may be converted at the conversion price into Common Stock at the option of the holder prior to the maturity date (the “Conversion Option”). If the notes are converted, either on a Mandatory Conversion basis or at the option of the holder, any interest accrued on the Convertible Note shall be waived.</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shall be exercisable for a period of five years from the issuance date and are treated as a debt issuance cost.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conversion feature included in the terms of the convertible notes and the warrants creates an obligation to the Company requiring it to repay the notes for cash in January 2022, if an IPO does not occur. Upon an IPO, the Conversion Option is settleable with a variable number of the Company’s shares resulting in a fixed monetary amount known at inception in accordance with ASC 480-10-25-14a. As such, the conversion feature was determined to be a derivative liability, which represent an embedded derivative predominately based on fixed monetary amount. The convertible note warrants and placement agent warrants were determined to be derivative liabilities, which represent free-standing derivative instruments. The Company measured the derivative liabilities at fair value at the issuance date of the convertible notes, convertible note warrants and placement agent warrants based on a Modified Black Scholes option-pricing model. The derivative liabilities were recorded with a corresponding debit to debt discount that will be amortized over the life of the notes using effective interest rate method. At time of issuance, the convertible notes and warrant liabilities were recorded on the balance sheet as liabilities. Debt issuance costs are allocated to derivative liabilities based on its fair value at issuance to total proceeds received. Debt issuance costs associated with warrant liabilities are expensed immediately and the debt issuance cost associated with the debt host are amortized over the life of the notes.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30, 2020, the Company issued a total of 34,500 shares of Series A Convertible Preferred Stock, par value $0.001 per share. Pursuant to the certificate of designations, the Series A Convertible Preferred Stock will automatically convert into shares of the Class A Common Stock (the “Conversion Shares”) at a conversion price equal to 70% of the initial price per share of the Class A Common Stock. If the IPO shall not have occurred by December 31, 2021, the Company shall redeem and repurchase for cash all of the outstanding shares of Series A Convertible Preferred Stock for a purchase price equal to (a) the product of multiplying the $10.00 Stated Value of each outstanding share of Series A Convertible Preferred Stock by the total number of outstanding shares of Series A Convertible Preferred Stock, plus (b) all accrued and unpaid Dividends at 9% per annum. In the event that the Series A Convertible Preferred Stock shall be converted into Conversion Shares, no Dividend shall accrue or be payable.</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redemption feature creates an obligation to the Company requiring it to redeem the Preferred Shares for cash on December 31, 2021, if an IPO does not occur. Upon an IPO, the Conversion Option is settleable with a variable number of the Company’s shares resulting in a fixed monetary amount known at inception in accordance with ASC 480-10-25-14a. The Series A convertible preferred stock are mandatorily redeemable and should be classified as a liability in accordance with ASC 480-10 and the Company has elected to record the Series A Convertible Preferred Stock at fair value with changes in fair value recorded through earnings under the ASC 825-10-15-4 fair value option (“FVO”) election.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Stock Warrant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this private placement, the Company issued warrants to purchase shares of Series A Convertible Preferred Stock. The exercise price of the warrants is $10 per share. The Company accounts for its redeemable convertible preferred stock warrants as a liability, and they are recorded at their estimated fair value, because the warrants may conditionally obligate the Company to transfer assets at some point in the future. At the end of each reporting period, changes in the estimated fair value during the period are recorded in other income (expense), net in the statement of operations. The Company will continue to adjust the liability for changes in estimated fair value until the earlier of the expiration of the warrants, exercise of the warrants, or conversion of the redeemable convertible preferred stock warrants into Class A Common Stock warrants upon the completion of a liquidation event, including the completion of an IPO.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2022, including interim periods within those fiscal years. Adoption is either a modified retrospective method or a fully retrospective method of transition. The Company is currently assessing the impact the new guidance will have on our consolidated financial statements.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The Company does not expect the adoption of this standard have a material impact on the consolidated and combined financial statements.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and combined financial position, statements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31, 2021,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(ii) our controls related to the financial statements closing process were not adequately designed or appropriately implemented to identify material misstatements in our financial reporting on a timely basis, and (iii) there was a lack of review and approval procedures for related party transactions.</w:t>
      </w:r>
    </w:p>
    <w:p>
      <w:pPr>
        <w:spacing w:after="0" w:line="19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Management has evaluated remediation plans to address these deficiencies and has implemented changes to address the material weakness identified, including hiring additional accountants and consultants and implementing controls and procedures over the financial reporting process.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the quarter ended March 31, 2021 that have materially affected, or are reasonably likely to materially affect, our internal controls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UHY LLP our independent registered public accounting firm, is not required to and has not provided an assessment over the design or effectiveness of our internal controls over financial reporting.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Our former placement agent, Boustead Securities LLC, has stated that it intends to bring legal action against us following our communication to Boustead to unilaterally terminate an engagement agreement under which we and Boustead had originally intended for Boustead to be engaged to act as an exclusive underwriter in our initial public offering. If we are unable to reach a settlement with Boustead, it is likely that Boustead will file a legal action against us or seek binding arbitration of the dispute. On April 30, 2021, Boustead filed a statement of claim with FINRA demanding to arbitrate the dispute, and is seeking, among other things, monetary damages against the Company and D.A. Davidson &amp; Co. We believe that we have meritorious defenses to any claims that Boustead may assert, and we do not believe that such claims will have a material adverse effect on our business, financial condition or operating results. We have agreed to indemnify D.A. Davidson &amp; Co. and the other underwriters against any liability or expense they may incur or be subject to arising out of the Boustead dispute. Additionally,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For further information, see “Risk Factors – </w:t>
      </w:r>
      <w:r>
        <w:rPr>
          <w:rFonts w:ascii="Arial" w:cs="Arial" w:eastAsia="Arial" w:hAnsi="Arial"/>
          <w:sz w:val="17"/>
          <w:szCs w:val="17"/>
          <w:i w:val="1"/>
          <w:iCs w:val="1"/>
          <w:color w:val="auto"/>
        </w:rPr>
        <w:t>We recently unilaterally terminated an engagement agreement with Boustead Securities LLC and may be subject to litigation in the event</w:t>
      </w:r>
      <w:r>
        <w:rPr>
          <w:rFonts w:ascii="Arial" w:cs="Arial" w:eastAsia="Arial" w:hAnsi="Arial"/>
          <w:sz w:val="17"/>
          <w:szCs w:val="17"/>
          <w:color w:val="auto"/>
        </w:rPr>
        <w:t xml:space="preserve"> </w:t>
      </w:r>
      <w:r>
        <w:rPr>
          <w:rFonts w:ascii="Arial" w:cs="Arial" w:eastAsia="Arial" w:hAnsi="Arial"/>
          <w:sz w:val="17"/>
          <w:szCs w:val="17"/>
          <w:i w:val="1"/>
          <w:iCs w:val="1"/>
          <w:color w:val="auto"/>
        </w:rPr>
        <w:t>we are not able to come to agreement on the amounts Boustead deems itself to be owed under such agreement</w:t>
      </w:r>
      <w:r>
        <w:rPr>
          <w:rFonts w:ascii="Arial" w:cs="Arial" w:eastAsia="Arial" w:hAnsi="Arial"/>
          <w:sz w:val="17"/>
          <w:szCs w:val="17"/>
          <w:color w:val="auto"/>
        </w:rPr>
        <w:t>” “Certain Relationships and Related Party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and “Underwriting” in our prospectus dated May 11,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the above, 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with this report:</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71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Executive Officer pursuant to Section 302 of the Sarbanes-Oxley Act of 2002</w:t>
              </w:r>
            </w:hyperlink>
          </w:p>
        </w:tc>
        <w:tc>
          <w:tcPr>
            <w:tcW w:w="2940" w:type="dxa"/>
            <w:vAlign w:val="bottom"/>
            <w:gridSpan w:val="2"/>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6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01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Certification of Chief Executive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Act of 2002</w:t>
              </w:r>
            </w:hyperlink>
          </w:p>
        </w:tc>
        <w:tc>
          <w:tcPr>
            <w:tcW w:w="9260" w:type="dxa"/>
            <w:vAlign w:val="bottom"/>
            <w:gridSpan w:val="4"/>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0120" w:type="dxa"/>
            <w:vAlign w:val="bottom"/>
            <w:gridSpan w:val="6"/>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r>
      <w:tr>
        <w:trPr>
          <w:trHeight w:val="196"/>
        </w:trPr>
        <w:tc>
          <w:tcPr>
            <w:tcW w:w="1120" w:type="dxa"/>
            <w:vAlign w:val="bottom"/>
          </w:tcPr>
          <w:p>
            <w:pPr>
              <w:spacing w:after="0"/>
              <w:rPr>
                <w:sz w:val="17"/>
                <w:szCs w:val="17"/>
                <w:color w:val="auto"/>
              </w:rPr>
            </w:pPr>
          </w:p>
        </w:tc>
        <w:tc>
          <w:tcPr>
            <w:tcW w:w="101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580" w:type="dxa"/>
            <w:vAlign w:val="bottom"/>
            <w:gridSpan w:val="5"/>
          </w:tcPr>
          <w:p>
            <w:pPr>
              <w:spacing w:after="0" w:line="20" w:lineRule="exact"/>
              <w:rPr>
                <w:sz w:val="1"/>
                <w:szCs w:val="1"/>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Instances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iPower Inc.</w:t>
      </w:r>
    </w:p>
    <w:p>
      <w:pPr>
        <w:spacing w:after="0" w:line="229" w:lineRule="exact"/>
        <w:rPr>
          <w:sz w:val="20"/>
          <w:szCs w:val="20"/>
          <w:color w:val="auto"/>
        </w:rPr>
      </w:pPr>
    </w:p>
    <w:p>
      <w:pPr>
        <w:spacing w:after="0"/>
        <w:tabs>
          <w:tab w:leader="none" w:pos="5800" w:val="left"/>
          <w:tab w:leader="none" w:pos="8040" w:val="left"/>
        </w:tabs>
        <w:rPr>
          <w:sz w:val="20"/>
          <w:szCs w:val="20"/>
          <w:color w:val="auto"/>
        </w:rPr>
      </w:pPr>
      <w:r>
        <w:rPr>
          <w:rFonts w:ascii="Arial" w:cs="Arial" w:eastAsia="Arial" w:hAnsi="Arial"/>
          <w:sz w:val="18"/>
          <w:szCs w:val="18"/>
          <w:color w:val="auto"/>
        </w:rPr>
        <w:t>June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5800" w:val="left"/>
          <w:tab w:leader="none" w:pos="8060" w:val="left"/>
        </w:tabs>
        <w:rPr>
          <w:sz w:val="20"/>
          <w:szCs w:val="20"/>
          <w:color w:val="auto"/>
        </w:rPr>
      </w:pPr>
      <w:r>
        <w:rPr>
          <w:rFonts w:ascii="Arial" w:cs="Arial" w:eastAsia="Arial" w:hAnsi="Arial"/>
          <w:sz w:val="18"/>
          <w:szCs w:val="18"/>
          <w:color w:val="auto"/>
        </w:rPr>
        <w:t>June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Chenlong Tan, certify that:</w:t>
      </w:r>
    </w:p>
    <w:p>
      <w:pPr>
        <w:spacing w:after="0" w:line="225" w:lineRule="exact"/>
        <w:rPr>
          <w:sz w:val="20"/>
          <w:szCs w:val="20"/>
          <w:color w:val="auto"/>
        </w:rPr>
      </w:pPr>
    </w:p>
    <w:p>
      <w:pPr>
        <w:ind w:firstLine="526"/>
        <w:spacing w:after="0" w:line="277" w:lineRule="auto"/>
        <w:tabs>
          <w:tab w:leader="none" w:pos="716"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March 31, 2021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25, 2021</w:t>
      </w:r>
      <w:r>
        <w:rPr>
          <w:sz w:val="20"/>
          <w:szCs w:val="20"/>
          <w:color w:val="auto"/>
        </w:rPr>
        <w:tab/>
      </w:r>
      <w:r>
        <w:rPr>
          <w:rFonts w:ascii="Arial" w:cs="Arial" w:eastAsia="Arial" w:hAnsi="Arial"/>
          <w:sz w:val="16"/>
          <w:szCs w:val="16"/>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Kevin Vassily, certify that:</w:t>
      </w:r>
    </w:p>
    <w:p>
      <w:pPr>
        <w:spacing w:after="0" w:line="225" w:lineRule="exact"/>
        <w:rPr>
          <w:sz w:val="20"/>
          <w:szCs w:val="20"/>
          <w:color w:val="auto"/>
        </w:rPr>
      </w:pPr>
    </w:p>
    <w:p>
      <w:pPr>
        <w:ind w:firstLine="526"/>
        <w:spacing w:after="0" w:line="277" w:lineRule="auto"/>
        <w:tabs>
          <w:tab w:leader="none" w:pos="716"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March 31, 2021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25, 2021</w:t>
      </w:r>
      <w:r>
        <w:rPr>
          <w:sz w:val="20"/>
          <w:szCs w:val="20"/>
          <w:color w:val="auto"/>
        </w:rPr>
        <w:tab/>
      </w:r>
      <w:r>
        <w:rPr>
          <w:rFonts w:ascii="Arial" w:cs="Arial" w:eastAsia="Arial" w:hAnsi="Arial"/>
          <w:sz w:val="16"/>
          <w:szCs w:val="16"/>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March 31, 2021,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25,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March 31, 2021,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25,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2021-06-25T15:07:03Z</dcterms:created>
  <dcterms:modified xsi:type="dcterms:W3CDTF">2021-06-25T15:07:03Z</dcterms:modified>
</cp:coreProperties>
</file>