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 w:lineRule="exact"/>
        <w:rPr>
          <w:sz w:val="24"/>
          <w:szCs w:val="24"/>
          <w:color w:val="auto"/>
        </w:rPr>
      </w:pPr>
    </w:p>
    <w:p>
      <w:pPr>
        <w:ind w:left="280" w:hanging="205"/>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40" w:lineRule="exact"/>
        <w:rPr>
          <w:sz w:val="24"/>
          <w:szCs w:val="24"/>
          <w:color w:val="auto"/>
        </w:rPr>
      </w:pPr>
    </w:p>
    <w:p>
      <w:pPr>
        <w:ind w:left="3240" w:right="2260" w:hanging="3165"/>
        <w:spacing w:after="0" w:line="500" w:lineRule="auto"/>
        <w:tabs>
          <w:tab w:leader="none" w:pos="2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82-5144171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8798 9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Rancho Cucamonga, CA 91730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(626) 863-7344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November 14, 2025 was 1,049,799.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11"/>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78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0"/>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220" w:type="dxa"/>
            <w:vAlign w:val="bottom"/>
            <w:gridSpan w:val="14"/>
            <w:shd w:val="clear" w:color="auto" w:fill="EEEEEE"/>
          </w:tcPr>
          <w:p>
            <w:pPr>
              <w:jc w:val="center"/>
              <w:ind w:right="24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780" w:type="dxa"/>
            <w:vAlign w:val="bottom"/>
            <w:shd w:val="clear" w:color="auto" w:fill="EEEEEE"/>
          </w:tcPr>
          <w:p>
            <w:pPr>
              <w:spacing w:after="0"/>
              <w:rPr>
                <w:sz w:val="17"/>
                <w:szCs w:val="17"/>
                <w:color w:val="auto"/>
              </w:rPr>
            </w:pP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rPr>
                <w:sz w:val="17"/>
                <w:szCs w:val="17"/>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2025 and June 30, 2025</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75"/>
        </w:trPr>
        <w:tc>
          <w:tcPr>
            <w:tcW w:w="800" w:type="dxa"/>
            <w:vAlign w:val="bottom"/>
            <w:shd w:val="clear" w:color="auto" w:fill="EEEEEE"/>
          </w:tcPr>
          <w:p>
            <w:pPr>
              <w:spacing w:after="0"/>
              <w:rPr>
                <w:sz w:val="15"/>
                <w:szCs w:val="15"/>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for the three months ended</w:t>
            </w:r>
          </w:p>
        </w:tc>
        <w:tc>
          <w:tcPr>
            <w:tcW w:w="780" w:type="dxa"/>
            <w:vAlign w:val="bottom"/>
            <w:shd w:val="clear" w:color="auto" w:fill="EEEEEE"/>
          </w:tcPr>
          <w:p>
            <w:pPr>
              <w:spacing w:after="0"/>
              <w:rPr>
                <w:sz w:val="15"/>
                <w:szCs w:val="15"/>
                <w:color w:val="auto"/>
              </w:rPr>
            </w:pPr>
          </w:p>
        </w:tc>
      </w:tr>
      <w:tr>
        <w:trPr>
          <w:trHeight w:val="217"/>
        </w:trPr>
        <w:tc>
          <w:tcPr>
            <w:tcW w:w="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980" w:type="dxa"/>
            <w:vAlign w:val="bottom"/>
            <w:tcBorders>
              <w:top w:val="single" w:sz="8" w:color="0000EE"/>
            </w:tcBorders>
            <w:gridSpan w:val="21"/>
            <w:shd w:val="clear" w:color="auto" w:fill="EEEEEE"/>
          </w:tcPr>
          <w:p>
            <w:pPr>
              <w:ind w:left="180"/>
              <w:spacing w:after="0" w:line="196" w:lineRule="exact"/>
              <w:rPr>
                <w:sz w:val="20"/>
                <w:szCs w:val="20"/>
                <w:color w:val="auto"/>
              </w:rPr>
            </w:pPr>
            <w:r>
              <w:rPr>
                <w:rFonts w:ascii="Times New Roman" w:cs="Times New Roman" w:eastAsia="Times New Roman" w:hAnsi="Times New Roman"/>
                <w:sz w:val="18"/>
                <w:szCs w:val="18"/>
                <w:color w:val="0000EE"/>
              </w:rPr>
              <w:t>September 30, 2025 and 2024</w:t>
            </w:r>
          </w:p>
        </w:tc>
        <w:tc>
          <w:tcPr>
            <w:tcW w:w="560" w:type="dxa"/>
            <w:vAlign w:val="bottom"/>
            <w:tcBorders>
              <w:top w:val="single" w:sz="8" w:color="EEEEEE"/>
            </w:tcBorders>
            <w:gridSpan w:val="2"/>
            <w:shd w:val="clear" w:color="auto" w:fill="EEEEEE"/>
          </w:tcPr>
          <w:p>
            <w:pPr>
              <w:spacing w:after="0"/>
              <w:rPr>
                <w:sz w:val="18"/>
                <w:szCs w:val="18"/>
                <w:color w:val="auto"/>
              </w:rPr>
            </w:pPr>
          </w:p>
        </w:tc>
        <w:tc>
          <w:tcPr>
            <w:tcW w:w="780" w:type="dxa"/>
            <w:vAlign w:val="bottom"/>
            <w:tcBorders>
              <w:top w:val="single" w:sz="8" w:color="EEEEEE"/>
            </w:tcBorders>
            <w:shd w:val="clear" w:color="auto" w:fill="EEEEEE"/>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76"/>
        </w:trPr>
        <w:tc>
          <w:tcPr>
            <w:tcW w:w="800" w:type="dxa"/>
            <w:vAlign w:val="bottom"/>
            <w:shd w:val="clear" w:color="auto" w:fill="EEEEEE"/>
          </w:tcPr>
          <w:p>
            <w:pPr>
              <w:spacing w:after="0"/>
              <w:rPr>
                <w:sz w:val="15"/>
                <w:szCs w:val="15"/>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months ended September 30,</w:t>
            </w:r>
          </w:p>
        </w:tc>
        <w:tc>
          <w:tcPr>
            <w:tcW w:w="780" w:type="dxa"/>
            <w:vAlign w:val="bottom"/>
            <w:shd w:val="clear" w:color="auto" w:fill="EEEEEE"/>
          </w:tcPr>
          <w:p>
            <w:pPr>
              <w:spacing w:after="0"/>
              <w:rPr>
                <w:sz w:val="15"/>
                <w:szCs w:val="15"/>
                <w:color w:val="auto"/>
              </w:rPr>
            </w:pPr>
          </w:p>
        </w:tc>
      </w:tr>
      <w:tr>
        <w:trPr>
          <w:trHeight w:val="217"/>
        </w:trPr>
        <w:tc>
          <w:tcPr>
            <w:tcW w:w="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9080" w:type="dxa"/>
            <w:vAlign w:val="bottom"/>
            <w:tcBorders>
              <w:top w:val="single" w:sz="8" w:color="0000EE"/>
            </w:tcBorders>
            <w:gridSpan w:val="22"/>
            <w:shd w:val="clear" w:color="auto" w:fill="EEEEEE"/>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460" w:type="dxa"/>
            <w:vAlign w:val="bottom"/>
            <w:tcBorders>
              <w:top w:val="single" w:sz="8" w:color="EEEEEE"/>
            </w:tcBorders>
            <w:shd w:val="clear" w:color="auto" w:fill="EEEEEE"/>
          </w:tcPr>
          <w:p>
            <w:pPr>
              <w:spacing w:after="0"/>
              <w:rPr>
                <w:sz w:val="18"/>
                <w:szCs w:val="18"/>
                <w:color w:val="auto"/>
              </w:rPr>
            </w:pPr>
          </w:p>
        </w:tc>
        <w:tc>
          <w:tcPr>
            <w:tcW w:w="780" w:type="dxa"/>
            <w:vAlign w:val="bottom"/>
            <w:tcBorders>
              <w:top w:val="single" w:sz="8" w:color="EEEEEE"/>
            </w:tcBorders>
            <w:shd w:val="clear" w:color="auto" w:fill="EEEEEE"/>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rPr>
                <w:sz w:val="17"/>
                <w:szCs w:val="17"/>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September 30, 2025 and 2024</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rPr>
                <w:sz w:val="17"/>
                <w:szCs w:val="17"/>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6020" w:type="dxa"/>
            <w:vAlign w:val="bottom"/>
            <w:gridSpan w:val="13"/>
            <w:shd w:val="clear" w:color="auto" w:fill="EEEEEE"/>
          </w:tcPr>
          <w:p>
            <w:pPr>
              <w:jc w:val="center"/>
              <w:ind w:right="3620"/>
              <w:spacing w:after="0" w:line="17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780" w:type="dxa"/>
            <w:vAlign w:val="bottom"/>
            <w:shd w:val="clear" w:color="auto" w:fill="EEEEEE"/>
          </w:tcPr>
          <w:p>
            <w:pPr>
              <w:spacing w:after="0"/>
              <w:rPr>
                <w:sz w:val="17"/>
                <w:szCs w:val="17"/>
                <w:color w:val="auto"/>
              </w:rPr>
            </w:pP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Unregistered Sale of Equity Securities and Use of Proceeds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96"/>
        </w:trPr>
        <w:tc>
          <w:tcPr>
            <w:tcW w:w="8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r>
      <w:tr>
        <w:trPr>
          <w:trHeight w:val="175"/>
        </w:trPr>
        <w:tc>
          <w:tcPr>
            <w:tcW w:w="800" w:type="dxa"/>
            <w:vAlign w:val="bottom"/>
            <w:shd w:val="clear" w:color="auto" w:fill="EEEEEE"/>
          </w:tcPr>
          <w:p>
            <w:pPr>
              <w:spacing w:after="0"/>
              <w:rPr>
                <w:sz w:val="15"/>
                <w:szCs w:val="15"/>
                <w:color w:val="auto"/>
              </w:rPr>
            </w:pPr>
          </w:p>
        </w:tc>
        <w:tc>
          <w:tcPr>
            <w:tcW w:w="9660" w:type="dxa"/>
            <w:vAlign w:val="bottom"/>
            <w:gridSpan w:val="24"/>
            <w:shd w:val="clear" w:color="auto" w:fill="EEEEEE"/>
          </w:tcPr>
          <w:p>
            <w:pPr>
              <w:ind w:left="1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8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September 30, 2025 and June 30, 2025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903,975</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2,007,890</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5,106,192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6,124,008</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4,332,605</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8,131,203</w:t>
            </w:r>
          </w:p>
        </w:tc>
      </w:tr>
      <w:tr>
        <w:trPr>
          <w:trHeight w:val="22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1,491,528</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3,111,210</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11,834,300</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19,374,311</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 non-current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3,603,165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3,915,539</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350,972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390,349</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3,916,706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3,724,462</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3,034,110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3,034,110</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678,706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385,180</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2,818,986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2,981,328</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2,355,349</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1,837,488</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16,757,994</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16,268,456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28,592,294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35,642,767</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54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40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3,603,377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7,180,009</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1,176,041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1,893,921</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1,389,834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1,361,111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1,449,438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3,737,602</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280,155</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8,118,690</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14,452,798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2,556,104</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2,913,967</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2,556,104</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2,913,967</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10,674,794</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17,366,765</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gridSpan w:val="3"/>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September 30, 2025 and June 30, 2025</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1,049,790 and 1,045,330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2025 and June 30, 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33,631,399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33,481,201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(15,732,537)</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(15,198,889)</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(47,462)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(47,462)</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65,050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40,107</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17,917,500</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18,276,002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28,592,294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35,642,767</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both"/>
        <w:ind w:left="200" w:hanging="192"/>
        <w:spacing w:after="0" w:line="267"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Unless otherwise indicated, all shares of common stock and per share numbers in the unaudited condensed consolidated financial statements and notes below have been adjusted retroactively to reflect the 1-for-30 reverse stock split effected on October 27, 2025, for all periods presented (see Note 14 for details).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792" w:right="339" w:bottom="179"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September 30, 2025 and 2024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 the Three Months Ended September 30,</w:t>
            </w:r>
          </w:p>
        </w:tc>
      </w:tr>
      <w:tr>
        <w:trPr>
          <w:trHeight w:val="234"/>
        </w:trPr>
        <w:tc>
          <w:tcPr>
            <w:tcW w:w="4800" w:type="dxa"/>
            <w:vAlign w:val="bottom"/>
            <w:tcBorders>
              <w:bottom w:val="single" w:sz="8" w:color="EEEEEE"/>
            </w:tcBorders>
          </w:tcPr>
          <w:p>
            <w:pPr>
              <w:spacing w:after="0"/>
              <w:rPr>
                <w:sz w:val="20"/>
                <w:szCs w:val="20"/>
                <w:color w:val="auto"/>
              </w:rPr>
            </w:pPr>
          </w:p>
        </w:tc>
        <w:tc>
          <w:tcPr>
            <w:tcW w:w="286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10,484,661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18,275,412</w:t>
            </w:r>
          </w:p>
        </w:tc>
      </w:tr>
      <w:tr>
        <w:trPr>
          <w:trHeight w:val="230"/>
        </w:trPr>
        <w:tc>
          <w:tcPr>
            <w:tcW w:w="4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Service income</w:t>
            </w:r>
          </w:p>
        </w:tc>
        <w:tc>
          <w:tcPr>
            <w:tcW w:w="28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1,532,806</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733,109</w:t>
            </w:r>
          </w:p>
        </w:tc>
      </w:tr>
      <w:tr>
        <w:trPr>
          <w:trHeight w:val="209"/>
        </w:trPr>
        <w:tc>
          <w:tcPr>
            <w:tcW w:w="480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12,017,467</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19,008,521</w:t>
            </w:r>
          </w:p>
        </w:tc>
        <w:tc>
          <w:tcPr>
            <w:tcW w:w="100" w:type="dxa"/>
            <w:vAlign w:val="bottom"/>
            <w:tcBorders>
              <w:bottom w:val="single" w:sz="8" w:color="EEEEEE"/>
            </w:tcBorders>
          </w:tcPr>
          <w:p>
            <w:pPr>
              <w:spacing w:after="0"/>
              <w:rPr>
                <w:sz w:val="18"/>
                <w:szCs w:val="18"/>
                <w:color w:val="auto"/>
              </w:rPr>
            </w:pPr>
          </w:p>
        </w:tc>
      </w:tr>
      <w:tr>
        <w:trPr>
          <w:trHeight w:val="209"/>
        </w:trPr>
        <w:tc>
          <w:tcPr>
            <w:tcW w:w="4800" w:type="dxa"/>
            <w:vAlign w:val="bottom"/>
            <w:shd w:val="clear" w:color="auto" w:fill="EEEEEE"/>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5,878,262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9,917,448</w:t>
            </w: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costs</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1,332,681</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603,176</w:t>
            </w:r>
          </w:p>
        </w:tc>
      </w:tr>
      <w:tr>
        <w:trPr>
          <w:trHeight w:val="209"/>
        </w:trPr>
        <w:tc>
          <w:tcPr>
            <w:tcW w:w="480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8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7,210,943</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10,520,624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8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4,806,524</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8,487,897</w:t>
            </w:r>
          </w:p>
        </w:tc>
      </w:tr>
      <w:tr>
        <w:trPr>
          <w:trHeight w:val="20"/>
        </w:trPr>
        <w:tc>
          <w:tcPr>
            <w:tcW w:w="4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80" w:right="339" w:bottom="1440" w:gutter="0" w:footer="0" w:header="0"/>
        </w:sectPr>
      </w:pPr>
    </w:p>
    <w:p>
      <w:pPr>
        <w:jc w:val="center"/>
        <w:ind w:right="494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and 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Loss on deconsolidation of VIE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IPOWER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LOSS ATTRIBUTABLE TO IPOWER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5,180,190</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5,914,808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1,321,513</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5,319,523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6,501,703</w:t>
            </w:r>
          </w:p>
        </w:tc>
        <w:tc>
          <w:tcPr>
            <w:tcW w:w="3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11,234,331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4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(1,695,179)</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(2,746,434)</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3"/>
        </w:trPr>
        <w:tc>
          <w:tcPr>
            <w:tcW w:w="4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(61,719)</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(139,962)</w:t>
            </w:r>
          </w:p>
        </w:tc>
      </w:tr>
      <w:tr>
        <w:trPr>
          <w:trHeight w:val="216"/>
        </w:trPr>
        <w:tc>
          <w:tcPr>
            <w:tcW w:w="4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4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(39,624)</w:t>
            </w:r>
          </w:p>
        </w:tc>
        <w:tc>
          <w:tcPr>
            <w:tcW w:w="4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799,290</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697,947</w:t>
            </w:r>
          </w:p>
        </w:tc>
        <w:tc>
          <w:tcPr>
            <w:tcW w:w="3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5"/>
        </w:trPr>
        <w:tc>
          <w:tcPr>
            <w:tcW w:w="4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(997,232)</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(2,668,629)</w:t>
            </w:r>
          </w:p>
        </w:tc>
      </w:tr>
      <w:tr>
        <w:trPr>
          <w:trHeight w:val="445"/>
        </w:trPr>
        <w:tc>
          <w:tcPr>
            <w:tcW w:w="4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(463,584)</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(636,512)</w:t>
            </w:r>
          </w:p>
        </w:tc>
      </w:tr>
      <w:tr>
        <w:trPr>
          <w:trHeight w:val="228"/>
        </w:trPr>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(533,648)</w:t>
            </w: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7"/>
        </w:trPr>
        <w:tc>
          <w:tcPr>
            <w:tcW w:w="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(533,648)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(2,029,281)</w:t>
            </w:r>
          </w:p>
        </w:tc>
      </w:tr>
      <w:tr>
        <w:trPr>
          <w:trHeight w:val="661"/>
        </w:trPr>
        <w:tc>
          <w:tcPr>
            <w:tcW w:w="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24,943</w:t>
            </w: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(55,054)</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(508,705)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(2,084,335)</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58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1,049,595</w:t>
            </w:r>
          </w:p>
        </w:tc>
        <w:tc>
          <w:tcPr>
            <w:tcW w:w="4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1,047,240</w:t>
            </w:r>
          </w:p>
        </w:tc>
      </w:tr>
      <w:tr>
        <w:trPr>
          <w:trHeight w:val="129"/>
        </w:trPr>
        <w:tc>
          <w:tcPr>
            <w:tcW w:w="6040" w:type="dxa"/>
            <w:vAlign w:val="bottom"/>
            <w:tcBorders>
              <w:top w:val="single" w:sz="8" w:color="EEEEEE"/>
            </w:tcBorders>
            <w:shd w:val="clear" w:color="auto" w:fill="EEEEEE"/>
          </w:tcPr>
          <w:p>
            <w:pPr>
              <w:spacing w:after="0"/>
              <w:rPr>
                <w:sz w:val="11"/>
                <w:szCs w:val="11"/>
                <w:color w:val="auto"/>
              </w:rPr>
            </w:pPr>
          </w:p>
        </w:tc>
        <w:tc>
          <w:tcPr>
            <w:tcW w:w="1620" w:type="dxa"/>
            <w:vAlign w:val="bottom"/>
            <w:tcBorders>
              <w:top w:val="single" w:sz="8" w:color="EEEEEE"/>
            </w:tcBorders>
            <w:shd w:val="clear" w:color="auto" w:fill="EEEEEE"/>
          </w:tcPr>
          <w:p>
            <w:pPr>
              <w:spacing w:after="0"/>
              <w:rPr>
                <w:sz w:val="11"/>
                <w:szCs w:val="11"/>
                <w:color w:val="auto"/>
              </w:rPr>
            </w:pPr>
          </w:p>
        </w:tc>
        <w:tc>
          <w:tcPr>
            <w:tcW w:w="480" w:type="dxa"/>
            <w:vAlign w:val="bottom"/>
            <w:tcBorders>
              <w:top w:val="single" w:sz="8" w:color="auto"/>
            </w:tcBorders>
            <w:shd w:val="clear" w:color="auto" w:fill="EEEEEE"/>
          </w:tcPr>
          <w:p>
            <w:pPr>
              <w:spacing w:after="0"/>
              <w:rPr>
                <w:sz w:val="11"/>
                <w:szCs w:val="11"/>
                <w:color w:val="auto"/>
              </w:rPr>
            </w:pPr>
          </w:p>
        </w:tc>
        <w:tc>
          <w:tcPr>
            <w:tcW w:w="110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480" w:type="dxa"/>
            <w:vAlign w:val="bottom"/>
            <w:tcBorders>
              <w:top w:val="single" w:sz="8" w:color="auto"/>
            </w:tcBorders>
            <w:shd w:val="clear" w:color="auto" w:fill="EEEEEE"/>
          </w:tcPr>
          <w:p>
            <w:pPr>
              <w:spacing w:after="0"/>
              <w:rPr>
                <w:sz w:val="11"/>
                <w:szCs w:val="11"/>
                <w:color w:val="auto"/>
              </w:rPr>
            </w:pPr>
          </w:p>
        </w:tc>
        <w:tc>
          <w:tcPr>
            <w:tcW w:w="1100" w:type="dxa"/>
            <w:vAlign w:val="bottom"/>
            <w:tcBorders>
              <w:top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r>
      <w:tr>
        <w:trPr>
          <w:trHeight w:val="28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1,049,595</w:t>
            </w:r>
          </w:p>
        </w:tc>
        <w:tc>
          <w:tcPr>
            <w:tcW w:w="4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1,047,240</w:t>
            </w:r>
          </w:p>
        </w:tc>
      </w:tr>
      <w:tr>
        <w:trPr>
          <w:trHeight w:val="196"/>
        </w:trPr>
        <w:tc>
          <w:tcPr>
            <w:tcW w:w="6040" w:type="dxa"/>
            <w:vAlign w:val="bottom"/>
            <w:tcBorders>
              <w:top w:val="single" w:sz="8" w:color="EEEEEE"/>
            </w:tcBorders>
            <w:shd w:val="clear" w:color="auto" w:fill="EEEEEE"/>
          </w:tcPr>
          <w:p>
            <w:pPr>
              <w:spacing w:after="0"/>
              <w:rPr>
                <w:sz w:val="17"/>
                <w:szCs w:val="17"/>
                <w:color w:val="auto"/>
              </w:rPr>
            </w:pPr>
          </w:p>
        </w:tc>
        <w:tc>
          <w:tcPr>
            <w:tcW w:w="162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LOSSES PER SHARE</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6040" w:type="dxa"/>
            <w:vAlign w:val="bottom"/>
            <w:tcBorders>
              <w:top w:val="single" w:sz="8" w:color="EEEEEE"/>
            </w:tcBorders>
          </w:tcPr>
          <w:p>
            <w:pPr>
              <w:spacing w:after="0" w:line="20" w:lineRule="exact"/>
              <w:rPr>
                <w:sz w:val="1"/>
                <w:szCs w:val="1"/>
                <w:color w:val="auto"/>
              </w:rPr>
            </w:pPr>
          </w:p>
        </w:tc>
        <w:tc>
          <w:tcPr>
            <w:tcW w:w="1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29"/>
        </w:trPr>
        <w:tc>
          <w:tcPr>
            <w:tcW w:w="6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6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6040" w:type="dxa"/>
            <w:vAlign w:val="bottom"/>
            <w:tcBorders>
              <w:top w:val="single" w:sz="8" w:color="EEEEEE"/>
            </w:tcBorders>
          </w:tcPr>
          <w:p>
            <w:pPr>
              <w:spacing w:after="0" w:line="20" w:lineRule="exact"/>
              <w:rPr>
                <w:sz w:val="1"/>
                <w:szCs w:val="1"/>
                <w:color w:val="auto"/>
              </w:rPr>
            </w:pPr>
          </w:p>
        </w:tc>
        <w:tc>
          <w:tcPr>
            <w:tcW w:w="1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both"/>
        <w:ind w:left="200" w:hanging="188"/>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all share of common stock and per share numbers in the unaudited condensed consolidated financial statements and notes below have been adjusted retroactively to reflect the 1-for-30 reverse stock split effected on October 27, 2025, for all periods presented (see Note 14 for details).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September 30, 2025 and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Accumulated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Retained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Additional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Non-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Comprehensive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120" w:type="dxa"/>
            <w:vAlign w:val="bottom"/>
          </w:tcPr>
          <w:p>
            <w:pPr>
              <w:spacing w:after="0"/>
              <w:rPr>
                <w:sz w:val="19"/>
                <w:szCs w:val="19"/>
                <w:color w:val="auto"/>
              </w:rPr>
            </w:pPr>
          </w:p>
        </w:tc>
        <w:tc>
          <w:tcPr>
            <w:tcW w:w="182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Paid in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(Accumulated</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controlling</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12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Capital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interest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(loss)</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1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2025</w:t>
            </w:r>
          </w:p>
        </w:tc>
        <w:tc>
          <w:tcPr>
            <w:tcW w:w="7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1,045,330</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00" w:type="dxa"/>
            <w:vAlign w:val="bottom"/>
            <w:tcBorders>
              <w:top w:val="single" w:sz="8" w:color="EEEEEE"/>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$ 33,481,201</w:t>
            </w:r>
          </w:p>
        </w:tc>
        <w:tc>
          <w:tcPr>
            <w:tcW w:w="220" w:type="dxa"/>
            <w:vAlign w:val="bottom"/>
            <w:tcBorders>
              <w:top w:val="single" w:sz="8" w:color="EEEEEE"/>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(15,198,889)</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(47,462)</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40,107</w:t>
            </w:r>
          </w:p>
        </w:tc>
        <w:tc>
          <w:tcPr>
            <w:tcW w:w="220" w:type="dxa"/>
            <w:vAlign w:val="bottom"/>
            <w:tcBorders>
              <w:top w:val="single" w:sz="8" w:color="EEEEEE"/>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$ 18,276,002</w:t>
            </w: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(533,648)</w:t>
            </w:r>
          </w:p>
        </w:tc>
      </w:tr>
      <w:tr>
        <w:trPr>
          <w:trHeight w:val="203"/>
        </w:trPr>
        <w:tc>
          <w:tcPr>
            <w:tcW w:w="41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150,203</w:t>
            </w:r>
          </w:p>
        </w:tc>
        <w:tc>
          <w:tcPr>
            <w:tcW w:w="10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150,203</w:t>
            </w:r>
          </w:p>
        </w:tc>
      </w:tr>
      <w:tr>
        <w:trPr>
          <w:trHeight w:val="20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 issued for vested RSUs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4,460</w:t>
            </w: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24,943</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24,943</w:t>
            </w: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2025, Unaudited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1,049,790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$ 33,631,399</w:t>
            </w:r>
          </w:p>
        </w:tc>
        <w:tc>
          <w:tcPr>
            <w:tcW w:w="2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(15,732,537</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(47,462</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65,050</w:t>
            </w: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$ 17,917,500</w:t>
            </w:r>
          </w:p>
        </w:tc>
        <w:tc>
          <w:tcPr>
            <w:tcW w:w="10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4"/>
        </w:trPr>
        <w:tc>
          <w:tcPr>
            <w:tcW w:w="4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9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1,045,330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1,045</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w w:val="97"/>
              </w:rPr>
              <w:t>$ 33,494,199</w:t>
            </w:r>
          </w:p>
        </w:tc>
        <w:tc>
          <w:tcPr>
            <w:tcW w:w="10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 (10,230,601)</w:t>
            </w:r>
          </w:p>
        </w:tc>
        <w:tc>
          <w:tcPr>
            <w:tcW w:w="1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rPr>
              <w:t>(38,204)</w:t>
            </w:r>
          </w:p>
        </w:tc>
        <w:tc>
          <w:tcPr>
            <w:tcW w:w="26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(210,406)</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w w:val="97"/>
              </w:rPr>
              <w:t>$ 23,016,033</w:t>
            </w:r>
          </w:p>
        </w:tc>
      </w:tr>
      <w:tr>
        <w:trPr>
          <w:trHeight w:val="20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(2,029,281)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(2,032,117)</w:t>
            </w:r>
          </w:p>
        </w:tc>
      </w:tr>
      <w:tr>
        <w:trPr>
          <w:trHeight w:val="203"/>
        </w:trPr>
        <w:tc>
          <w:tcPr>
            <w:tcW w:w="41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205,960</w:t>
            </w:r>
          </w:p>
        </w:tc>
        <w:tc>
          <w:tcPr>
            <w:tcW w:w="10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205,960</w:t>
            </w: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(55,054)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(55,054)</w:t>
            </w:r>
          </w:p>
        </w:tc>
      </w:tr>
      <w:tr>
        <w:trPr>
          <w:trHeight w:val="210"/>
        </w:trPr>
        <w:tc>
          <w:tcPr>
            <w:tcW w:w="41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September 30, 2024, Unaudited</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1,045,330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$ 33,700,159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 (12,259,882</w:t>
            </w:r>
          </w:p>
        </w:tc>
        <w:tc>
          <w:tcPr>
            <w:tcW w:w="120" w:type="dxa"/>
            <w:vAlign w:val="bottom"/>
            <w:tcBorders>
              <w:top w:val="single" w:sz="8" w:color="EEEEEE"/>
              <w:bottom w:val="single" w:sz="8" w:color="EEEEEE"/>
            </w:tcBorders>
            <w:shd w:val="clear" w:color="auto" w:fill="EEEEEE"/>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120" w:type="dxa"/>
            <w:vAlign w:val="bottom"/>
            <w:tcBorders>
              <w:top w:val="single" w:sz="8" w:color="EEEEEE"/>
              <w:bottom w:val="single" w:sz="8" w:color="EEEEEE"/>
            </w:tcBorders>
            <w:shd w:val="clear" w:color="auto" w:fill="EEEEEE"/>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(265,460</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$ 21,134,822</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00" w:hanging="188"/>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all share of common stock and per share numbers in the unaudited condensed consolidated financial statements and notes below have been adjusted retroactively to reflect the 1-for-30 reverse stock split effected on October 27, 2025, for all periods presented (see Note 14 for details).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September 30, 2025 and 2024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30"/>
        </w:trPr>
        <w:tc>
          <w:tcPr>
            <w:tcW w:w="6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September 30, 2025 and 2024</w:t>
            </w:r>
          </w:p>
        </w:tc>
      </w:tr>
      <w:tr>
        <w:trPr>
          <w:trHeight w:val="234"/>
        </w:trPr>
        <w:tc>
          <w:tcPr>
            <w:tcW w:w="6960" w:type="dxa"/>
            <w:vAlign w:val="bottom"/>
            <w:tcBorders>
              <w:bottom w:val="single" w:sz="8" w:color="EEEEEE"/>
            </w:tcBorders>
          </w:tcPr>
          <w:p>
            <w:pPr>
              <w:spacing w:after="0"/>
              <w:rPr>
                <w:sz w:val="20"/>
                <w:szCs w:val="20"/>
                <w:color w:val="auto"/>
              </w:rPr>
            </w:pPr>
          </w:p>
        </w:tc>
        <w:tc>
          <w:tcPr>
            <w:tcW w:w="70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(533,648)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(2,032,117)</w:t>
            </w: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provided by (used in) operating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198,203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196,558</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58,453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288,474</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reserve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49,713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1,475,594</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150,203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205,960</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(182,188)</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deconsolidation of VIE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39,624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312,374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522,538</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premium / discount and non-cash financing costs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66,305</w:t>
            </w: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968,103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986,317</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3,740,145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1,589,302</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(192,244)</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(644,920)</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1,619,401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(619,099)</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65,772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132,841</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(3,476,465)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(2,874,417)</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(703,876)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69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(329,140)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(541,549)</w:t>
            </w: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(280,155)</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9,805</w:t>
            </w:r>
          </w:p>
        </w:tc>
      </w:tr>
      <w:tr>
        <w:trPr>
          <w:trHeight w:val="210"/>
        </w:trPr>
        <w:tc>
          <w:tcPr>
            <w:tcW w:w="69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1,686,463</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(1,415,643)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Deconsolidation of VIE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(160,113)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(293,526)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for software development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(583,633)</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(202,140)</w:t>
            </w:r>
          </w:p>
        </w:tc>
      </w:tr>
      <w:tr>
        <w:trPr>
          <w:trHeight w:val="210"/>
        </w:trPr>
        <w:tc>
          <w:tcPr>
            <w:tcW w:w="69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(1,037,272)</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(202,140)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offering cost settlement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(325,000)</w:t>
            </w: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 - related party</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 - related party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(483,599)</w:t>
            </w: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revolving loan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921,974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revolving loan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(3,200,000)</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(4,000,000)</w:t>
            </w:r>
          </w:p>
        </w:tc>
      </w:tr>
      <w:tr>
        <w:trPr>
          <w:trHeight w:val="210"/>
        </w:trPr>
        <w:tc>
          <w:tcPr>
            <w:tcW w:w="69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(1,778,026)</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(3,308,599)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24,920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125,850</w:t>
            </w: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CHANGES IN CASH AND CASH EQUIVALENT</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(1,103,915)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(4,800,532)</w:t>
            </w: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 beginning of period</w:t>
            </w:r>
          </w:p>
        </w:tc>
        <w:tc>
          <w:tcPr>
            <w:tcW w:w="7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2,007,890</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7,377,837</w:t>
            </w:r>
          </w:p>
        </w:tc>
      </w:tr>
      <w:tr>
        <w:trPr>
          <w:trHeight w:val="209"/>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10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903,975</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2,577,305</w:t>
            </w:r>
          </w:p>
        </w:tc>
      </w:tr>
      <w:tr>
        <w:trPr>
          <w:trHeight w:val="20"/>
        </w:trPr>
        <w:tc>
          <w:tcPr>
            <w:tcW w:w="69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960" w:type="dxa"/>
            <w:vAlign w:val="bottom"/>
            <w:tcBorders>
              <w:top w:val="single" w:sz="8" w:color="EEEEEE"/>
              <w:bottom w:val="single" w:sz="8" w:color="EEEEEE"/>
            </w:tcBorders>
            <w:shd w:val="clear" w:color="auto" w:fill="EEEEEE"/>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72,304</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55,743</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9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w:t>
            </w:r>
          </w:p>
        </w:tc>
        <w:tc>
          <w:tcPr>
            <w:tcW w:w="7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70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derecognized due to termination of operating leases</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(374,737)</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 and June 30, 2025 and for the Three Months Ended September 30,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(“DYRZ”), and Daheshou (Shenzhen) Information Technology Co., Ltd. (“DHS”). Anivia owns 100% of the equity of Fly Elephant Limited, which in turn owns 100% of the equity of DYRZ, a corporation located in the People’s Republic of China (“PRC”), which is a wholly foreign-owned enterprise (“WFOE”) of Fly Elephant Limited. The WFOE controls, through contractual arrangements summarized in Note 4 below, the business, revenues and profits of DHS, a company organized under the Laws of the PRC and located in Shenzhen, China. See details on Note 4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44% of the equity interest in United Package, retaining significant influence, but does not own a majority equity interest in or otherwise control United Package.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15, 2025, the Company executed an agreement (the “Restructuring Agreement” ) with its subsidiaries to modify its corporate structure so that the Company’s consumer goods and logistics business be operated out of GPM. Pursuant to the Restructuring Agreement, the Company transferred its ownership in E Marketing and United Package to GPM. Execution of the Restructuring Agreement does not have any impact on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2026,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2025, which are included in Form 10-K filed with the SEC on October 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GPM, GSM, and Anivia Limited and its subsidiaries and VIE, including Fly Elephant Limited, DYRZ and DHS. All inter-company balances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WFOE, with the exception of equity, on September 30, 2025, were translated at 7.119 RMB to $1.00. The equity accounts were stated at their historical rates. The average translation rates applied to statements of operations and comprehensive income (loss) accounts for the three months ended September 30, 2025 was 7.157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its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During the year ended June 30, 2025, the Company determined that the collectability of certain refundable amounts withheld by sales channel partners was remote so the Company recorded additional allowance for credit losses up to $1,924,417. For the quarter ended September 30, 2025 and 2024, the credit losses was $49,713 and $1,475,594,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and United Package NV LLC, a 44%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 w:cs="Times New Roman" w:eastAsia="Times New Roman" w:hAnsi="Times New Roman"/>
          <w:sz w:val="18"/>
          <w:szCs w:val="18"/>
          <w:i w:val="1"/>
          <w:iCs w:val="1"/>
          <w:color w:val="auto"/>
        </w:rPr>
        <w:t>Consolidation — Deconsolidation of a Subsidiary or Derecognition of a Group of Assets</w:t>
      </w:r>
      <w:r>
        <w:rPr>
          <w:rFonts w:ascii="Times New Roman" w:cs="Times New Roman" w:eastAsia="Times New Roman" w:hAnsi="Times New Roman"/>
          <w:sz w:val="18"/>
          <w:szCs w:val="18"/>
          <w:color w:val="auto"/>
        </w:rPr>
        <w:t>, the Company deconsolidated the VIE as of the termination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performed a qualitative goodwill impairment analysis following the steps laid out in ASC 350-20-35-3C and noted no goodwill impairment. As of September 30, 2025 and June 30, 2025,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September 30, 2025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Borders>
              <w:bottom w:val="single" w:sz="8" w:color="EEEEEE"/>
            </w:tcBorders>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Useful Life</w:t>
            </w:r>
          </w:p>
        </w:tc>
      </w:tr>
      <w:tr>
        <w:trPr>
          <w:trHeight w:val="210"/>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three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a result of those measurements, as of September 30, 2025 and June 30, 2025, the Company had goodwill with a carry book value of $3,034,110, which approximated its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Fair</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30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Level 1</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38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EEEEEE"/>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net of purchase discounts and rebates,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including inventory reserves, are expensed as incurred. Vendor warranty credits resulting from refund of returns on quality issues are recorded to offset merchant selling fees. During the three months ended September 30, 2025 and 2024, the Company did not have any vendor credits. Outbound freight costs related to shipping costs to customers are considered periodic costs and are reflected in selling and fulfillment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three months ended September 30, 2025 and 2024 were $809,990 and $651,125,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The Company regularly reviews inventory and considers forecasts of future demand, market conditions and product obsolescence.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As of September 30, 2025 and June 30, 2025, there were no deferred offering costs included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three months ended September 30, 2025 and 2024, sales through Amazon to Canada and other foreign countries were approximately 5.1% and 13.4% of the Company’s total sales, respectively. During the three months ended September 30, 2025, sales of hydroponic products, including ventilation and grow light systems, were approximately 9.0% of the Company’s total sales and the remaining 91.0% consisted of general gardening, home goods, and other products and accessories. During the three months ended September 30, 2024, sales of hydroponic products, including ventilation and grow light systems, were approximately 17.2% of the Company’s total sales and the remaining 82.8% consisted of general gardening, home goods, and other products and accessories. As of September 30, 2025 and June 30, 2025, the Company had approximately $0.5 million and $1.0 million of inventory stored in China, respectively. The Company’s majority of long-lived assets are located in California, United States, majority of the deferred tax assets are US related, and a majority of the Company’s revenues are derived from within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our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ASU provides a practical expedient and accounting policy election for measuring expected credit losses on certain trade receivables and contract assets arising under ASC 606. The amendments are effective for fiscal years beginning after December 15, 2025, and interim periods within those fiscal years, with early adoption permitted. The Company is currently evaluating the impact of this ASU on its measurement of expected credit losses.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adoption of this standard did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did not have a material impact on its consolidated financial statements.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adoption of this standard did not have a material impact on its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adoption of this standard did not have a material impact on the Company's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adoption of this standard did not have a material impact on the Company’s consolidated financial statements.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In January 2023, TPA and Xiao transferred their 60% equity units to a third party without consideration as the LLC was still in the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September 30, 2025 and June 30, 2025, the carrying value of the investment in Box Harmony was $13,264 and $13,264,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three months ended September 30, 2025 and 2024, the impact of GSM’s activities were immaterial to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Package NV,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Custom Cup Factory, Inc., a California corporation (“CCF”), and Yi Yang (“Yang”) entered into the Limited Liability Company Operating Agreement (the “Operating Agreement”) of United Package NV, LLC, a Nevada limited liability corporation (“United Package”).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Package focuses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United Package in consideration for the Company’s contribution of equipment and facility, Yang owns 1,140 Class A Voting Units of the Joint Venture in consideration for Yang’s commitment to manage the business of United Package and CCF owns 1,710 Class A Voting Units of United Package in consideration for CCF’s contribution of its marketing expertise, existing sales channel and customer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the Company owns approximately 44% of the equity interest in United Package with significant influence but does not own a majority equity interest or otherwise control of United Package. The Company accounts for its ownership interest in United Package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September 30, 2025 and June 30, 2025, the Company had invested total of $665,443 and $371,917 to United Package,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2025, the Company entered into a VIE Contract Termination Agreement with the VIE, pursuant to which all VIE agreements were terminated. As a result, the Company no longer has a controlling financial interest in the VIE. In accordance with ASC 810-10-40, </w:t>
      </w:r>
      <w:r>
        <w:rPr>
          <w:rFonts w:ascii="Times New Roman" w:cs="Times New Roman" w:eastAsia="Times New Roman" w:hAnsi="Times New Roman"/>
          <w:sz w:val="18"/>
          <w:szCs w:val="18"/>
          <w:i w:val="1"/>
          <w:iCs w:val="1"/>
          <w:color w:val="auto"/>
        </w:rPr>
        <w:t>Consolidation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Deconsolidation of a Subsidiary or Derecognition of a Group of Assets</w:t>
      </w:r>
      <w:r>
        <w:rPr>
          <w:rFonts w:ascii="Times New Roman" w:cs="Times New Roman" w:eastAsia="Times New Roman" w:hAnsi="Times New Roman"/>
          <w:sz w:val="18"/>
          <w:szCs w:val="18"/>
          <w:color w:val="auto"/>
        </w:rPr>
        <w:t>, the Company deconsolidated the VIE as of the termination date.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Comparative information for the prior period has not been adjusted, as the deconsolidation does not represent a discontinued operation under ASC 205-20.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was no pledge or collateralization of the VIE assets that would be used to settle obligations of the VIE.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VIE’s assets and liabilities derecognized as of August 4, 2025 and the carrying amount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VIE’s assets and liabilities as of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Deconsolidation</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5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24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160,113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311,852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2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9,772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100,167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99,544</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280,155</w:t>
            </w:r>
          </w:p>
        </w:tc>
      </w:tr>
      <w:tr>
        <w:trPr>
          <w:trHeight w:val="216"/>
        </w:trPr>
        <w:tc>
          <w:tcPr>
            <w:tcW w:w="5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2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24,142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465,990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deconsolidation, the Company recorded $39,624 loss on deconsolidation of VIE.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months ended September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9"/>
                <w:szCs w:val="19"/>
                <w:color w:val="auto"/>
              </w:rPr>
            </w:pPr>
          </w:p>
        </w:tc>
      </w:tr>
      <w:tr>
        <w:trPr>
          <w:trHeight w:val="210"/>
        </w:trPr>
        <w:tc>
          <w:tcPr>
            <w:tcW w:w="61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1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650,250</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(138,930)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7,080,322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8,048,425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(1,974,130)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(1,924,417)</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5,106,192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6,124,008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Allowance for</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Credit Losses</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1,475,594</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1,830,980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1,924,417</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2025</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49,713</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1,974,130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June 30, 2025, inventories consisting of finished goods ready for sale, net of allowance for obsolescence, amounted to $4,332,605 and $8,131,203,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recorded inventory reserve expense of $58,453 and $288,474, respectively. As of September 30, 2025 and June 30, 2025, allowance for obsolescence was $370,921 and $312,468,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June 30, 2025, prepayments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5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4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1,176,256</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1,787,296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11,499</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8"/>
                <w:szCs w:val="18"/>
                <w:color w:val="auto"/>
              </w:rPr>
            </w:pP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303,773</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1,304,842</w:t>
            </w:r>
          </w:p>
        </w:tc>
        <w:tc>
          <w:tcPr>
            <w:tcW w:w="80" w:type="dxa"/>
            <w:vAlign w:val="bottom"/>
            <w:shd w:val="clear" w:color="auto" w:fill="EEEEEE"/>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1,491,528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3,111,210</w:t>
            </w:r>
          </w:p>
        </w:tc>
        <w:tc>
          <w:tcPr>
            <w:tcW w:w="8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$22,574 and $18,699 from a third party for using the Company’s courier accounts at September 30, 2025 and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June 30, 2025,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2025</w:t>
      </w:r>
    </w:p>
    <w:p>
      <w:pPr>
        <w:spacing w:after="0" w:line="31" w:lineRule="exact"/>
        <w:rPr>
          <w:sz w:val="20"/>
          <w:szCs w:val="20"/>
          <w:color w:val="auto"/>
        </w:rPr>
      </w:pPr>
    </w:p>
    <w:p>
      <w:pPr>
        <w:ind w:left="860" w:hanging="85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(2,353,971)</w:t>
      </w:r>
    </w:p>
    <w:p>
      <w:pPr>
        <w:spacing w:after="0" w:line="31" w:lineRule="exact"/>
        <w:rPr>
          <w:sz w:val="20"/>
          <w:szCs w:val="20"/>
          <w:color w:val="auto"/>
        </w:rPr>
      </w:pPr>
    </w:p>
    <w:p>
      <w:pPr>
        <w:ind w:left="860" w:hanging="85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2,818,986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31" w:lineRule="exact"/>
        <w:rPr>
          <w:sz w:val="20"/>
          <w:szCs w:val="20"/>
          <w:color w:val="auto"/>
        </w:rPr>
      </w:pPr>
    </w:p>
    <w:p>
      <w:pPr>
        <w:ind w:left="860" w:hanging="85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(2,191,628)</w:t>
      </w:r>
    </w:p>
    <w:p>
      <w:pPr>
        <w:spacing w:after="0" w:line="31" w:lineRule="exact"/>
        <w:rPr>
          <w:sz w:val="20"/>
          <w:szCs w:val="20"/>
          <w:color w:val="auto"/>
        </w:rPr>
      </w:pPr>
    </w:p>
    <w:p>
      <w:pPr>
        <w:ind w:left="860" w:hanging="85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994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0"/>
            <w:col w:w="1680"/>
          </w:cols>
          <w:pgMar w:left="320" w:top="684" w:right="339" w:bottom="1440" w:gutter="0" w:footer="0" w:header="0"/>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September 30, 2025 was approximately 4.95 years. The amortization expense for the three months ended September 30, 2025 and 2024 was $162,343 and $162,343, respectively. At September 30, 2025,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56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487,028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c>
          <w:tcPr>
            <w:tcW w:w="0" w:type="dxa"/>
            <w:vAlign w:val="bottom"/>
          </w:tcPr>
          <w:p>
            <w:pPr>
              <w:spacing w:after="0"/>
              <w:rPr>
                <w:sz w:val="1"/>
                <w:szCs w:val="1"/>
                <w:color w:val="auto"/>
              </w:rPr>
            </w:pPr>
          </w:p>
        </w:tc>
      </w:tr>
      <w:tr>
        <w:trPr>
          <w:trHeight w:val="216"/>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c>
          <w:tcPr>
            <w:tcW w:w="0" w:type="dxa"/>
            <w:vAlign w:val="bottom"/>
          </w:tcPr>
          <w:p>
            <w:pPr>
              <w:spacing w:after="0"/>
              <w:rPr>
                <w:sz w:val="1"/>
                <w:szCs w:val="1"/>
                <w:color w:val="auto"/>
              </w:rPr>
            </w:pPr>
          </w:p>
        </w:tc>
      </w:tr>
      <w:tr>
        <w:trPr>
          <w:trHeight w:val="216"/>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2030</w:t>
            </w:r>
          </w:p>
        </w:tc>
        <w:tc>
          <w:tcPr>
            <w:tcW w:w="1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562,107</w:t>
            </w:r>
          </w:p>
        </w:tc>
        <w:tc>
          <w:tcPr>
            <w:tcW w:w="0" w:type="dxa"/>
            <w:vAlign w:val="bottom"/>
          </w:tcPr>
          <w:p>
            <w:pPr>
              <w:spacing w:after="0"/>
              <w:rPr>
                <w:sz w:val="1"/>
                <w:szCs w:val="1"/>
                <w:color w:val="auto"/>
              </w:rPr>
            </w:pPr>
          </w:p>
        </w:tc>
      </w:tr>
      <w:tr>
        <w:trPr>
          <w:trHeight w:val="223"/>
        </w:trPr>
        <w:tc>
          <w:tcPr>
            <w:tcW w:w="56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8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2,818,986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2025 and June 30, 2025, other payables and accrued liabilities consisted of the following: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0"/>
        </w:trPr>
        <w:tc>
          <w:tcPr>
            <w:tcW w:w="56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198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gridSpan w:val="2"/>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262,570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149,276</w:t>
            </w:r>
          </w:p>
        </w:tc>
        <w:tc>
          <w:tcPr>
            <w:tcW w:w="0" w:type="dxa"/>
            <w:vAlign w:val="bottom"/>
          </w:tcPr>
          <w:p>
            <w:pPr>
              <w:spacing w:after="0"/>
              <w:rPr>
                <w:sz w:val="1"/>
                <w:szCs w:val="1"/>
                <w:color w:val="auto"/>
              </w:rPr>
            </w:pPr>
          </w:p>
        </w:tc>
      </w:tr>
      <w:tr>
        <w:trPr>
          <w:trHeight w:val="216"/>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197,511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291,995</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76,534</w:t>
            </w:r>
          </w:p>
        </w:tc>
        <w:tc>
          <w:tcPr>
            <w:tcW w:w="0" w:type="dxa"/>
            <w:vAlign w:val="bottom"/>
          </w:tcPr>
          <w:p>
            <w:pPr>
              <w:spacing w:after="0"/>
              <w:rPr>
                <w:sz w:val="1"/>
                <w:szCs w:val="1"/>
                <w:color w:val="auto"/>
              </w:rPr>
            </w:pPr>
          </w:p>
        </w:tc>
      </w:tr>
      <w:tr>
        <w:trPr>
          <w:trHeight w:val="216"/>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1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436,683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552,346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560,387</w:t>
            </w:r>
          </w:p>
        </w:tc>
        <w:tc>
          <w:tcPr>
            <w:tcW w:w="0" w:type="dxa"/>
            <w:vAlign w:val="bottom"/>
          </w:tcPr>
          <w:p>
            <w:pPr>
              <w:spacing w:after="0"/>
              <w:rPr>
                <w:sz w:val="1"/>
                <w:szCs w:val="1"/>
                <w:color w:val="auto"/>
              </w:rPr>
            </w:pPr>
          </w:p>
        </w:tc>
      </w:tr>
      <w:tr>
        <w:trPr>
          <w:trHeight w:val="229"/>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19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1,176,041</w:t>
            </w:r>
          </w:p>
        </w:tc>
        <w:tc>
          <w:tcPr>
            <w:tcW w:w="22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1,893,921</w:t>
            </w:r>
          </w:p>
        </w:tc>
        <w:tc>
          <w:tcPr>
            <w:tcW w:w="0" w:type="dxa"/>
            <w:vAlign w:val="bottom"/>
          </w:tcPr>
          <w:p>
            <w:pPr>
              <w:spacing w:after="0"/>
              <w:rPr>
                <w:sz w:val="1"/>
                <w:szCs w:val="1"/>
                <w:color w:val="auto"/>
              </w:rPr>
            </w:pPr>
          </w:p>
        </w:tc>
      </w:tr>
      <w:tr>
        <w:trPr>
          <w:trHeight w:val="20"/>
        </w:trPr>
        <w:tc>
          <w:tcPr>
            <w:tcW w:w="5680" w:type="dxa"/>
            <w:vAlign w:val="bottom"/>
            <w:tcBorders>
              <w:top w:val="single" w:sz="8" w:color="EEEEEE"/>
            </w:tcBorders>
          </w:tcPr>
          <w:p>
            <w:pPr>
              <w:spacing w:after="0" w:line="20" w:lineRule="exact"/>
              <w:rPr>
                <w:sz w:val="1"/>
                <w:szCs w:val="1"/>
                <w:color w:val="auto"/>
              </w:rPr>
            </w:pPr>
          </w:p>
        </w:tc>
        <w:tc>
          <w:tcPr>
            <w:tcW w:w="19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020" w:hanging="21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1"/>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020" w:hanging="21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020" w:hanging="21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020" w:hanging="21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months ended September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7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51,596</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2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10,123</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21,767</w:t>
            </w:r>
          </w:p>
        </w:tc>
      </w:tr>
      <w:tr>
        <w:trPr>
          <w:trHeight w:val="230"/>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7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66,305</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2022, in connection with the acquisition of Anivia Limited, the Company and JPM entered into an amendment to the Pledge and Security Agreement, pursuant to which the Company pledged 65% of its ownership interest in Anivia Limited and its subsidiaries.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grows or cultivates cannabis; it being acknowledged, however, that the Company does not generally conduct due diligence on its individual retail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June 30, 2025, the outstanding amount of the ABL, which was classified as current revolving loan payable, including interest payable, was $1,449,438 and $3,737,602,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was in default as a result of covenant violations under the ABL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months ended September 30, 2024, the Company recorded interest expense of $3,733. As of September 30, 2025 and June 30, 2025, the On-demand Loan 2 had been fully paid off.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2025, the Company borrowed $500,000 as a short-term loan (“RP Loan 2”) from an entity owned by Mr. Allan Huang, one of the majority shareholders of the Company. The RP Loan 2 bears no interest and is due upon receipt of request of repayment. As of September 30, 2025, the outstanding balance of the RP Loan was $500,000.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9, 2025, the Company borrowed $500,000 as a short-term loan from an entity owned by Mr. Allan Huang, one of the majority shareholders of the Company. See Note 10 above for details.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three months ended September 30, 2025, the Company received $435,155 service from Pacelor. As of September 30, 2025 and June 30, 2025, the (prepayment) accounts payable to Pacelor was $(66,014) and $78,831, respectively. Ms. Yang’s other entity, Pacelor NV Inc. (“Pacelor NV”) also provides marketing services for the Company. As of September 30, 2025 and June 30, 2025, the outstanding accounts payable to Pacelor NV was $315,019 and $315,019,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in those jurisdictions for the year ended June 30, 2022. The Company’s subsidiary in China, Dayourenzai (Shenzhen) Technology Co., Ltd. (“WFOE”), is subject to the Global Intangible Low-Taxed Income (or GILTI) Tax. WFOE is subject to 5% tax rate in PRC until December 31, 2027. Since WFOE had losses during the three months ended September 30, 2025 and 2024 and the year ended June 30, 2025, no GILTI tax was recorded as of September 30, 2025 and June 30, 2025. The Company is not eligible for the GILTI high-tax exclusion. In addition, as a result of the acquisition, the Company recognized goodwill in the amount of $6,094,144. Since the acquisition was a stock acquisition, the Goodwill is not deductible for tax purposes.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months ended September 30,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0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0"/>
        </w:trPr>
        <w:tc>
          <w:tcPr>
            <w:tcW w:w="51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50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9,076</w:t>
            </w:r>
          </w:p>
        </w:tc>
        <w:tc>
          <w:tcPr>
            <w:tcW w:w="5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80" w:type="dxa"/>
            <w:vAlign w:val="bottom"/>
            <w:shd w:val="clear" w:color="auto" w:fill="EEEEEE"/>
          </w:tcPr>
          <w:p>
            <w:pPr>
              <w:spacing w:after="0"/>
              <w:rPr>
                <w:sz w:val="18"/>
                <w:szCs w:val="18"/>
                <w:color w:val="auto"/>
              </w:rPr>
            </w:pP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6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250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3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(158,610)</w:t>
            </w:r>
          </w:p>
        </w:tc>
        <w:tc>
          <w:tcPr>
            <w:tcW w:w="5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(521,137)</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(33,636)</w:t>
            </w:r>
          </w:p>
        </w:tc>
        <w:tc>
          <w:tcPr>
            <w:tcW w:w="5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(123,784)</w:t>
            </w:r>
          </w:p>
        </w:tc>
      </w:tr>
      <w:tr>
        <w:trPr>
          <w:trHeight w:val="229"/>
        </w:trPr>
        <w:tc>
          <w:tcPr>
            <w:tcW w:w="5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(280,414)</w:t>
            </w:r>
          </w:p>
        </w:tc>
        <w:tc>
          <w:tcPr>
            <w:tcW w:w="5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250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(472,660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(644,921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160" w:type="dxa"/>
            <w:vAlign w:val="bottom"/>
            <w:shd w:val="clear" w:color="auto" w:fill="EEEEEE"/>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(463,584)</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(636,512)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2020 to 2024 remain open to examination by the major taxing jurisdictions to which the Company is subject. The following is a reconciliation of income tax expenses at the effective rate to income tax at the calculated statutory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5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5.63%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Reversal of over accrued income taxes of prior years for VIE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25.80%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state income tax deduction and other permanent differences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prepaid income taxes to US tax authorities was $11,499. As of June 30, 2025, prepaid income taxes to US tax authorities and income tax payable to Chinese tax authorities was $19,073 and $280,155,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3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136,513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256,568</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98,792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83,180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1,906</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21,950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91,295</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95,711</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3,281,252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3,081,145</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322,521</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311,662</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376,576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336,394</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(127,402)</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(118,191)</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25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525,795</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512,289</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4,729,198</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4,585,352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(51,206)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(56,648)</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gain/loss</w:t>
            </w: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(761,003)</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(804,242)</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(812,492</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(860,890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3,916,706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3,724,462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tc>
        <w:tc>
          <w:tcPr>
            <w:tcW w:w="2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r>
      <w:tr>
        <w:trPr>
          <w:trHeight w:val="209"/>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(533,648)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(2,029,281)</w:t>
            </w:r>
          </w:p>
        </w:tc>
      </w:tr>
      <w:tr>
        <w:trPr>
          <w:trHeight w:val="197"/>
        </w:trPr>
        <w:tc>
          <w:tcPr>
            <w:tcW w:w="6780" w:type="dxa"/>
            <w:vAlign w:val="bottom"/>
            <w:tcBorders>
              <w:top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Borders>
              <w:top w:val="single" w:sz="8" w:color="EEEEEE"/>
            </w:tcBorders>
            <w:shd w:val="clear" w:color="auto" w:fill="EEEEEE"/>
          </w:tcPr>
          <w:p>
            <w:pPr>
              <w:spacing w:after="0"/>
              <w:rPr>
                <w:sz w:val="17"/>
                <w:szCs w:val="17"/>
                <w:color w:val="auto"/>
              </w:rPr>
            </w:pPr>
          </w:p>
        </w:tc>
        <w:tc>
          <w:tcPr>
            <w:tcW w:w="360" w:type="dxa"/>
            <w:vAlign w:val="bottom"/>
            <w:tcBorders>
              <w:top w:val="single" w:sz="8" w:color="auto"/>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earnings per share*</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1,049,595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1,047,240</w:t>
            </w:r>
          </w:p>
        </w:tc>
      </w:tr>
      <w:tr>
        <w:trPr>
          <w:trHeight w:val="197"/>
        </w:trPr>
        <w:tc>
          <w:tcPr>
            <w:tcW w:w="678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Losses per share of ordinary shares - basic and diluted</w:t>
            </w:r>
          </w:p>
        </w:tc>
        <w:tc>
          <w:tcPr>
            <w:tcW w:w="88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EEEEEE"/>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options, and unvested RSUs as the Company had a net loss for the three months ended September 30, 2025 and 2024.</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and 2024, 4,166 and 71,343 vested but unissued shares of restricted stock units under the 2020 Equity Incentive Plan (as discussed in Note 14) are considered issued shares and therefore are included in the computation of basic losses per share when the shares are fully vested.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2025, the Company effectuated the 1-for-30 Reverse Stock Split. When the Reverse Stock Split becomes effective, every thirty (30) shares of the Company’s issued and outstanding Common Stock immediately prior to the Effective Time will automatically be reclassified into one (1) share of Common Stock, without any change in the par value per share. The Reverse Stock Split did not change the total number of authorized shares of Common Stock or preferred stock. As a result, unless otherwise indicated, all references to common stock, restricted stock units, warrants and options to purchase common stock, share data, per-share data, and related information have been retroactively adjusted, where applicable in the unaudited condensed consolidated financial statements and notes, to reflect the 1-for-30 reverse stock split of the Company’s common stock as if the split had occurred at the beginning of the earliest period presented.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the Company issued 4,460 shares of restricted Common Stock for RSUs vested.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69,445 shares of common stock (the “Shares”) and a concurrent private placement (“Private Placement,” and together with the Registered Direct, the “Offering”) of warrants (the “Warrants”) to purchase 69,445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$72.0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the fair value of the Warrants at $3.1 million, with a relative fair value of $1.7 million after allocation of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using the Black-Scholes Model with the following variables:</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$2.00 (pre-reverse-split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$2.40 (pre-reverse-split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 As of September 30 and June 30, 2025, none of the warrants had been exercised.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in order to recoup the settlement payment made to Boustead Securities, LLC, the Company’s Chief Executive Officer and co-founder, Lawrence Tan, along with co-founder Allan Huang, returned a total of 18,056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June 30, 2025, there were 1,049,790 and 1,045,330 shares of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September 30, 2025 and June 30, 2025,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10,000,000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and November 22,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granted an additional 1,607 and 2,381 shares of RSUs, respectively. For the three months ended September 30, 2025 and 2024, the Company recorded $10,000 and $31,788 of stock-based compensation expense. There was no forfeiture of RSUs occurred during the three months ended September 30, 2025 and 2024. As of September 30, 2025 and June 30, 2025, the unvested number of RSUs was 1,529 and 463 and the unamortized expense was $28,333 and $8,333, respectively.</w:t>
      </w:r>
    </w:p>
    <w:p>
      <w:pPr>
        <w:sectPr>
          <w:pgSz w:w="11900" w:h="16838" w:orient="portrait"/>
          <w:cols w:equalWidth="0" w:num="1">
            <w:col w:w="11240"/>
          </w:cols>
          <w:pgMar w:left="320" w:top="688"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Fair Market</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 of RSUs</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Issued as</w:t>
            </w:r>
          </w:p>
        </w:tc>
      </w:tr>
      <w:tr>
        <w:trPr>
          <w:trHeight w:val="238"/>
        </w:trPr>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 (1)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463</w:t>
            </w:r>
          </w:p>
        </w:tc>
        <w:tc>
          <w:tcPr>
            <w:tcW w:w="32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8"/>
        </w:trPr>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688"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of the 14,128 vested RSUs, 13,989 shares of Common Stock were issued, and 139 shares were to be issued in the near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of the 13,587 vested RSUs, 9,529 shares of Common Stock were issued, and 4,058 shares were to be issued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Fair Market</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 of RSUs</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Issued as</w:t>
            </w:r>
          </w:p>
        </w:tc>
      </w:tr>
      <w:tr>
        <w:trPr>
          <w:trHeight w:val="238"/>
        </w:trPr>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 (1)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109</w:t>
            </w:r>
          </w:p>
        </w:tc>
        <w:tc>
          <w:tcPr>
            <w:tcW w:w="32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8"/>
        </w:trPr>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688"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of the 11,908 vested RSUs, 9,529 shares of Common Stock were issued, and 2,379 shares were to be issued in the near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100,000 shares of Common Stock to Chenlong Tan, CEO and (ii) 11,000 shares of Common Stock to Mr. Vassily. The Option Grants, which were issued on May 13, 2022, have an exercise price of $33.6,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September 30, 2025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Revenue in Fiscal Year</w:t>
            </w:r>
          </w:p>
        </w:tc>
        <w:tc>
          <w:tcPr>
            <w:tcW w:w="1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Operating Income in Fiscal Year</w:t>
            </w:r>
          </w:p>
        </w:tc>
      </w:tr>
      <w:tr>
        <w:trPr>
          <w:trHeight w:val="191"/>
        </w:trPr>
        <w:tc>
          <w:tcPr>
            <w:tcW w:w="18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40" w:type="dxa"/>
            <w:vAlign w:val="bottom"/>
            <w:gridSpan w:val="2"/>
          </w:tcPr>
          <w:p>
            <w:pPr>
              <w:jc w:val="center"/>
              <w:ind w:right="920"/>
              <w:spacing w:after="0" w:line="191" w:lineRule="exact"/>
              <w:rPr>
                <w:sz w:val="20"/>
                <w:szCs w:val="20"/>
                <w:color w:val="auto"/>
              </w:rPr>
            </w:pPr>
            <w:r>
              <w:rPr>
                <w:rFonts w:ascii="Times New Roman" w:cs="Times New Roman" w:eastAsia="Times New Roman" w:hAnsi="Times New Roman"/>
                <w:sz w:val="18"/>
                <w:szCs w:val="18"/>
                <w:color w:val="auto"/>
                <w:w w:val="99"/>
              </w:rPr>
              <w:t>Milestone</w:t>
            </w:r>
          </w:p>
        </w:tc>
        <w:tc>
          <w:tcPr>
            <w:tcW w:w="2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 Millions)</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Status</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(in Millions)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210"/>
        </w:trPr>
        <w:tc>
          <w:tcPr>
            <w:tcW w:w="1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216"/>
        </w:trPr>
        <w:tc>
          <w:tcPr>
            <w:tcW w:w="1820" w:type="dxa"/>
            <w:vAlign w:val="bottom"/>
            <w:shd w:val="clear" w:color="auto" w:fill="EEEEEE"/>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90</w:t>
            </w:r>
          </w:p>
        </w:tc>
        <w:tc>
          <w:tcPr>
            <w:tcW w:w="720" w:type="dxa"/>
            <w:vAlign w:val="bottom"/>
            <w:shd w:val="clear" w:color="auto" w:fill="EEEEEE"/>
          </w:tcPr>
          <w:p>
            <w:pPr>
              <w:spacing w:after="0"/>
              <w:rPr>
                <w:sz w:val="18"/>
                <w:szCs w:val="18"/>
                <w:color w:val="auto"/>
              </w:rPr>
            </w:pPr>
          </w:p>
        </w:tc>
        <w:tc>
          <w:tcPr>
            <w:tcW w:w="1860" w:type="dxa"/>
            <w:vAlign w:val="bottom"/>
            <w:shd w:val="clear" w:color="auto" w:fill="EEEEEE"/>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Probable</w:t>
            </w:r>
          </w:p>
        </w:tc>
        <w:tc>
          <w:tcPr>
            <w:tcW w:w="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2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spacing w:after="0"/>
              <w:rPr>
                <w:sz w:val="18"/>
                <w:szCs w:val="18"/>
                <w:color w:val="auto"/>
              </w:rPr>
            </w:pPr>
          </w:p>
        </w:tc>
        <w:tc>
          <w:tcPr>
            <w:tcW w:w="1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Probable</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20" w:type="dxa"/>
            <w:vAlign w:val="bottom"/>
            <w:shd w:val="clear" w:color="auto" w:fill="EEEEEE"/>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shd w:val="clear" w:color="auto" w:fill="EEEEEE"/>
          </w:tcPr>
          <w:p>
            <w:pPr>
              <w:spacing w:after="0"/>
              <w:rPr>
                <w:sz w:val="18"/>
                <w:szCs w:val="18"/>
                <w:color w:val="auto"/>
              </w:rPr>
            </w:pPr>
          </w:p>
        </w:tc>
        <w:tc>
          <w:tcPr>
            <w:tcW w:w="1860" w:type="dxa"/>
            <w:vAlign w:val="bottom"/>
            <w:shd w:val="clear" w:color="auto" w:fill="EEEEEE"/>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Probable</w:t>
            </w:r>
          </w:p>
        </w:tc>
        <w:tc>
          <w:tcPr>
            <w:tcW w:w="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2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w:t>
            </w:r>
          </w:p>
        </w:tc>
        <w:tc>
          <w:tcPr>
            <w:tcW w:w="720" w:type="dxa"/>
            <w:vAlign w:val="bottom"/>
          </w:tcPr>
          <w:p>
            <w:pPr>
              <w:spacing w:after="0"/>
              <w:rPr>
                <w:sz w:val="18"/>
                <w:szCs w:val="18"/>
                <w:color w:val="auto"/>
              </w:rPr>
            </w:pPr>
          </w:p>
        </w:tc>
        <w:tc>
          <w:tcPr>
            <w:tcW w:w="1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Probable</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820" w:type="dxa"/>
            <w:vAlign w:val="bottom"/>
            <w:shd w:val="clear" w:color="auto" w:fill="EEEEEE"/>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shd w:val="clear" w:color="auto" w:fill="EEEEEE"/>
          </w:tcPr>
          <w:p>
            <w:pPr>
              <w:spacing w:after="0"/>
              <w:rPr>
                <w:sz w:val="18"/>
                <w:szCs w:val="18"/>
                <w:color w:val="auto"/>
              </w:rPr>
            </w:pPr>
          </w:p>
        </w:tc>
        <w:tc>
          <w:tcPr>
            <w:tcW w:w="1860" w:type="dxa"/>
            <w:vAlign w:val="bottom"/>
            <w:shd w:val="clear" w:color="auto" w:fill="EEEEEE"/>
          </w:tcPr>
          <w:p>
            <w:pPr>
              <w:jc w:val="center"/>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2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250</w:t>
            </w:r>
          </w:p>
        </w:tc>
        <w:tc>
          <w:tcPr>
            <w:tcW w:w="720" w:type="dxa"/>
            <w:vAlign w:val="bottom"/>
          </w:tcPr>
          <w:p>
            <w:pPr>
              <w:spacing w:after="0"/>
              <w:rPr>
                <w:sz w:val="20"/>
                <w:szCs w:val="20"/>
                <w:color w:val="auto"/>
              </w:rPr>
            </w:pPr>
          </w:p>
        </w:tc>
        <w:tc>
          <w:tcPr>
            <w:tcW w:w="1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five to six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 (pre-reverse-split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the Option Grants was $3.2 million of which, at September 30, 2025, $1.0 million is deemed probable of vesting.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2025, the Company reassessed the expected timing of meeting the performance conditions. According to ASC 718-10-55-78, since the number of awards expected to vest and the fair value had changed with the new estimate, the adjustment affected the recognition value and years to vest. Therefore, the Company had reversed $701,807 of the expenses recorded for non-vesting tranches and applied the prospective approach to record adjustment on tranches expected to be vested in future periods. As of September 30, 2025, none of the options had vested. For the three months ended September 30, 2025 and 2024, the Company recorded $40,691 and $110,382 of stock-based compensation expense related to the Option Grants. As of September 30, 2025, unrecognized compensation cost related to tranches probable of vesting is approximately $992,045 and will be recognized over five to six years, depending on the tranche.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40,000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2024 Stock Options, Mr. Tan will have the option to purchase the Company’s common stock, par value $0.001 per share, at an exercise price of $42.9 per share (which is 110% of the Fair Market Value of the stock on the grant date). The 2024 Stock Options have a term of 10 years and will vest as follows: 1,000 2024 Stock Options vested on the grant date (August 29, 2024), and 1,084 2024 Stock Options will vest on the first day of each month from September 1, 2024, to August 1,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a Black-Scholes Model was used to determine the fair value of the 2024 Stock Options with the following inputs: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$1.30 (pre-reverse-split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$1.43 (pre-reverse-split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–5.71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3.66%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2024 Stock Options was $1.22 million as of the grant date. For the three months ended September 30, 2025 and 2024, 3,250 and 2,084 stock options were vested and the Company recorded $99,512 and $63,790 as stock compensation expense, respectively. As of September 30, 2025, the unrecognized compensation cost of the 2024 Stock Options was approximately $0.76 million and will be recognized monthly through August 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15 -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June 30, 2025, $903,975 and $1,774,296, respectively, were deposited with various financial institutions and financial services companies in the United States and PRC. Accounts at each institution in the United States are insured by the Federal Deposit Insurance Corporation (FDIC) for up to $250,000. The Company had approximately $0.4 million and $1.4 million, respectively, in excess of the FDIC insurance limit, as of September 30, 2025 and June 30,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WFOE in China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Amazon Vendor and Amazon Seller customers accounted for 70% and 89% of the Company's total revenues, respectively. As of September 30, 2025 and June 30, 2025, respectively, accounts receivable from Amazon Vendor and Amazon Seller accounted for 73% and 72% of the Company’s total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one supplier accounted for 66% and 11% of the Company's total purchases, respectively. As of September 30, 2025 and June 30, 2025, accounts payable to one supplier accounted for 20% and 10% of the Company’s total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 The lease had been expired without renewal since May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is for one year from October 1, 2024 to September 30, 2025. The lease is treated as short-term lease and the base rental fee is approximately $10,000 per month.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11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Lease cost</w:t>
            </w:r>
          </w:p>
        </w:tc>
        <w:tc>
          <w:tcPr>
            <w:tcW w:w="18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18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361,746</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594,133</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195,188</w:t>
            </w:r>
          </w:p>
        </w:tc>
        <w:tc>
          <w:tcPr>
            <w:tcW w:w="0" w:type="dxa"/>
            <w:vAlign w:val="bottom"/>
          </w:tcPr>
          <w:p>
            <w:pPr>
              <w:spacing w:after="0"/>
              <w:rPr>
                <w:sz w:val="1"/>
                <w:szCs w:val="1"/>
                <w:color w:val="auto"/>
              </w:rPr>
            </w:pPr>
          </w:p>
        </w:tc>
      </w:tr>
      <w:tr>
        <w:trPr>
          <w:trHeight w:val="216"/>
        </w:trPr>
        <w:tc>
          <w:tcPr>
            <w:tcW w:w="7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378,512</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604,117</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 – 3.67</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8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ectPr>
          <w:pgSz w:w="11900" w:h="16838" w:orient="portrait"/>
          <w:cols w:equalWidth="0" w:num="1">
            <w:col w:w="11240"/>
          </w:cols>
          <w:pgMar w:left="320" w:top="688"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 - non-current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9/30/2025</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6/30/2025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3,603,165</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3,915,539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2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1,389,834</w:t>
            </w:r>
          </w:p>
        </w:tc>
        <w:tc>
          <w:tcPr>
            <w:tcW w:w="260" w:type="dxa"/>
            <w:vAlign w:val="bottom"/>
          </w:tcPr>
          <w:p>
            <w:pPr>
              <w:spacing w:after="0"/>
              <w:rPr>
                <w:sz w:val="24"/>
                <w:szCs w:val="2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1,361,111</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2,556,104</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2,913,967</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3,945,938</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4,275,078</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Lease</w:t>
            </w:r>
          </w:p>
        </w:tc>
        <w:tc>
          <w:tcPr>
            <w:tcW w:w="60" w:type="dxa"/>
            <w:vAlign w:val="bottom"/>
            <w:gridSpan w:val="2"/>
          </w:tcPr>
          <w:p>
            <w:pPr>
              <w:spacing w:after="0"/>
              <w:rPr>
                <w:sz w:val="20"/>
                <w:szCs w:val="20"/>
                <w:color w:val="auto"/>
              </w:rPr>
            </w:pPr>
          </w:p>
        </w:tc>
      </w:tr>
      <w:tr>
        <w:trPr>
          <w:trHeight w:val="40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1,155,407</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1,586,572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1,459,409</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(255,450)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3,945,938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940" w:space="720"/>
            <w:col w:w="3580"/>
          </w:cols>
          <w:pgMar w:left="320" w:top="688"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such authority granted by the Company’s stockholders at the Annual Meeting, held on June 23, 2025, the Board approved a reverse stock split of between one-for-twenty (1:20) and one-for-thirty (1:30) (the “Reverse Stock Split”) of the Common Stock on October 13, 2025, subject to final determination of the Company’s management. Company management subsequently determined to effectuate a one-for-thirty (1:30) Reverse Stock Split and on October 22, 2025, the Company filed a certificate of amendment to amend the Company’s certificate of incorporation (the “Certificate of Amendment”) with the Secretary of State of the State of Nevada, with an effective date of October 27, 2025 (the “Effective Date”). The Reverse Stock Split became effective at the start of trading on October 27, 2025 (the “Effective Time”). At the Effective Time, every thirty (30) shares of the Company’s issued and outstanding Common Stock immediately prior to the Effective Time shall automatically reclassified into one (1) share of Common Stock, without any change in the par value per share. The Reverse Stock Split did not change the total number of authorized shares of Common Stock or preferred stock.</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all shares of Common Stock and per share numbers in the unaudited condensed consolidated financial statements and notes have been adjusted retroactively to reflect the 1-for-30 Reverse Stock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2025, the Company’s Compensation Committee approved authorizing the Company to issue a grant of $800,000 in RSUs to its Chief Executive Officer, Mr. Chenlong Tan, which RSUs shall be calculated as of the grant date, have deferred settlement upon vesting, and shall vest in accordance with the vesting schedule set forth in the Grant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Driven by tech and data, iPower Inc. is an online supplier of consumer goods, including hydroponics equipment, general gardening supplies, and consumer home goods. Through the operations of our e-commerce platforms and channel partners, and our 99,347 square foot fulfillment centers in Rancho Cucamonga,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i w:val="1"/>
          <w:i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Deluxe </w:t>
      </w:r>
      <w:r>
        <w:rPr>
          <w:rFonts w:ascii="Times New Roman" w:cs="Times New Roman" w:eastAsia="Times New Roman" w:hAnsi="Times New Roman"/>
          <w:sz w:val="18"/>
          <w:szCs w:val="18"/>
          <w:color w:val="auto"/>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Digital Treasury Strategy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2025, the Company adopted a digital asset reserve, allocation and development strategy (the “Digital Treasury Strategy”) with the plan of creating a Digital Treasury Strategy business. To date, we have not effectuated the Digital Treasury Strategy business and do not know if it will be effectuated. As this Digital Treasury Strategy is a newly planned addition to our business model, we cannot predict its success or know whether we will commence this strategy or, once commenced, if we will continue with this strategy for the long term. The Company will provide additional updates to shareholders when and if we do effectuate such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 and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00" w:type="dxa"/>
            <w:vAlign w:val="bottom"/>
            <w:tcBorders>
              <w:bottom w:val="single" w:sz="8" w:color="EEEEEE"/>
            </w:tcBorders>
          </w:tcPr>
          <w:p>
            <w:pPr>
              <w:spacing w:after="0"/>
              <w:rPr>
                <w:sz w:val="20"/>
                <w:szCs w:val="20"/>
                <w:color w:val="auto"/>
              </w:rPr>
            </w:pPr>
          </w:p>
        </w:tc>
        <w:tc>
          <w:tcPr>
            <w:tcW w:w="15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EEEEEE"/>
            </w:tcBorders>
          </w:tcPr>
          <w:p>
            <w:pPr>
              <w:spacing w:after="0"/>
              <w:rPr>
                <w:sz w:val="20"/>
                <w:szCs w:val="20"/>
                <w:color w:val="auto"/>
              </w:rPr>
            </w:pPr>
          </w:p>
        </w:tc>
        <w:tc>
          <w:tcPr>
            <w:tcW w:w="1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44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10,484,661</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18,275,412</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1,532,806</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733,109</w:t>
            </w:r>
          </w:p>
        </w:tc>
        <w:tc>
          <w:tcPr>
            <w:tcW w:w="2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109.1%</w:t>
            </w:r>
          </w:p>
        </w:tc>
      </w:tr>
      <w:tr>
        <w:trPr>
          <w:trHeight w:val="210"/>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12,017,467</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19,008,521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5,878,262</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9,917,448</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1,332,681</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603,176</w:t>
            </w:r>
          </w:p>
        </w:tc>
        <w:tc>
          <w:tcPr>
            <w:tcW w:w="2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120.9%</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7,210,943</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10,520,624</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4,806,524</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8,487,897</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6,501,703</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11,234,331</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(1,695,179)</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(2,746,434)</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697,947</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77,805</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(997,232)</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(2,668,629)</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463,584</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636,512</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(533,648)</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(2,032,117)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(2,836)</w:t>
            </w:r>
          </w:p>
        </w:tc>
        <w:tc>
          <w:tcPr>
            <w:tcW w:w="2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(533,648)</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(2,029,281)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24,943</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(55,054)</w:t>
            </w:r>
          </w:p>
        </w:tc>
        <w:tc>
          <w:tcPr>
            <w:tcW w:w="2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145.3%</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(508,705)</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(2,084,335)</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 – product sales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 of revenues – service income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September 30, 2025 decreased 36.8% to $12,017,467 as compared to $19,008,521 for the three months ended September 30, 2024.While pricing remained stable and with the additional logistics service income, the decrease was mainly due to the combination of decreased orders from Amazon and temporary disruption of product supply during the quarter ended September 30, 2025. In addition, the Company also experienced a significant decrease in amazon orders due to uncertainty over tariffs during quarter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revenues for the three months ended September 30, 2025 decreased 31.5% to $7,210,943 as compared to $10,520,624 for the three months ended September 30, 2024. The decrease was primarily due to a combination of the costs related to the logistics service income and the decrease in sales, freight costs, and lowered product costs resulting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was $4,806,524 for the three months ended September 30, 2025 as compared to $8,487,897 for the three months ended September 30, 2024. While the overall gross profit ratio of the total sales revenues decreased to 40.0% for the three months ended September 30, 2025 from 44.7% for the three months ended September 30, 2024, the gross profit ratio of product sales revenue for the three months ended September 30, 2025 and 2024 was 43.9% and 45.7%, respectively. The decrease in the gross profit ratio was primarily driven by the increase in the logistics service income and secondarily by increases in freight costs and product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2025 decreased 42.1% to $6,501,703 as compared to $11,234,331 for the three months ended September 30, 2024. The decrease was mainly due to the combination of a decrease in selling and fulfillment expenses of $0.7 million as a result of decreased costs related to advertising, merchant fees, rental expenses and delivery fees, and a decrease in general and administrative expenses of $4.0 million, which included payroll expenses, stock-based compensation expense, insurance expenses, allowance for credit losses, travel expenses and other operating expenses. The decrease in general and administrative expenses was primarily attributable to the implementation of a cost-cutting plan during the current quarter, as compared to the prior-year period which included expenses related to the expansion of our vendor network, the development of the SuperSuite platform, and an increase in the allowance for credit losses and inventory reserves totaling $1.76 million for the quarter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Loss from operations was $1,695,179 for the three months ended September 30, 2025 as compared to $2,746,434 for the three months ended September 30, 2024. The decrease in loss resulted from the decrease in operating expenses being greater than the decrease in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income consists of interest expense and other non-operating income. Other income for the three months ended September 30, 2025 was $697,947 as compared to $77,805 for the three months ended September 30, 2024. The increase in other income was mainly due to combination of the increase in other non-operating income of $620,142 resulted from discounted settlement and write-offs of aged accounts payable, recognition of loss on deconsolidation of VIE, and a decrease in interest, including amortization of debt discount, on the revolving loan of $78,243 during the three months ended September 30, 2025 resulted from the decreasing loan balance.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three months ended September 30, 2025 was $533,648 as compared to $2,029,281 for the three months ended September 30, 2024, representing a decrease in net loss of $1,495,633. The decrease was primarily due to the decrease in operating expenses and the increase in other income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three months ended September 30, 2025 was $508,705 as compared to $2,084,335 for the three months ended September 30, 2024, representing a decrease in comprehensive loss of $1,575,630. The decrease was due to the reasons discussed above, along with an increase in other comprehensive income of $79,997 as a result of foreign currency translation adjustments resulting from the translation of RMB, the functional currency of our subsidiary and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we primarily funded our operations with cash and cash equivalents generated from operations, borrowing from related party, as well as through borrowing under our credit facility from JPMorgan Chase Bank (“JPM”). Additionally, on June 18, 2024, we closed on a registered direct offering of 69,445 shares of common stock (the “Shares”) and a concurrent private placement of warrants to purchase up to 69,445 shares of common stock (the “Warrants”), which Shares and Warrants were sold for aggregate gross proceeds of $5,000,002. As of September 30, 2025, we had cash and cash equivalents of $903,975, representing a $1,103,915 decrease from $2,007,890 in cash as of June 30, 2025. The cash decrease was primarily due to the combined result of cash provided by operating activities, cash used in investing activities and financing activities resulting from our payments to pay down the JPM revolving line of credit.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“Item 1A - Risk Factors” in our Annual Report on Form 10-K filed with the SEC on October 9, 2025.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$1.0 million in unused credit under the revolving line with JPM.</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Given our current working capital position and available funding from our revolving credit line and proceeds from our June 2024 registered direct offering, we believe we will be able to work through the current challenges by managing payment terms with customers and vendors.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and June 30, 2025, our working capital was $4.1 million and $4.9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provided by (used in) operating activities for the three months ended September 30, 2025 and 2024 was $1,686,463 and $(1,415,643), respectively. The increase in cash provided by operating activities mainly resulted from an increase in cash received from customers, which was partially offset by an increase in cash paid for cost of revenues and operating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September 30, 2025 and 2024 was $1,037,272 and $202,140, respectively. The increase was mainly due to deconsolidation of VIE cash, payments made for investment in joint venture and prepayments made for software developments during the quarter ended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$1,778,026 and $3,308,599, respectively, for the three months ended September 30, 2025 and 2024. The decrease in net cash used in financing activities was primarily due to a decrease in payments on the revolving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Inventories, net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and fulfillment expenses. The Company regularly reviews inventory and considers forecasts of future demand, market conditions and product obsolescence.</w:t>
      </w:r>
    </w:p>
    <w:p>
      <w:pPr>
        <w:spacing w:after="0" w:line="1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spacing w:after="0" w:line="18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 w:cs="Times New Roman" w:eastAsia="Times New Roman" w:hAnsi="Times New Roman"/>
          <w:sz w:val="17"/>
          <w:szCs w:val="17"/>
          <w:i w:val="1"/>
          <w:iCs w:val="1"/>
          <w:color w:val="auto"/>
        </w:rPr>
        <w:t>Consolidation — Deconsolidation of a Subsidiary or Derecognition of a Group of Assets</w:t>
      </w:r>
      <w:r>
        <w:rPr>
          <w:rFonts w:ascii="Times New Roman" w:cs="Times New Roman" w:eastAsia="Times New Roman" w:hAnsi="Times New Roman"/>
          <w:sz w:val="17"/>
          <w:szCs w:val="17"/>
          <w:color w:val="auto"/>
        </w:rPr>
        <w:t>, the Company deconsolidated the VIE as of the termination date.</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performed a qualitative goodwill impairment analysis following the steps laid out in ASC 350-20-35-3C and noted no goodwill impairment. As of September 30, 2025 and June 30, 2025, the goodwill balance amounted to $3,034,110 and $3,034,110,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September 30, 2025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72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5720" w:type="dxa"/>
            <w:vAlign w:val="bottom"/>
            <w:shd w:val="clear" w:color="auto" w:fill="EEEEEE"/>
          </w:tcPr>
          <w:p>
            <w:pPr>
              <w:jc w:val="center"/>
              <w:ind w:left="223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572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5720" w:type="dxa"/>
            <w:vAlign w:val="bottom"/>
            <w:shd w:val="clear" w:color="auto" w:fill="EEEEEE"/>
          </w:tcPr>
          <w:p>
            <w:pPr>
              <w:jc w:val="center"/>
              <w:ind w:left="223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not record any impairment charge for the three months ended September 30,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2025,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September 30, 2025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refer to Part I, Item 1A, Risk Factors, of our Annual Report on Form 10-K for the year ended June 30, 2025 for a detailed description of our significant risk factors. As of September 30, 2025, there have been no material changes from those risk factors disclosed in our Annual Report on Form 10-K for the year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our fiscal quarter ended September 30, 2025, none of our directors or officers informed us of the adoption or termination of a “Rule 10b5-1 trading arrangement” or “non-Rule 10b5-1 trading arrangement” as those terms are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top w:val="single" w:sz="8" w:color="auto"/>
            </w:tcBorders>
            <w:gridSpan w:val="7"/>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 the</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Registration Statement on Form S-1 filed May 5, 2021).</w:t>
            </w:r>
          </w:p>
        </w:tc>
        <w:tc>
          <w:tcPr>
            <w:tcW w:w="5060" w:type="dxa"/>
            <w:vAlign w:val="bottom"/>
            <w:gridSpan w:val="2"/>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10100" w:type="dxa"/>
            <w:vAlign w:val="bottom"/>
            <w:gridSpan w:val="7"/>
          </w:tcPr>
          <w:p>
            <w:pPr>
              <w:spacing w:after="0" w:line="194"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 xml:space="preserve">Amendment to Articles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Current Report on Form 8-K filed October 21,</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6"/>
                <w:szCs w:val="16"/>
                <w:color w:val="auto"/>
              </w:rPr>
            </w:pPr>
          </w:p>
        </w:tc>
        <w:tc>
          <w:tcPr>
            <w:tcW w:w="10100" w:type="dxa"/>
            <w:vAlign w:val="bottom"/>
            <w:gridSpan w:val="7"/>
          </w:tcPr>
          <w:p>
            <w:pPr>
              <w:spacing w:after="0" w:line="194"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 xml:space="preserve">Third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Current Report on Form 8-K filed on</w:t>
            </w:r>
          </w:p>
        </w:tc>
      </w:tr>
      <w:tr>
        <w:trPr>
          <w:trHeight w:val="21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June 11, 2025).</w:t>
            </w:r>
          </w:p>
        </w:tc>
        <w:tc>
          <w:tcPr>
            <w:tcW w:w="6280" w:type="dxa"/>
            <w:vAlign w:val="bottom"/>
            <w:gridSpan w:val="3"/>
          </w:tcPr>
          <w:p>
            <w:pPr>
              <w:spacing w:after="0"/>
              <w:rPr>
                <w:sz w:val="18"/>
                <w:szCs w:val="18"/>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6"/>
                <w:szCs w:val="16"/>
                <w:color w:val="auto"/>
              </w:rPr>
            </w:pPr>
          </w:p>
        </w:tc>
        <w:tc>
          <w:tcPr>
            <w:tcW w:w="101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Subsidiaries of the Registrant</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Executive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960" w:type="dxa"/>
            <w:vAlign w:val="bottom"/>
            <w:tcBorders>
              <w:left w:val="single" w:sz="8" w:color="0000EE"/>
            </w:tcBorders>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Financial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6"/>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6"/>
          </w:tcPr>
          <w:p>
            <w:pPr>
              <w:spacing w:after="0" w:line="20" w:lineRule="exact"/>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iPower Inc.</w:t>
      </w:r>
    </w:p>
    <w:p>
      <w:pPr>
        <w:sectPr>
          <w:pgSz w:w="11900" w:h="16838" w:orient="portrait"/>
          <w:cols w:equalWidth="0" w:num="1">
            <w:col w:w="11220"/>
          </w:cols>
          <w:pgMar w:left="320" w:top="792" w:right="3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24765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4920" w:space="720"/>
            <w:col w:w="1740" w:space="720"/>
            <w:col w:w="3120"/>
          </w:cols>
          <w:pgMar w:left="320" w:top="792" w:right="359" w:bottom="1440" w:gutter="0" w:footer="0" w:header="0"/>
          <w:type w:val="continuous"/>
        </w:sectPr>
      </w:pPr>
    </w:p>
    <w:p>
      <w:pPr>
        <w:jc w:val="center"/>
        <w:ind w:left="618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7"/>
          <w:szCs w:val="17"/>
          <w:color w:val="auto"/>
        </w:rPr>
        <w:t>Chief Executive Officer, President and Interim Chief Financial</w:t>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30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238"/>
        </w:trPr>
        <w:tc>
          <w:tcPr>
            <w:tcW w:w="3940" w:type="dxa"/>
            <w:vAlign w:val="bottom"/>
          </w:tcPr>
          <w:p>
            <w:pPr>
              <w:spacing w:after="0"/>
              <w:rPr>
                <w:sz w:val="20"/>
                <w:szCs w:val="20"/>
                <w:color w:val="auto"/>
              </w:rPr>
            </w:pPr>
          </w:p>
        </w:tc>
        <w:tc>
          <w:tcPr>
            <w:tcW w:w="7300" w:type="dxa"/>
            <w:vAlign w:val="bottom"/>
            <w:gridSpan w:val="2"/>
          </w:tcPr>
          <w:p>
            <w:pPr>
              <w:jc w:val="center"/>
              <w:ind w:right="3830"/>
              <w:spacing w:after="0"/>
              <w:rPr>
                <w:sz w:val="20"/>
                <w:szCs w:val="20"/>
                <w:color w:val="auto"/>
              </w:rPr>
            </w:pPr>
            <w:r>
              <w:rPr>
                <w:rFonts w:ascii="Times New Roman" w:cs="Times New Roman" w:eastAsia="Times New Roman" w:hAnsi="Times New Roman"/>
                <w:sz w:val="18"/>
                <w:szCs w:val="18"/>
                <w:b w:val="1"/>
                <w:bCs w:val="1"/>
                <w:color w:val="auto"/>
                <w:w w:val="99"/>
              </w:rPr>
              <w:t>as of September 30, 2025</w:t>
            </w:r>
          </w:p>
        </w:tc>
      </w:tr>
      <w:tr>
        <w:trPr>
          <w:trHeight w:val="216"/>
        </w:trPr>
        <w:tc>
          <w:tcPr>
            <w:tcW w:w="39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10"/>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 Organization</w:t>
            </w:r>
          </w:p>
        </w:tc>
      </w:tr>
      <w:tr>
        <w:trPr>
          <w:trHeight w:val="209"/>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 Marketing Solutions Inc.</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0"/>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Products Marketing Inc.</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09"/>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Anivia Limited</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09"/>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Fly Elephant Limited</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0"/>
        </w:trPr>
        <w:tc>
          <w:tcPr>
            <w:tcW w:w="39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Dayourenzai (Shenzhen) Technology Co., Ltd.</w:t>
            </w:r>
          </w:p>
        </w:tc>
        <w:tc>
          <w:tcPr>
            <w:tcW w:w="17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bl>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700" w:hanging="17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iPower Inc. (the “registrant”);</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300" w:type="dxa"/>
            <w:vAlign w:val="bottom"/>
          </w:tcPr>
          <w:p>
            <w:pPr>
              <w:spacing w:after="0"/>
              <w:rPr>
                <w:sz w:val="16"/>
                <w:szCs w:val="16"/>
                <w:color w:val="auto"/>
              </w:rPr>
            </w:pP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3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30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700" w:hanging="17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iPower Inc. (the “registrant”);</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for the period ended September 30, 2025,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for the period ended September 30, 2025, as filed with the Securities and Exchange Commission on the date hereof (the “Report”), I, Chenlong Tan, Interim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Ø"/>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0" Type="http://schemas.openxmlformats.org/officeDocument/2006/relationships/hyperlink" Target="https://www.sec.gov/Archives/edgar/data/1830072/000168316821001774/ipower_ex0303.htm" TargetMode="External"/><Relationship Id="rId81" Type="http://schemas.openxmlformats.org/officeDocument/2006/relationships/hyperlink" Target="https://www.sec.gov/Archives/edgar/data/1830072/000168316825007681/ipower_ex0301.htm" TargetMode="External"/><Relationship Id="rId82" Type="http://schemas.openxmlformats.org/officeDocument/2006/relationships/hyperlink" Target="https://www.sec.gov/Archives/edgar/data/1830072/000168316821001556/ipower_ex03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2025-11-14T10:18:00Z</dcterms:created>
  <dcterms:modified xsi:type="dcterms:W3CDTF">2025-11-14T10:18:00Z</dcterms:modified>
</cp:coreProperties>
</file>