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a_001">
        <w:bookmarkStart w:id="0" w:name="ipower_s1a1.htm"/>
        <w:bookmarkStart w:id="1" w:name="ksipower_s1a1"/>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18,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333-297399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3_edei--DocumentType_c20260813__20"/>
      <w:bookmarkEnd w:id="2"/>
      <w:r>
        <w:rPr>
          <w:rFonts w:ascii="Times New Roman;Times;Serif" w:hAnsi="Times New Roman;Times;Serif"/>
          <w:b/>
          <w:i w:val="false"/>
          <w:caps w:val="false"/>
          <w:smallCaps w:val="false"/>
          <w:sz w:val="20"/>
        </w:rPr>
        <w:t>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3" w:name="xdx_903_edei--EntityRegistrantName_c2026"/>
      <w:bookmarkEnd w:id="3"/>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4" w:name="xdx_90B_edei--EntityIncorporationStateCo"/>
            <w:bookmarkEnd w:id="4"/>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5200</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4_edei--EntityTaxIdentificationNum"/>
            <w:bookmarkEnd w:id="5"/>
            <w:r>
              <w:rPr>
                <w:rFonts w:ascii="Times New Roman;Times;Serif" w:hAnsi="Times New Roman;Times;Serif"/>
                <w:b/>
                <w:sz w:val="20"/>
              </w:rPr>
              <w:t>82-5144171</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9_edei--EntityAddressAddressLine1_"/>
      <w:bookmarkEnd w:id="6"/>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D_edei--EntityAddressCityOrTown_c2"/>
      <w:bookmarkEnd w:id="7"/>
      <w:r>
        <w:rPr>
          <w:rFonts w:ascii="Times New Roman;Times;Serif" w:hAnsi="Times New Roman;Times;Serif"/>
          <w:b/>
          <w:i w:val="false"/>
          <w:caps w:val="false"/>
          <w:smallCaps w:val="false"/>
          <w:sz w:val="20"/>
        </w:rPr>
        <w:t xml:space="preserve">Rancho Cucamonga, </w:t>
      </w:r>
      <w:bookmarkStart w:id="8" w:name="xdx_901_edei--EntityAddressStateOrProvin"/>
      <w:bookmarkEnd w:id="8"/>
      <w:r>
        <w:rPr>
          <w:rFonts w:ascii="Times New Roman;Times;Serif" w:hAnsi="Times New Roman;Times;Serif"/>
          <w:b/>
          <w:i w:val="false"/>
          <w:caps w:val="false"/>
          <w:smallCaps w:val="false"/>
          <w:sz w:val="20"/>
        </w:rPr>
        <w:t xml:space="preserve">CA </w:t>
      </w:r>
      <w:bookmarkStart w:id="9" w:name="xdx_902_edei--EntityAddressPostalZipCode"/>
      <w:bookmarkEnd w:id="9"/>
      <w:r>
        <w:rPr>
          <w:rFonts w:ascii="Times New Roman;Times;Serif" w:hAnsi="Times New Roman;Times;Serif"/>
          <w:b/>
          <w:i w:val="false"/>
          <w:caps w:val="false"/>
          <w:smallCaps w:val="false"/>
          <w:sz w:val="20"/>
        </w:rPr>
        <w:t>91730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5_edei--CityAreaCode_c20260813__20"/>
      <w:bookmarkEnd w:id="10"/>
      <w:r>
        <w:rPr>
          <w:rFonts w:ascii="Times New Roman;Times;Serif" w:hAnsi="Times New Roman;Times;Serif"/>
          <w:b/>
          <w:i w:val="false"/>
          <w:caps w:val="false"/>
          <w:smallCaps w:val="false"/>
          <w:sz w:val="20"/>
        </w:rPr>
        <w:t xml:space="preserve">(626) </w:t>
      </w:r>
      <w:bookmarkStart w:id="11" w:name="xdx_902_edei--LocalPhoneNumber_c20260813"/>
      <w:bookmarkEnd w:id="11"/>
      <w:r>
        <w:rPr>
          <w:rFonts w:ascii="Times New Roman;Times;Serif" w:hAnsi="Times New Roman;Times;Serif"/>
          <w:b/>
          <w:i w:val="false"/>
          <w:caps w:val="false"/>
          <w:smallCaps w:val="false"/>
          <w:sz w:val="20"/>
        </w:rPr>
        <w:t xml:space="preserve">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Chenlong Tan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Rancho Cucamonga, CA 91730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(626) 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Megan J. Penick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W 52nd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415-9200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w:t>
      </w:r>
      <w:r>
        <w:rPr>
          <w:rFonts w:ascii="Times New Roman;Times;Serif" w:hAnsi="Times New Roman;Times;Serif"/>
          <w:b w:val="false"/>
          <w:i w:val="false"/>
          <w:caps w:val="false"/>
          <w:smallCaps w:val="false"/>
          <w:sz w:val="20"/>
        </w:rPr>
        <w:t>As soon as practicable after this registration statement is declared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bookmarkStart w:id="12" w:name="xdx_90E_edei--EntityFilerCategory_c20260"/>
            <w:bookmarkEnd w:id="12"/>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bookmarkStart w:id="13" w:name="xdx_904_edei--EntitySmallBusiness_c20260"/>
            <w:bookmarkEnd w:id="13"/>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bookmarkStart w:id="14" w:name="xdx_90C_edei--EntityEmergingGrowthCompan"/>
            <w:bookmarkEnd w:id="14"/>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15" w:name="xdx_908_edei--EntityExTransitionPeriod_c"/>
      <w:bookmarkEnd w:id="15"/>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we are not soliciting an offer to buy these securities in any state or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510" w:type="dxa"/>
        <w:jc w:val="left"/>
        <w:tblInd w:w="0" w:type="dxa"/>
        <w:tblLayout w:type="fixed"/>
        <w:tblCellMar>
          <w:top w:w="0" w:type="dxa"/>
          <w:left w:w="0" w:type="dxa"/>
          <w:bottom w:w="0" w:type="dxa"/>
          <w:right w:w="0" w:type="dxa"/>
        </w:tblCellMar>
      </w:tblPr>
      <w:tblGrid>
        <w:gridCol w:w="2750"/>
        <w:gridCol w:w="4760"/>
      </w:tblGrid>
      <w:tr>
        <w:trPr/>
        <w:tc>
          <w:tcPr>
            <w:tcW w:w="2750" w:type="dxa"/>
            <w:tcBorders/>
            <w:vAlign w:val="center"/>
          </w:tcPr>
          <w:p>
            <w:pPr>
              <w:pStyle w:val="TableContents"/>
              <w:bidi w:val="0"/>
              <w:spacing w:before="0" w:after="283"/>
              <w:jc w:val="left"/>
              <w:rPr>
                <w:rFonts w:ascii="Times New Roman;Times;Serif" w:hAnsi="Times New Roman;Times;Serif"/>
                <w:b/>
                <w:color w:val="FF0000"/>
                <w:sz w:val="20"/>
              </w:rPr>
            </w:pPr>
            <w:r>
              <w:rPr>
                <w:rFonts w:ascii="Times New Roman;Times;Serif" w:hAnsi="Times New Roman;Times;Serif"/>
                <w:b/>
                <w:color w:val="FF0000"/>
                <w:sz w:val="20"/>
              </w:rPr>
              <w:t>PRELIMINARY PROSPECTUS</w:t>
            </w:r>
          </w:p>
        </w:tc>
        <w:tc>
          <w:tcPr>
            <w:tcW w:w="4760" w:type="dxa"/>
            <w:tcBorders/>
            <w:vAlign w:val="center"/>
          </w:tcPr>
          <w:p>
            <w:pPr>
              <w:pStyle w:val="TableContents"/>
              <w:bidi w:val="0"/>
              <w:spacing w:before="0" w:after="283"/>
              <w:jc w:val="right"/>
              <w:rPr>
                <w:rFonts w:ascii="Times New Roman;Times;Serif" w:hAnsi="Times New Roman;Times;Serif"/>
                <w:b/>
                <w:color w:val="FF0000"/>
                <w:sz w:val="20"/>
              </w:rPr>
            </w:pPr>
            <w:r>
              <w:rPr>
                <w:rFonts w:ascii="Times New Roman;Times;Serif" w:hAnsi="Times New Roman;Times;Serif"/>
                <w:b/>
                <w:color w:val="FF0000"/>
                <w:sz w:val="20"/>
              </w:rPr>
              <w:t>SUBJECT TO COMPLETION DATED August 18,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5,873,610 Shares of Common Stock Underlying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$3,149,444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240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the resale, from time to time, by a certain institutional investor or its permitted transferees (the “Investor” or “Selling Stockholder”) of up to an aggregate of 5,873,610 shares (the “Shares”) of common stock, par value $0.001 per share (the “common stock”), of iPower Inc. (the “Company”), upon conversion of $3,149,444 of Series A secured convertible notes issued pursuant to the Purchase Agreement (as defined below) (the “Series A Convertible Notes”). The Shares consist of (i) 2,379,183 shares underlying a $1,249,444 of a Series A Convertible Note, issued July 6, 2026, including interest due thereunder converted at an assumed floor price equal to 20% of the Nasdaq closing price on August 14, 2026, or $0.628; and (ii) 3,494,427 shares underlying a $1,900,000 Series A Convertible Note issued on February 10, 2026, including interest due thereunder, converted at an adjusted floor price of $0.628.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providing for the purchase by the Investor of (i) up to $30,000,000 6% original issue discount convertible notes facility, with an initial closing of $5,184,024 principal amount of Series A Convertible Notes on December 23, 2025 sold in reliance on an exemption from registration statement afforded by Section 4(a)(2) of the Securities Act of 1933, as amended (the “Securities Act”), and Rule 506(b) of Regulation D of the Securities Act, and (ii)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with such Series A Convertible Notes to be issuable from time to time upon sale to the Investor, first as an additional mandatory closing and, thereafter, an additional optional closing. Following the Company’s 1-for-8 reverse stock split completed on May 22, 2026 and its additional 1-for-9 reverse stock split completed on August 7, 2026, the Company is now filing this additional registration statement to register additional shares underlying the issued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sold an aggregate total original principal amount of $12,184,024 in Series A Convertible Notes to the Investor, with $18,000,000 of aggregate original principal amount of Series A Convertible Notes remaining available for issuance. To date, the Investor has converted a total of $9,034,580 of the Series A Convertible Notes, resulting in the conversion of a total of 661,485 shares at an average conversion per share conversion price of $13.66 on a post-reverse stock split basis (accounting for a 1-for-8 reverse stock split effectuated May 22, 2026 and a 1-for-9 reverse stock split effectuated August 7, 2026). During this time, we did not convert using the Floor Price, as defined in the Series A Convertible Notes, and instead converted at the Alternate Optional Conversion Price of 95% of the seven day VWAP for each of the seven trading days prior to the date of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are not selling any common stock under this registration statement and will not receive any of the proceeds from the sale or other disposition of shares by the Selling Stockholder, see “</w:t>
      </w:r>
      <w:hyperlink w:anchor="a_008">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Selling Stockholder or its transferees, pledgees, assignees or successors-in-interest may offer and sell or otherwise dispose of the Shares described in this registration statement from time to time through public or private transactions at prevailing market prices, at prices related to prevailing market prices or at privately negotiated prices. The Selling Stockholder will bear all costs related to commissions and discounts, if any, attributable to the sales of the Shares. We will bear all other costs, expenses and fees in connection with the registration of the Shares.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beginning on page 29 for more information about how the Selling Stockholder may sell or dispose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symbol “IPW.” On August 17, 2026, the closing price of our common stock on the Nasdaq Capital Market was $3.14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involves a high degree of risk. You should read this prospectus as well as the information incorporated herein by reference carefully before you make your investment decision. See “</w:t>
      </w:r>
      <w:hyperlink w:anchor="a_006">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9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1"/>
      <w:bookmarkEnd w:id="16"/>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shd w:fill="FFFFFF" w:val="clear"/>
        <w:tblLayout w:type="fixed"/>
        <w:tblCellMar>
          <w:top w:w="0" w:type="dxa"/>
          <w:left w:w="0" w:type="dxa"/>
          <w:bottom w:w="0" w:type="dxa"/>
          <w:right w:w="0" w:type="dxa"/>
        </w:tblCellMar>
      </w:tblPr>
      <w:tblGrid>
        <w:gridCol w:w="5195"/>
        <w:gridCol w:w="60"/>
        <w:gridCol w:w="45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About this Prospectus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Concerning Forward Looking Statements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Prospectus Summary</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Use of Proceeds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27</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09">
              <w:r>
                <w:rPr>
                  <w:rStyle w:val="InternetLink"/>
                </w:rPr>
                <w:t>Selling Stockholder</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27</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Plan of Distribution</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29</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Legal Matters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Experts</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Where You Can Find More Information</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31</w:t>
            </w:r>
          </w:p>
        </w:tc>
      </w:tr>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5195" w:type="dxa"/>
            <w:tcBorders/>
            <w:shd w:fill="EEEEEE"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Incorporation by Reference</w:t>
              </w:r>
            </w:hyperlink>
          </w:p>
        </w:tc>
        <w:tc>
          <w:tcPr>
            <w:tcW w:w="60" w:type="dxa"/>
            <w:tcBorders/>
            <w:shd w:fill="EEEEEE" w:val="clear"/>
            <w:vAlign w:val="center"/>
          </w:tcPr>
          <w:p>
            <w:pPr>
              <w:pStyle w:val="TableContents"/>
              <w:bidi w:val="0"/>
              <w:spacing w:before="0" w:after="283"/>
              <w:jc w:val="left"/>
              <w:rPr/>
            </w:pPr>
            <w:r>
              <w:rPr/>
              <w:t> </w:t>
            </w:r>
          </w:p>
        </w:tc>
        <w:tc>
          <w:tcPr>
            <w:tcW w:w="455" w:type="dxa"/>
            <w:tcBorders/>
            <w:shd w:fill="EEEEEE" w:val="clear"/>
            <w:vAlign w:val="center"/>
          </w:tcPr>
          <w:p>
            <w:pPr>
              <w:pStyle w:val="TableContents"/>
              <w:bidi w:val="0"/>
              <w:spacing w:before="0" w:after="283"/>
              <w:jc w:val="center"/>
              <w:rPr/>
            </w:pPr>
            <w:r>
              <w:rPr/>
              <w:t>32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2"/>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The Selling Stockholder named in this prospectus may from time to time sell the Shares described in the prospectus. You should read this prospectus together with the more detailed information regarding our company, our common stock, and our financial statements and notes to those statements that are incorporated by reference into this prospectus and any applicable amendment or supplement to this prospectus, which we describe under the heading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and in any applicable amendment or supplement to this prospectus. We have not authorized anyone to provide you with different information from that contained in, or incorporated by reference in, this prospectus. You should not assume that the information in this prospectus or any applicable amendment or supplement to this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prospectus, we frequently use the terms “iPower,” “we,” “our,” “us,” “our company,” and the “Company” to refer to 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bookmarkStart w:id="18" w:name="a_003"/>
      <w:bookmarkEnd w:id="18"/>
      <w:r>
        <w:rPr>
          <w:rFonts w:ascii="Times New Roman;Times;Serif" w:hAnsi="Times New Roman;Times;Serif"/>
          <w:b/>
          <w:i w:val="false"/>
          <w:caps w:val="false"/>
          <w:smallCaps w:val="false"/>
          <w:sz w:val="20"/>
        </w:rPr>
        <w:t>CAUTIONARY STATEMENT CONCERNING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this prospectus (including any documents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75"/>
        <w:gridCol w:w="11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strategies and plans regarding the acquisition and use of cryptocurrency as reserve assets;</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110"/>
        <w:gridCol w:w="7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including our financial projections and business metrics;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including labor disputes, depreciation of the U.S. dollar, volatility in the capital markets, U.S.-China relations, inflationary impacts and disruptions to the global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imposition of duties and tariffs and other trade barriers and retaliatory countermeasures implemented by the U.S. and other governments;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forecasts, projected costs, prospects and plans;</w:t>
            </w:r>
          </w:p>
        </w:tc>
      </w:tr>
    </w:tbl>
    <w:p>
      <w:pPr>
        <w:pStyle w:val="TextBody"/>
        <w:bidi w:val="0"/>
        <w:spacing w:before="0" w:after="0"/>
        <w:ind w:left="0" w:right="0" w:hanging="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10"/>
        <w:gridCol w:w="68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supply chain costs, including raw materials, sourcing, and transportation;</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1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anticipate the future market demands and future needs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component shortages, suppliers’ lack of production capacity, natural disasters or pandemics on our sourcing operations and supply chain;</w:t>
            </w:r>
          </w:p>
        </w:tc>
      </w:tr>
    </w:tbl>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5"/>
        <w:gridCol w:w="110"/>
        <w:gridCol w:w="7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prospective delivery time for our products and fulfill customer orders;</w:t>
            </w:r>
          </w:p>
        </w:tc>
      </w:tr>
    </w:tbl>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1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and sources and uses of cash;</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75"/>
        <w:gridCol w:w="110"/>
        <w:gridCol w:w="8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cover our future capital expenditures and to pay down our near-term debt obligations;</w:t>
            </w:r>
          </w:p>
        </w:tc>
      </w:tr>
    </w:tbl>
    <w:p>
      <w:pPr>
        <w:pStyle w:val="TextBody"/>
        <w:bidi w:val="0"/>
        <w:spacing w:before="0" w:after="0"/>
        <w:ind w:left="0" w:right="0" w:hanging="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1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and raise capital for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5005" w:type="dxa"/>
        <w:jc w:val="left"/>
        <w:tblInd w:w="0" w:type="dxa"/>
        <w:tblLayout w:type="fixed"/>
        <w:tblCellMar>
          <w:top w:w="0" w:type="dxa"/>
          <w:left w:w="0" w:type="dxa"/>
          <w:bottom w:w="0" w:type="dxa"/>
          <w:right w:w="0" w:type="dxa"/>
        </w:tblCellMar>
      </w:tblPr>
      <w:tblGrid>
        <w:gridCol w:w="75"/>
        <w:gridCol w:w="110"/>
        <w:gridCol w:w="4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capital markets and credit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anticipated financial performance, including gross margin, and the expectation that our future results of operations will fluctuate on a quarterly basis for the foreseeable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expected capital expenditures, cost of revenue and other future expenses, and the sources of funds to satisfy the liquidity needs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10"/>
        <w:gridCol w:w="5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common stock on the Nasdaq;</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10"/>
        <w:gridCol w:w="40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cybersecurity, and data privacy risks;</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1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intense market competition;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conditions, including political instability in the U.S. and China, unrest and sanctions, war, conflict, including the ongoing conflicts between Russia and Ukraine, conflicts in the Middle East, and increasing tensions between China and Taiwan;</w:t>
            </w:r>
          </w:p>
        </w:tc>
      </w:tr>
    </w:tbl>
    <w:p>
      <w:pPr>
        <w:pStyle w:val="TextBody"/>
        <w:bidi w:val="0"/>
        <w:spacing w:before="0" w:after="0"/>
        <w:ind w:left="0" w:right="0" w:hanging="0"/>
        <w:jc w:val="left"/>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75"/>
        <w:gridCol w:w="11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legislative and regulatory risks, including those relating to the recent enactment of the One Big Beautiful Bill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and risks relating to new trade regulations, including tariffs and export control regulations;</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and value of digital assets are highly volatile, which may materially and adversely affect the value of our digital asset holdings and our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regulatory environment governing digital assets is evolving, uncertain, and subject to change, which could adversely affect our business, financial condition, and results of operations; </w:t>
            </w:r>
          </w:p>
        </w:tc>
      </w:tr>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both"/>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reputational risks;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pPr>
            <w:r>
              <w:rPr>
                <w:rFonts w:ascii="Times New Roman;Times;Serif" w:hAnsi="Times New Roman;Times;Serif"/>
                <w:sz w:val="20"/>
              </w:rPr>
              <w:t>other risks and uncertainties described in the registration statement of which this prospectus forms a part, including those under the section entitled “</w:t>
            </w:r>
            <w:hyperlink w:anchor="a_006">
              <w:r>
                <w:rPr>
                  <w:rStyle w:val="InternetLink"/>
                  <w:rFonts w:ascii="Times New Roman;Times;Serif" w:hAnsi="Times New Roman;Times;Serif"/>
                  <w:sz w:val="20"/>
                </w:rPr>
                <w:t>Risk Factors</w:t>
              </w:r>
            </w:hyperlink>
            <w:r>
              <w:rPr>
                <w:rFonts w:ascii="Times New Roman;Times;Serif" w:hAnsi="Times New Roman;Times;Serif"/>
                <w:sz w:val="20"/>
              </w:rPr>
              <w:t>” and those incorporated by reference herein.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registration statement and the documents that we incorporate by reference herein and therein and have filed as exhibits to the registration statement of which this prospectus is part, completely and with the understanding that our actual future results may be materially different from what we expect. You should assume that the information appearing in this prospectus is accurate as of the date on the cover of this prospectus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and particularly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4"/>
      <w:bookmarkEnd w:id="19"/>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documents incorporated by reference, which are described under “</w:t>
      </w:r>
      <w:hyperlink w:anchor="a_014">
        <w:r>
          <w:rPr>
            <w:rStyle w:val="InternetLink"/>
            <w:rFonts w:ascii="Times New Roman;Times;Serif" w:hAnsi="Times New Roman;Times;Serif"/>
            <w:b w:val="false"/>
            <w:i/>
            <w:caps w:val="false"/>
            <w:smallCaps w:val="false"/>
            <w:sz w:val="20"/>
          </w:rPr>
          <w:t>Information Incorporated by Reference</w:t>
        </w:r>
      </w:hyperlink>
      <w:r>
        <w:rPr>
          <w:rFonts w:ascii="Times New Roman;Times;Serif" w:hAnsi="Times New Roman;Times;Serif"/>
          <w:b w:val="false"/>
          <w:i/>
          <w:caps w:val="false"/>
          <w:smallCaps w:val="false"/>
          <w:sz w:val="20"/>
        </w:rPr>
        <w:t>” and “</w:t>
      </w:r>
      <w:hyperlink w:anchor="a_013">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caps w:val="false"/>
          <w:smallCaps w:val="false"/>
          <w:sz w:val="20"/>
        </w:rPr>
        <w:t>” in this prospectus. You should also carefully consider the matters discussed in the section entitled “</w:t>
      </w:r>
      <w:hyperlink w:anchor="a_006">
        <w:r>
          <w:rPr>
            <w:rStyle w:val="InternetLink"/>
            <w:rFonts w:ascii="Times New Roman;Times;Serif" w:hAnsi="Times New Roman;Times;Serif"/>
            <w:b w:val="false"/>
            <w:i/>
            <w:caps w:val="false"/>
            <w:smallCaps w:val="false"/>
            <w:sz w:val="20"/>
          </w:rPr>
          <w:t>Risk Factors</w:t>
        </w:r>
      </w:hyperlink>
      <w:r>
        <w:rPr>
          <w:rFonts w:ascii="Times New Roman;Times;Serif" w:hAnsi="Times New Roman;Times;Serif"/>
          <w:b w:val="false"/>
          <w:i/>
          <w:caps w:val="false"/>
          <w:smallCaps w:val="false"/>
          <w:sz w:val="20"/>
        </w:rPr>
        <w:t>” in this prospectus, and in other periodic reports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our supply chain, software and operating foundation, iPower is pursuing AI infrastructure acquisition, financing, equipment leasing and related opportunities as a current strategic focus. The Company also maintains a limited digital asset treasury (“DAT”)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Treasury and Capital Allocation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adopted an initial Digital Asset Treasury (“DAT”)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fixed target percentages or minimum allocations for Bitcoin, Ethereum, USDai, sUSDai, other digital assets or cash. The allocation percentages contained in our original financing documents were contractual use-of-proceeds and collateral requirements and were not permanent treasury allocation targets. Subject to our board-approved policy, applicable law and our financing documents, management determines the desired composition of approved asset classes based on operating liquidity, debt servicing and collateral requirements, market volatility and liquidity, custody and protocol risk, expected risk-adjusted returns and available operating opportunities.</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Substantially all digital assets, cash and other property held in the applicable controlled accounts, together with related proceeds, are pledged to the Collateral Agent, an affiliate of the Convertible Note Investor, for the benefit of the holders of the Convertible Notes.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amended the Purchase Agreement with the Investor to permit proceeds from future Additional Optional Closings (as defined in the Purchase Agreement) to be used for any general corporate purpose determined by management. Accordingly, proceeds raised from Additional Optional Closings are not subject to a fixed digital asset allocation and may be used for working capital, repayment of indebtedness, AI infrastructure and other corporate purposes. Assets already held in the controlled collateral account remain subject to the applicable custody-control arrangements and first-priority security interest.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determines the desired asset composition within the controlled account and may request purchases, sales, redemptions and rebalancing involving approved assets. The Collateral Agent has contractual control over the blocked account, and the custodian acts on instructions of the Collateral Agent in accordance with the custody-control arrangement. A sale or redemption within the account changes the form of the collateral but does not release it. Cash or other proceeds remain pledged unless released in accordance with the financing documents.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reviewing the performance, liquidity and risks of our digital asset holdings and the availability of direct AI infrastructure opportunities, management has shifted our current capital-allocation priority away from additional passive digital asset accumulation and toward AI infrastructure acquisition, financing, equipment leasing and related operating opportunities. We do not have an automatic or recurring digital asset purchase program and are not committed to maintaining a minimum amount of digital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hold Bitcoin as of August 15, 2026, but may retain, reduce or sell that position in the future in accordance with our policy and financing documents.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15, 2026, we held the digital assets and controlled-account cash amounts set forth in the table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01"/>
        <w:gridCol w:w="60"/>
        <w:gridCol w:w="146"/>
        <w:gridCol w:w="1029"/>
        <w:gridCol w:w="60"/>
        <w:gridCol w:w="60"/>
        <w:gridCol w:w="140"/>
        <w:gridCol w:w="1408"/>
        <w:gridCol w:w="60"/>
        <w:gridCol w:w="60"/>
        <w:gridCol w:w="140"/>
        <w:gridCol w:w="980"/>
        <w:gridCol w:w="60"/>
        <w:gridCol w:w="60"/>
        <w:gridCol w:w="140"/>
        <w:gridCol w:w="1280"/>
        <w:gridCol w:w="140"/>
        <w:gridCol w:w="60"/>
        <w:gridCol w:w="1921"/>
      </w:tblGrid>
      <w:tr>
        <w:trPr/>
        <w:tc>
          <w:tcPr>
            <w:tcW w:w="2401" w:type="dxa"/>
            <w:tcBorders>
              <w:bottom w:val="single" w:sz="8" w:space="0" w:color="000000"/>
            </w:tcBorders>
            <w:vAlign w:val="center"/>
          </w:tcPr>
          <w:p>
            <w:pPr>
              <w:pStyle w:val="TableContents"/>
              <w:bidi w:val="0"/>
              <w:spacing w:before="0" w:after="283"/>
              <w:jc w:val="center"/>
              <w:rPr>
                <w:b/>
                <w:color w:val="000000"/>
              </w:rPr>
            </w:pPr>
            <w:r>
              <w:rPr>
                <w:b/>
                <w:color w:val="000000"/>
              </w:rPr>
              <w:t>Asset</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175" w:type="dxa"/>
            <w:gridSpan w:val="2"/>
            <w:tcBorders>
              <w:bottom w:val="single" w:sz="8" w:space="0" w:color="000000"/>
            </w:tcBorders>
            <w:vAlign w:val="center"/>
          </w:tcPr>
          <w:p>
            <w:pPr>
              <w:pStyle w:val="TableContents"/>
              <w:bidi w:val="0"/>
              <w:jc w:val="center"/>
              <w:rPr>
                <w:b/>
                <w:color w:val="000000"/>
              </w:rPr>
            </w:pPr>
            <w:r>
              <w:rPr>
                <w:b/>
                <w:color w:val="000000"/>
              </w:rPr>
              <w:t>Acquisition</w:t>
            </w:r>
          </w:p>
          <w:p>
            <w:pPr>
              <w:pStyle w:val="TableContents"/>
              <w:bidi w:val="0"/>
              <w:spacing w:before="0" w:after="283"/>
              <w:jc w:val="center"/>
              <w:rPr>
                <w:b/>
                <w:color w:val="000000"/>
              </w:rPr>
            </w:pPr>
            <w:r>
              <w:rPr>
                <w:b/>
                <w:color w:val="000000"/>
              </w:rPr>
              <w:t>amount</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548" w:type="dxa"/>
            <w:gridSpan w:val="2"/>
            <w:tcBorders>
              <w:bottom w:val="single" w:sz="8" w:space="0" w:color="000000"/>
            </w:tcBorders>
            <w:vAlign w:val="center"/>
          </w:tcPr>
          <w:p>
            <w:pPr>
              <w:pStyle w:val="TableContents"/>
              <w:bidi w:val="0"/>
              <w:spacing w:before="0" w:after="283"/>
              <w:jc w:val="center"/>
              <w:rPr>
                <w:b/>
                <w:color w:val="000000"/>
              </w:rPr>
            </w:pPr>
            <w:r>
              <w:rPr>
                <w:b/>
                <w:color w:val="000000"/>
              </w:rPr>
              <w:t>Units</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120" w:type="dxa"/>
            <w:gridSpan w:val="2"/>
            <w:tcBorders>
              <w:bottom w:val="single" w:sz="8" w:space="0" w:color="000000"/>
            </w:tcBorders>
            <w:vAlign w:val="center"/>
          </w:tcPr>
          <w:p>
            <w:pPr>
              <w:pStyle w:val="TableContents"/>
              <w:bidi w:val="0"/>
              <w:jc w:val="center"/>
              <w:rPr>
                <w:b/>
                <w:color w:val="000000"/>
              </w:rPr>
            </w:pPr>
            <w:r>
              <w:rPr>
                <w:b/>
                <w:color w:val="000000"/>
              </w:rPr>
              <w:t>Indicative</w:t>
            </w:r>
          </w:p>
          <w:p>
            <w:pPr>
              <w:pStyle w:val="TableContents"/>
              <w:bidi w:val="0"/>
              <w:spacing w:before="0" w:after="283"/>
              <w:jc w:val="center"/>
              <w:rPr>
                <w:b/>
                <w:color w:val="000000"/>
              </w:rPr>
            </w:pPr>
            <w:r>
              <w:rPr>
                <w:b/>
                <w:color w:val="000000"/>
              </w:rPr>
              <w:t>price</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420" w:type="dxa"/>
            <w:gridSpan w:val="2"/>
            <w:tcBorders>
              <w:bottom w:val="single" w:sz="8" w:space="0" w:color="000000"/>
            </w:tcBorders>
            <w:vAlign w:val="center"/>
          </w:tcPr>
          <w:p>
            <w:pPr>
              <w:pStyle w:val="TableContents"/>
              <w:bidi w:val="0"/>
              <w:jc w:val="center"/>
              <w:rPr>
                <w:b/>
                <w:color w:val="000000"/>
              </w:rPr>
            </w:pPr>
            <w:r>
              <w:rPr>
                <w:b/>
                <w:color w:val="000000"/>
              </w:rPr>
              <w:t>Indicative</w:t>
            </w:r>
          </w:p>
          <w:p>
            <w:pPr>
              <w:pStyle w:val="TableContents"/>
              <w:bidi w:val="0"/>
              <w:spacing w:before="0" w:after="283"/>
              <w:jc w:val="center"/>
              <w:rPr>
                <w:b/>
                <w:color w:val="000000"/>
              </w:rPr>
            </w:pPr>
            <w:r>
              <w:rPr>
                <w:b/>
                <w:color w:val="000000"/>
              </w:rPr>
              <w:t>value</w:t>
            </w:r>
          </w:p>
        </w:tc>
        <w:tc>
          <w:tcPr>
            <w:tcW w:w="140" w:type="dxa"/>
            <w:tcBorders/>
            <w:tcMar>
              <w:bottom w:w="0" w:type="dxa"/>
            </w:tcMar>
            <w:vAlign w:val="center"/>
          </w:tcPr>
          <w:p>
            <w:pPr>
              <w:pStyle w:val="TableContents"/>
              <w:bidi w:val="0"/>
              <w:spacing w:before="0" w:after="283"/>
              <w:jc w:val="left"/>
              <w:rPr>
                <w:color w:val="000000"/>
              </w:rPr>
            </w:pPr>
            <w:r>
              <w:rPr>
                <w:color w:val="000000"/>
              </w:rPr>
              <w:t> </w:t>
            </w:r>
          </w:p>
        </w:tc>
        <w:tc>
          <w:tcPr>
            <w:tcW w:w="60" w:type="dxa"/>
            <w:tcBorders/>
            <w:tcMar>
              <w:bottom w:w="0" w:type="dxa"/>
            </w:tcMar>
            <w:vAlign w:val="center"/>
          </w:tcPr>
          <w:p>
            <w:pPr>
              <w:pStyle w:val="TableContents"/>
              <w:bidi w:val="0"/>
              <w:spacing w:before="0" w:after="283"/>
              <w:jc w:val="left"/>
              <w:rPr>
                <w:color w:val="000000"/>
              </w:rPr>
            </w:pPr>
            <w:r>
              <w:rPr>
                <w:color w:val="000000"/>
              </w:rPr>
              <w:t> </w:t>
            </w:r>
          </w:p>
        </w:tc>
        <w:tc>
          <w:tcPr>
            <w:tcW w:w="1921" w:type="dxa"/>
            <w:tcBorders>
              <w:bottom w:val="single" w:sz="8" w:space="0" w:color="000000"/>
            </w:tcBorders>
            <w:vAlign w:val="center"/>
          </w:tcPr>
          <w:p>
            <w:pPr>
              <w:pStyle w:val="TableContents"/>
              <w:bidi w:val="0"/>
              <w:spacing w:before="0" w:after="283"/>
              <w:jc w:val="center"/>
              <w:rPr>
                <w:b/>
                <w:color w:val="000000"/>
              </w:rPr>
            </w:pPr>
            <w:r>
              <w:rPr>
                <w:b/>
                <w:color w:val="000000"/>
              </w:rPr>
              <w:t>Status</w:t>
            </w:r>
          </w:p>
        </w:tc>
      </w:tr>
      <w:tr>
        <w:trPr/>
        <w:tc>
          <w:tcPr>
            <w:tcW w:w="2401" w:type="dxa"/>
            <w:tcBorders/>
            <w:shd w:fill="EEEEEE" w:val="clear"/>
            <w:tcMar>
              <w:bottom w:w="0" w:type="dxa"/>
            </w:tcMar>
            <w:vAlign w:val="center"/>
          </w:tcPr>
          <w:p>
            <w:pPr>
              <w:pStyle w:val="TableContents"/>
              <w:bidi w:val="0"/>
              <w:spacing w:before="0" w:after="283"/>
              <w:jc w:val="left"/>
              <w:rPr>
                <w:b/>
              </w:rPr>
            </w:pPr>
            <w:r>
              <w:rPr>
                <w:b/>
              </w:rPr>
              <w:t>U.S. dollars</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6" w:type="dxa"/>
            <w:tcBorders/>
            <w:shd w:fill="EEEEEE" w:val="clear"/>
            <w:tcMar>
              <w:bottom w:w="0" w:type="dxa"/>
            </w:tcMar>
            <w:vAlign w:val="center"/>
          </w:tcPr>
          <w:p>
            <w:pPr>
              <w:pStyle w:val="TableContents"/>
              <w:bidi w:val="0"/>
              <w:spacing w:before="0" w:after="283"/>
              <w:jc w:val="left"/>
              <w:rPr/>
            </w:pPr>
            <w:r>
              <w:rPr/>
              <w:t> </w:t>
            </w:r>
          </w:p>
        </w:tc>
        <w:tc>
          <w:tcPr>
            <w:tcW w:w="1029"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408" w:type="dxa"/>
            <w:tcBorders/>
            <w:shd w:fill="EEEEEE" w:val="clear"/>
            <w:tcMar>
              <w:bottom w:w="0" w:type="dxa"/>
            </w:tcMar>
            <w:vAlign w:val="center"/>
          </w:tcPr>
          <w:p>
            <w:pPr>
              <w:pStyle w:val="TableContents"/>
              <w:bidi w:val="0"/>
              <w:spacing w:before="0" w:after="283"/>
              <w:jc w:val="right"/>
              <w:rPr/>
            </w:pPr>
            <w:r>
              <w:rPr/>
              <w:t>4,817,911.37</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980" w:type="dxa"/>
            <w:tcBorders/>
            <w:shd w:fill="EEEEEE" w:val="clear"/>
            <w:tcMar>
              <w:bottom w:w="0" w:type="dxa"/>
            </w:tcMar>
            <w:vAlign w:val="center"/>
          </w:tcPr>
          <w:p>
            <w:pPr>
              <w:pStyle w:val="TableContents"/>
              <w:bidi w:val="0"/>
              <w:spacing w:before="0" w:after="283"/>
              <w:jc w:val="right"/>
              <w:rPr/>
            </w:pPr>
            <w:r>
              <w:rPr/>
              <w:t>1.00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80" w:type="dxa"/>
            <w:tcBorders/>
            <w:shd w:fill="EEEEEE" w:val="clear"/>
            <w:tcMar>
              <w:bottom w:w="0" w:type="dxa"/>
            </w:tcMar>
            <w:vAlign w:val="center"/>
          </w:tcPr>
          <w:p>
            <w:pPr>
              <w:pStyle w:val="TableContents"/>
              <w:bidi w:val="0"/>
              <w:spacing w:before="0" w:after="283"/>
              <w:jc w:val="right"/>
              <w:rPr/>
            </w:pPr>
            <w:r>
              <w:rPr/>
              <w:t>4,817,911.37</w:t>
            </w:r>
          </w:p>
        </w:tc>
        <w:tc>
          <w:tcPr>
            <w:tcW w:w="14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21" w:type="dxa"/>
            <w:tcBorders/>
            <w:shd w:fill="EEEEEE" w:val="clear"/>
            <w:tcMar>
              <w:bottom w:w="0" w:type="dxa"/>
            </w:tcMar>
            <w:vAlign w:val="center"/>
          </w:tcPr>
          <w:p>
            <w:pPr>
              <w:pStyle w:val="TableContents"/>
              <w:bidi w:val="0"/>
              <w:spacing w:before="0" w:after="283"/>
              <w:jc w:val="left"/>
              <w:rPr/>
            </w:pPr>
            <w:r>
              <w:rPr/>
              <w:t>Held in controlled account</w:t>
            </w:r>
          </w:p>
        </w:tc>
      </w:tr>
      <w:tr>
        <w:trPr/>
        <w:tc>
          <w:tcPr>
            <w:tcW w:w="2401" w:type="dxa"/>
            <w:tcBorders/>
            <w:shd w:fill="FFFFFF" w:val="clear"/>
            <w:tcMar>
              <w:bottom w:w="0" w:type="dxa"/>
            </w:tcMar>
            <w:vAlign w:val="center"/>
          </w:tcPr>
          <w:p>
            <w:pPr>
              <w:pStyle w:val="TableContents"/>
              <w:bidi w:val="0"/>
              <w:spacing w:before="0" w:after="283"/>
              <w:jc w:val="left"/>
              <w:rPr>
                <w:b/>
              </w:rPr>
            </w:pPr>
            <w:r>
              <w:rPr>
                <w:b/>
              </w:rPr>
              <w:t>Bitcoin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w:t>
            </w:r>
          </w:p>
        </w:tc>
        <w:tc>
          <w:tcPr>
            <w:tcW w:w="1029" w:type="dxa"/>
            <w:tcBorders/>
            <w:shd w:fill="FFFFFF" w:val="clear"/>
            <w:tcMar>
              <w:bottom w:w="0" w:type="dxa"/>
            </w:tcMar>
            <w:vAlign w:val="center"/>
          </w:tcPr>
          <w:p>
            <w:pPr>
              <w:pStyle w:val="TableContents"/>
              <w:bidi w:val="0"/>
              <w:spacing w:before="0" w:after="283"/>
              <w:jc w:val="right"/>
              <w:rPr/>
            </w:pPr>
            <w:r>
              <w:rPr/>
              <w:t>1,325,400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408" w:type="dxa"/>
            <w:tcBorders/>
            <w:shd w:fill="FFFFFF" w:val="clear"/>
            <w:tcMar>
              <w:bottom w:w="0" w:type="dxa"/>
            </w:tcMar>
            <w:vAlign w:val="center"/>
          </w:tcPr>
          <w:p>
            <w:pPr>
              <w:pStyle w:val="TableContents"/>
              <w:bidi w:val="0"/>
              <w:spacing w:before="0" w:after="283"/>
              <w:jc w:val="right"/>
              <w:rPr>
                <w:sz w:val="20"/>
              </w:rPr>
            </w:pPr>
            <w:r>
              <w:rPr>
                <w:sz w:val="20"/>
              </w:rPr>
              <w:t>15.11524045 BTC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jc w:val="right"/>
              <w:rPr/>
            </w:pPr>
            <w:r>
              <w:rPr/>
              <w:t>62,962.43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jc w:val="right"/>
              <w:rPr/>
            </w:pPr>
            <w:r>
              <w:rPr/>
              <w:t>951,692.27</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1" w:type="dxa"/>
            <w:tcBorders/>
            <w:shd w:fill="FFFFFF" w:val="clear"/>
            <w:tcMar>
              <w:bottom w:w="0" w:type="dxa"/>
            </w:tcMar>
            <w:vAlign w:val="center"/>
          </w:tcPr>
          <w:p>
            <w:pPr>
              <w:pStyle w:val="TableContents"/>
              <w:bidi w:val="0"/>
              <w:spacing w:before="0" w:after="283"/>
              <w:ind w:left="0" w:right="0" w:hanging="200"/>
              <w:jc w:val="left"/>
              <w:rPr/>
            </w:pPr>
            <w:r>
              <w:rPr/>
              <w:t>Held</w:t>
            </w:r>
          </w:p>
        </w:tc>
      </w:tr>
      <w:tr>
        <w:trPr/>
        <w:tc>
          <w:tcPr>
            <w:tcW w:w="2401" w:type="dxa"/>
            <w:tcBorders/>
            <w:shd w:fill="EEEEEE" w:val="clear"/>
            <w:tcMar>
              <w:bottom w:w="0" w:type="dxa"/>
            </w:tcMar>
            <w:vAlign w:val="center"/>
          </w:tcPr>
          <w:p>
            <w:pPr>
              <w:pStyle w:val="TableContents"/>
              <w:bidi w:val="0"/>
              <w:spacing w:before="0" w:after="283"/>
              <w:jc w:val="left"/>
              <w:rPr>
                <w:b/>
              </w:rPr>
            </w:pPr>
            <w:r>
              <w:rPr>
                <w:b/>
              </w:rPr>
              <w:t>Total assets held in controlled account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6" w:type="dxa"/>
            <w:tcBorders/>
            <w:shd w:fill="EEEEEE" w:val="clear"/>
            <w:tcMar>
              <w:bottom w:w="0" w:type="dxa"/>
            </w:tcMar>
            <w:vAlign w:val="center"/>
          </w:tcPr>
          <w:p>
            <w:pPr>
              <w:pStyle w:val="TableContents"/>
              <w:bidi w:val="0"/>
              <w:spacing w:before="0" w:after="283"/>
              <w:jc w:val="left"/>
              <w:rPr/>
            </w:pPr>
            <w:r>
              <w:rPr/>
              <w:t> </w:t>
            </w:r>
          </w:p>
        </w:tc>
        <w:tc>
          <w:tcPr>
            <w:tcW w:w="1029"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1408"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 </w:t>
            </w:r>
          </w:p>
        </w:tc>
        <w:tc>
          <w:tcPr>
            <w:tcW w:w="980" w:type="dxa"/>
            <w:tcBorders/>
            <w:shd w:fill="EEEEEE" w:val="clear"/>
            <w:tcMar>
              <w:bottom w:w="0" w:type="dxa"/>
            </w:tcMar>
            <w:vAlign w:val="center"/>
          </w:tcPr>
          <w:p>
            <w:pPr>
              <w:pStyle w:val="TableContents"/>
              <w:bidi w:val="0"/>
              <w:spacing w:before="0" w:after="283"/>
              <w:jc w:val="righ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40" w:type="dxa"/>
            <w:tcBorders/>
            <w:shd w:fill="EEEEEE" w:val="clear"/>
            <w:tcMar>
              <w:bottom w:w="0" w:type="dxa"/>
            </w:tcMar>
            <w:vAlign w:val="center"/>
          </w:tcPr>
          <w:p>
            <w:pPr>
              <w:pStyle w:val="TableContents"/>
              <w:bidi w:val="0"/>
              <w:spacing w:before="0" w:after="283"/>
              <w:jc w:val="left"/>
              <w:rPr/>
            </w:pPr>
            <w:r>
              <w:rPr/>
              <w:t>$</w:t>
            </w:r>
          </w:p>
        </w:tc>
        <w:tc>
          <w:tcPr>
            <w:tcW w:w="1280" w:type="dxa"/>
            <w:tcBorders/>
            <w:shd w:fill="EEEEEE" w:val="clear"/>
            <w:tcMar>
              <w:bottom w:w="0" w:type="dxa"/>
            </w:tcMar>
            <w:vAlign w:val="center"/>
          </w:tcPr>
          <w:p>
            <w:pPr>
              <w:pStyle w:val="TableContents"/>
              <w:bidi w:val="0"/>
              <w:spacing w:before="0" w:after="283"/>
              <w:jc w:val="right"/>
              <w:rPr/>
            </w:pPr>
            <w:r>
              <w:rPr/>
              <w:t>5,769,603.64</w:t>
            </w:r>
          </w:p>
        </w:tc>
        <w:tc>
          <w:tcPr>
            <w:tcW w:w="140" w:type="dxa"/>
            <w:tcBorders/>
            <w:shd w:fill="EEEEEE" w:val="clear"/>
            <w:tcMar>
              <w:bottom w:w="0" w:type="dxa"/>
            </w:tcMar>
            <w:vAlign w:val="center"/>
          </w:tcPr>
          <w:p>
            <w:pPr>
              <w:pStyle w:val="TableContents"/>
              <w:bidi w:val="0"/>
              <w:spacing w:before="0" w:after="283"/>
              <w:jc w:val="left"/>
              <w:rPr/>
            </w:pPr>
            <w:r>
              <w:rPr/>
              <w:t>*</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21" w:type="dxa"/>
            <w:tcBorders/>
            <w:shd w:fill="EEEEEE" w:val="clear"/>
            <w:tcMar>
              <w:bottom w:w="0" w:type="dxa"/>
            </w:tcMar>
            <w:vAlign w:val="center"/>
          </w:tcPr>
          <w:p>
            <w:pPr>
              <w:pStyle w:val="TableContents"/>
              <w:bidi w:val="0"/>
              <w:spacing w:before="0" w:after="283"/>
              <w:jc w:val="left"/>
              <w:rPr/>
            </w:pPr>
            <w:r>
              <w:rPr/>
              <w:t>Includes cash and digital assets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Company-provided values as of August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as well as the ongoing conflict in the Middle East,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shd w:fill="FFFFFF" w:val="clear"/>
        <w:bidi w:val="0"/>
        <w:ind w:left="0" w:right="0" w:hanging="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Recent Developments</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with the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 To date, in addition to the Series B convertible note sold in December 2025, the Company has sold a total of $12,184,024 in Series A convertible notes, with an additional $18,000,000 in Additional Series A Notes remaining available for issuance under the Convertible Note Facility. Digital Offering LLC has acted as placement agent and receives a 6% cash commission for each closing consummated under the Convertible Note Facility. As of August 17, 2026, the Investor has converted a total of $9,034,580 of the Series A Notes, resulting in the conversion of a total of 661,485 shares at an average conversion per share conversion price of $13.66 on a post-reverse stock split basis (accounting for a 1-for-8 reverse stock split effectuated May 22, 2026 and a 1-for-9 reverse stock split effectuated August 7, 2026).</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distributor, iPower will charge GPM, as supplier,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purchaser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 (the “May Reverse Split”).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 with the August Reverse Split and May Reverse Split together referred to as the “Reverse Splits”). Unless otherwise noted, all information contained in this prospectus has been adjusted to reflect the Reverse Splits. The Reverse Splits had no effect on the total number of authorized shares of common stock or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on April 11, 2018 in the State of California under the name BZRTH Inc. On September 4, 2020, we filed a Certificate of Amendment with the State of Nevada changing our name to iPower Inc. Our principal offices are located at 8798 9th Street, Rancho Cucamonga, CA 91730 and our phone number is (626) 863-7344. Our business website is www.meetipower.com. The website addresses referenced herein are not intended to function as hyperlinks, and the information contained in our websites is not incorporated by reference into this registration statement and should not be considered to be part of this registration statement.</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5"/>
      <w:bookmarkEnd w:id="20"/>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summary below contains basic information about the Series A Convertible Notes and is not intended to be complete. It does not contain all the information that is important to you. For a more complete understanding of the Series A Convertible Notes, please refer to the section of this registration statement entitled “</w:t>
      </w:r>
      <w:hyperlink w:anchor="a_007">
        <w:r>
          <w:rPr>
            <w:rStyle w:val="InternetLink"/>
            <w:rFonts w:ascii="Times New Roman;Times;Serif" w:hAnsi="Times New Roman;Times;Serif"/>
            <w:b w:val="false"/>
            <w:i w:val="false"/>
            <w:caps w:val="false"/>
            <w:smallCaps w:val="false"/>
            <w:sz w:val="20"/>
          </w:rPr>
          <w:t>Description of the Series A Convertible Notes</w:t>
        </w:r>
      </w:hyperlink>
      <w:r>
        <w:rPr>
          <w:rFonts w:ascii="Times New Roman;Times;Serif" w:hAnsi="Times New Roman;Times;Serif"/>
          <w:b w:val="false"/>
          <w:i w:val="false"/>
          <w:caps w:val="false"/>
          <w:smallCaps w:val="false"/>
          <w:sz w:val="20"/>
        </w:rPr>
        <w:t>” on page 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5"/>
        <w:gridCol w:w="8070"/>
      </w:tblGrid>
      <w:tr>
        <w:trPr/>
        <w:tc>
          <w:tcPr>
            <w:tcW w:w="2135" w:type="dxa"/>
            <w:tcBorders/>
            <w:vAlign w:val="center"/>
          </w:tcPr>
          <w:p>
            <w:pPr>
              <w:pStyle w:val="TableContents"/>
              <w:bidi w:val="0"/>
              <w:spacing w:before="0" w:after="283"/>
              <w:jc w:val="left"/>
              <w:rPr>
                <w:b/>
                <w:i/>
                <w:sz w:val="20"/>
              </w:rPr>
            </w:pPr>
            <w:r>
              <w:rPr>
                <w:b/>
                <w:i/>
                <w:sz w:val="20"/>
              </w:rPr>
              <w:t>Securities Offered:</w:t>
            </w:r>
          </w:p>
        </w:tc>
        <w:tc>
          <w:tcPr>
            <w:tcW w:w="8070" w:type="dxa"/>
            <w:tcBorders/>
            <w:vAlign w:val="center"/>
          </w:tcPr>
          <w:p>
            <w:pPr>
              <w:pStyle w:val="TableContents"/>
              <w:bidi w:val="0"/>
              <w:spacing w:before="0" w:after="283"/>
              <w:jc w:val="both"/>
              <w:rPr>
                <w:sz w:val="20"/>
              </w:rPr>
            </w:pPr>
            <w:r>
              <w:rPr>
                <w:sz w:val="20"/>
              </w:rPr>
              <w:t>Up to 5,873,610 shares of common stock issuable upon conversion of the $3,149,444 aggregate principal amount, plus interest, of the Series A Convertible Notes.</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Original Principal Amount:</w:t>
            </w:r>
          </w:p>
        </w:tc>
        <w:tc>
          <w:tcPr>
            <w:tcW w:w="8070" w:type="dxa"/>
            <w:tcBorders/>
            <w:vAlign w:val="center"/>
          </w:tcPr>
          <w:p>
            <w:pPr>
              <w:pStyle w:val="TableContents"/>
              <w:bidi w:val="0"/>
              <w:spacing w:before="0" w:after="283"/>
              <w:jc w:val="both"/>
              <w:rPr>
                <w:sz w:val="20"/>
              </w:rPr>
            </w:pPr>
            <w:r>
              <w:rPr>
                <w:sz w:val="20"/>
              </w:rPr>
              <w:t>$3,149,444</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Interest; Interest Rate:</w:t>
            </w:r>
          </w:p>
        </w:tc>
        <w:tc>
          <w:tcPr>
            <w:tcW w:w="8070" w:type="dxa"/>
            <w:tcBorders/>
            <w:vAlign w:val="center"/>
          </w:tcPr>
          <w:p>
            <w:pPr>
              <w:pStyle w:val="TableContents"/>
              <w:bidi w:val="0"/>
              <w:spacing w:before="0" w:after="283"/>
              <w:jc w:val="both"/>
              <w:rPr>
                <w:sz w:val="20"/>
              </w:rPr>
            </w:pPr>
            <w:r>
              <w:rPr>
                <w:sz w:val="20"/>
              </w:rPr>
              <w:t>The Series A Convertible Notes bear interest at the rate of 10% per annum.</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Ranking:</w:t>
            </w:r>
          </w:p>
        </w:tc>
        <w:tc>
          <w:tcPr>
            <w:tcW w:w="8070" w:type="dxa"/>
            <w:tcBorders/>
            <w:vAlign w:val="center"/>
          </w:tcPr>
          <w:p>
            <w:pPr>
              <w:pStyle w:val="TableContents"/>
              <w:bidi w:val="0"/>
              <w:spacing w:before="0" w:after="283"/>
              <w:jc w:val="both"/>
              <w:rPr>
                <w:sz w:val="20"/>
              </w:rPr>
            </w:pPr>
            <w:r>
              <w:rPr>
                <w:sz w:val="20"/>
              </w:rPr>
              <w:t>Senior secured obligations of the Company, ranking senior to all of the Company’s outstanding and future indebtedness, subject to certain exceptions.</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Maturity Dates:</w:t>
            </w:r>
          </w:p>
        </w:tc>
        <w:tc>
          <w:tcPr>
            <w:tcW w:w="8070" w:type="dxa"/>
            <w:tcBorders/>
            <w:vAlign w:val="center"/>
          </w:tcPr>
          <w:p>
            <w:pPr>
              <w:pStyle w:val="TableContents"/>
              <w:bidi w:val="0"/>
              <w:spacing w:before="0" w:after="283"/>
              <w:jc w:val="both"/>
              <w:rPr>
                <w:sz w:val="20"/>
              </w:rPr>
            </w:pPr>
            <w:r>
              <w:rPr>
                <w:sz w:val="20"/>
              </w:rPr>
              <w:t>Each Series A Convertible Note matures on the 24-month anniversary of the applicable issuance date.</w:t>
            </w:r>
          </w:p>
        </w:tc>
      </w:tr>
      <w:tr>
        <w:trPr/>
        <w:tc>
          <w:tcPr>
            <w:tcW w:w="2135"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Common Stock Outstanding Immediately Prior to This Offering:</w:t>
            </w:r>
          </w:p>
        </w:tc>
        <w:tc>
          <w:tcPr>
            <w:tcW w:w="8070" w:type="dxa"/>
            <w:tcBorders/>
            <w:vAlign w:val="center"/>
          </w:tcPr>
          <w:p>
            <w:pPr>
              <w:pStyle w:val="TableContents"/>
              <w:bidi w:val="0"/>
              <w:spacing w:before="0" w:after="283"/>
              <w:jc w:val="both"/>
              <w:rPr>
                <w:sz w:val="20"/>
              </w:rPr>
            </w:pPr>
            <w:r>
              <w:rPr>
                <w:sz w:val="20"/>
              </w:rPr>
              <w:t>939,475 shares (only giving effect to shares converted to date under the Series B Convertible Notes in conjunction with a registered direct offering and to shares converted to date under the Series A Convertible Notes).</w:t>
            </w:r>
          </w:p>
        </w:tc>
      </w:tr>
      <w:tr>
        <w:trPr/>
        <w:tc>
          <w:tcPr>
            <w:tcW w:w="2135"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283"/>
              <w:jc w:val="both"/>
              <w:rPr/>
            </w:pPr>
            <w:r>
              <w:rPr/>
              <w:t> </w:t>
            </w:r>
          </w:p>
        </w:tc>
      </w:tr>
      <w:tr>
        <w:trPr/>
        <w:tc>
          <w:tcPr>
            <w:tcW w:w="2135" w:type="dxa"/>
            <w:tcBorders/>
            <w:vAlign w:val="center"/>
          </w:tcPr>
          <w:p>
            <w:pPr>
              <w:pStyle w:val="TableContents"/>
              <w:bidi w:val="0"/>
              <w:spacing w:before="0" w:after="283"/>
              <w:jc w:val="left"/>
              <w:rPr>
                <w:b/>
                <w:i/>
                <w:sz w:val="20"/>
              </w:rPr>
            </w:pPr>
            <w:r>
              <w:rPr>
                <w:b/>
                <w:i/>
                <w:sz w:val="20"/>
              </w:rPr>
              <w:t>Common Stock Outstanding Immediately after This Offering:</w:t>
            </w:r>
          </w:p>
        </w:tc>
        <w:tc>
          <w:tcPr>
            <w:tcW w:w="8070" w:type="dxa"/>
            <w:tcBorders/>
            <w:vAlign w:val="center"/>
          </w:tcPr>
          <w:p>
            <w:pPr>
              <w:pStyle w:val="TableContents"/>
              <w:bidi w:val="0"/>
              <w:spacing w:before="0" w:after="283"/>
              <w:jc w:val="both"/>
              <w:rPr>
                <w:sz w:val="20"/>
              </w:rPr>
            </w:pPr>
            <w:r>
              <w:rPr>
                <w:sz w:val="20"/>
              </w:rPr>
              <w:t>6,813,085 shares (giving effect to all of the shares being registered herein and issuable upon conversion of the Series A Convertible Notes).</w:t>
            </w:r>
          </w:p>
        </w:tc>
      </w:tr>
      <w:tr>
        <w:trPr/>
        <w:tc>
          <w:tcPr>
            <w:tcW w:w="2135"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Conversion:</w:t>
            </w:r>
          </w:p>
        </w:tc>
        <w:tc>
          <w:tcPr>
            <w:tcW w:w="8070" w:type="dxa"/>
            <w:tcBorders/>
            <w:vAlign w:val="center"/>
          </w:tcPr>
          <w:p>
            <w:pPr>
              <w:pStyle w:val="TableContents"/>
              <w:bidi w:val="0"/>
              <w:spacing w:before="0" w:after="283"/>
              <w:jc w:val="both"/>
              <w:rPr>
                <w:sz w:val="20"/>
              </w:rPr>
            </w:pPr>
            <w:r>
              <w:rPr>
                <w:sz w:val="20"/>
              </w:rPr>
              <w:t>The holder may convert at (i) a fixed conversion price or (ii) an alternate conversion price equal to the lower of (A) the conversion price or (B) the greater of the floor price or 95% of the lowest VWAP during the seven (7) trading day period preceding conversion (or 90% of the lowest VWAP during the ten (10) trading day period during an event of default).</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Beneficial Ownership Limitation:</w:t>
            </w:r>
          </w:p>
        </w:tc>
        <w:tc>
          <w:tcPr>
            <w:tcW w:w="8070" w:type="dxa"/>
            <w:tcBorders/>
            <w:vAlign w:val="center"/>
          </w:tcPr>
          <w:p>
            <w:pPr>
              <w:pStyle w:val="TableContents"/>
              <w:bidi w:val="0"/>
              <w:spacing w:before="0" w:after="283"/>
              <w:jc w:val="both"/>
              <w:rPr>
                <w:sz w:val="20"/>
              </w:rPr>
            </w:pPr>
            <w:r>
              <w:rPr>
                <w:sz w:val="20"/>
              </w:rPr>
              <w:t>Conversions are prohibited to the extent they would cause the Investor (together with its affiliates) to beneficially own more than 4.99% of our outstanding common stock. The Investor may elect to increase this limit to 9.99% with 61 days’ prior written notice to us.</w:t>
            </w:r>
          </w:p>
        </w:tc>
      </w:tr>
      <w:tr>
        <w:trPr/>
        <w:tc>
          <w:tcPr>
            <w:tcW w:w="2135"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Issuer Redemption Rights:</w:t>
            </w:r>
          </w:p>
        </w:tc>
        <w:tc>
          <w:tcPr>
            <w:tcW w:w="8070" w:type="dxa"/>
            <w:tcBorders/>
            <w:vAlign w:val="center"/>
          </w:tcPr>
          <w:p>
            <w:pPr>
              <w:pStyle w:val="TableContents"/>
              <w:bidi w:val="0"/>
              <w:spacing w:before="0" w:after="283"/>
              <w:jc w:val="both"/>
              <w:rPr>
                <w:sz w:val="20"/>
              </w:rPr>
            </w:pPr>
            <w:r>
              <w:rPr>
                <w:sz w:val="20"/>
              </w:rPr>
              <w:t>The Company may redeem all or any portion of the Series A Convertible Notes at 10% premium on the conversion amount being redeemed (or 15% premium during an event of default).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5"/>
        <w:gridCol w:w="8790"/>
      </w:tblGrid>
      <w:tr>
        <w:trPr/>
        <w:tc>
          <w:tcPr>
            <w:tcW w:w="1415" w:type="dxa"/>
            <w:tcBorders/>
            <w:vAlign w:val="center"/>
          </w:tcPr>
          <w:p>
            <w:pPr>
              <w:pStyle w:val="TableContents"/>
              <w:bidi w:val="0"/>
              <w:spacing w:before="0" w:after="283"/>
              <w:jc w:val="left"/>
              <w:rPr>
                <w:b/>
                <w:i/>
              </w:rPr>
            </w:pPr>
            <w:r>
              <w:rPr>
                <w:b/>
                <w:i/>
              </w:rPr>
              <w:t>Use of Proceeds:</w:t>
            </w:r>
          </w:p>
        </w:tc>
        <w:tc>
          <w:tcPr>
            <w:tcW w:w="8790" w:type="dxa"/>
            <w:tcBorders/>
            <w:vAlign w:val="center"/>
          </w:tcPr>
          <w:p>
            <w:pPr>
              <w:pStyle w:val="TableContents"/>
              <w:bidi w:val="0"/>
              <w:spacing w:before="0" w:after="283"/>
              <w:jc w:val="both"/>
              <w:rPr/>
            </w:pPr>
            <w:r>
              <w:rPr/>
              <w:t>We will not receive any proceeds in connection with the Selling Stockholder’s sale of the shares of common stock underlying the Series A Convertible Notes. For a more detailed description of the use of proceeds, see “</w:t>
            </w:r>
            <w:hyperlink w:anchor="a_008">
              <w:r>
                <w:rPr>
                  <w:rStyle w:val="InternetLink"/>
                </w:rPr>
                <w:t>Use of Proceeds</w:t>
              </w:r>
            </w:hyperlink>
            <w:r>
              <w:rPr/>
              <w:t>” in this registration statement.</w:t>
            </w:r>
          </w:p>
        </w:tc>
      </w:tr>
      <w:tr>
        <w:trPr/>
        <w:tc>
          <w:tcPr>
            <w:tcW w:w="1415" w:type="dxa"/>
            <w:tcBorders/>
            <w:vAlign w:val="center"/>
          </w:tcPr>
          <w:p>
            <w:pPr>
              <w:pStyle w:val="TableContents"/>
              <w:bidi w:val="0"/>
              <w:spacing w:before="0" w:after="283"/>
              <w:jc w:val="both"/>
              <w:rPr/>
            </w:pPr>
            <w:r>
              <w:rPr/>
              <w:t> </w:t>
            </w:r>
          </w:p>
        </w:tc>
        <w:tc>
          <w:tcPr>
            <w:tcW w:w="879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b/>
                <w:i/>
              </w:rPr>
            </w:pPr>
            <w:r>
              <w:rPr>
                <w:b/>
                <w:i/>
              </w:rPr>
              <w:t>Risk Factors:</w:t>
            </w:r>
          </w:p>
        </w:tc>
        <w:tc>
          <w:tcPr>
            <w:tcW w:w="8790" w:type="dxa"/>
            <w:tcBorders/>
            <w:vAlign w:val="center"/>
          </w:tcPr>
          <w:p>
            <w:pPr>
              <w:pStyle w:val="TableContents"/>
              <w:bidi w:val="0"/>
              <w:spacing w:before="0" w:after="283"/>
              <w:jc w:val="both"/>
              <w:rPr/>
            </w:pPr>
            <w:r>
              <w:rPr/>
              <w:t>Investing in our securities involves significant risks. See “</w:t>
            </w:r>
            <w:hyperlink w:anchor="a_006">
              <w:r>
                <w:rPr>
                  <w:rStyle w:val="InternetLink"/>
                </w:rPr>
                <w:t>Risk Factors</w:t>
              </w:r>
            </w:hyperlink>
            <w:r>
              <w:rPr/>
              <w:t>” on page 9 of this registration statement and in the documents incorporated by reference herein for a discussion of factors you should consider carefully before deciding to invest in our securities.</w:t>
            </w:r>
          </w:p>
        </w:tc>
      </w:tr>
      <w:tr>
        <w:trPr/>
        <w:tc>
          <w:tcPr>
            <w:tcW w:w="1415" w:type="dxa"/>
            <w:tcBorders/>
            <w:vAlign w:val="center"/>
          </w:tcPr>
          <w:p>
            <w:pPr>
              <w:pStyle w:val="TableContents"/>
              <w:bidi w:val="0"/>
              <w:spacing w:before="0" w:after="283"/>
              <w:jc w:val="both"/>
              <w:rPr/>
            </w:pPr>
            <w:r>
              <w:rPr/>
              <w:t> </w:t>
            </w:r>
          </w:p>
        </w:tc>
        <w:tc>
          <w:tcPr>
            <w:tcW w:w="8790" w:type="dxa"/>
            <w:tcBorders/>
            <w:vAlign w:val="center"/>
          </w:tcPr>
          <w:p>
            <w:pPr>
              <w:pStyle w:val="TableContents"/>
              <w:bidi w:val="0"/>
              <w:spacing w:before="0" w:after="283"/>
              <w:jc w:val="left"/>
              <w:rPr/>
            </w:pPr>
            <w:r>
              <w:rPr/>
              <w:t> </w:t>
            </w:r>
          </w:p>
        </w:tc>
      </w:tr>
      <w:tr>
        <w:trPr/>
        <w:tc>
          <w:tcPr>
            <w:tcW w:w="1415" w:type="dxa"/>
            <w:tcBorders/>
            <w:vAlign w:val="center"/>
          </w:tcPr>
          <w:p>
            <w:pPr>
              <w:pStyle w:val="TableContents"/>
              <w:bidi w:val="0"/>
              <w:spacing w:before="0" w:after="283"/>
              <w:jc w:val="left"/>
              <w:rPr>
                <w:b/>
                <w:i/>
              </w:rPr>
            </w:pPr>
            <w:r>
              <w:rPr>
                <w:b/>
                <w:i/>
              </w:rPr>
              <w:t>Nasdaq Trading Symbol:</w:t>
            </w:r>
          </w:p>
        </w:tc>
        <w:tc>
          <w:tcPr>
            <w:tcW w:w="8790" w:type="dxa"/>
            <w:tcBorders/>
            <w:vAlign w:val="center"/>
          </w:tcPr>
          <w:p>
            <w:pPr>
              <w:pStyle w:val="TableContents"/>
              <w:bidi w:val="0"/>
              <w:spacing w:before="0" w:after="283"/>
              <w:jc w:val="both"/>
              <w:rPr/>
            </w:pPr>
            <w:r>
              <w:rPr/>
              <w:t>IPW</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outstanding after the offering is based on 939,475 shares of our common stock outstanding as of August 17, 2026, and excludes the following:</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627,315 shares of common stock which are reserved for issuance under our Amended and Restated 2020 Equity Incentive Plan, of which a total of 74,039 shares have been granted and 3,564 shares remain subject to vesting conditions including (i) 1,994 restricted stock units, and (ii) options to purchase 1,570 shares of common stock, of which 1,127 shares are vested and the remainder of which remain subject to vesting conditions;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961 shares of common stock underlying the warrants issued on June 18, 2024, in a registered direct offering;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both"/>
              <w:rPr>
                <w:rFonts w:ascii="Symbol" w:hAnsi="Symbol"/>
              </w:rPr>
            </w:pPr>
            <w:r>
              <w:rPr>
                <w:rFonts w:ascii="Symbol" w:hAnsi="Symbol"/>
              </w:rPr>
              <w:t>·</w:t>
            </w:r>
          </w:p>
        </w:tc>
        <w:tc>
          <w:tcPr>
            <w:tcW w:w="10005" w:type="dxa"/>
            <w:tcBorders/>
            <w:vAlign w:val="center"/>
          </w:tcPr>
          <w:p>
            <w:pPr>
              <w:pStyle w:val="TableContents"/>
              <w:bidi w:val="0"/>
              <w:spacing w:before="0" w:after="283"/>
              <w:jc w:val="both"/>
              <w:rPr/>
            </w:pPr>
            <w:r>
              <w:rPr/>
              <w:t>excludes all shares issuable upon conversion of the Series A Convertible Notes, other than shares under the Series A Convertible Notes that have been converted to date.</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you should carefully consider the risks described below and under the section titled “Risk Factors” in our most recent Annual Report on Form 10-K, Quarterly Reports on Form 10-Q and Current Reports on Form 8-K incorporated by reference in this registration statement, any amendment or update thereto reflected in our subsequent filings with the SEC, and all of the other information in this registration statement and the documents that we have incorporated by reference herein and therein, including our financial statements and related notes incorporated by reference in this registration statement.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We have registered shares of our common stock that we have issued and may in the future issue under our employee equity incentive plans. These shares may be sold freely in the public market upon issuance, subject to relevant vesting schedules, and applicable securities laws. In addition, we may in the future issue equity securities as consideration for various types of corporate transactions, including acquisitions, strategic partnerships and licensing transactions, which results in dilution to our existing stockholders and may result in additional sales of our common stock.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shares issuable upon conversion of the Convertible Notes may depress the price of our common stock and encourage short sales by third parties, which could further depress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one or more investors in the Convertible Notes sell shares of our common stock issued upon conversion of the Convertible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capital stock, and we do not anticipate paying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 the event we are unable to convert the Series A Convertible Notes, servicing our debt may require a significant amount of cash, and we may not have sufficient cash flow from our business to pay our obligations under the Convertible Note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payments of principal or to pay interest on or to refinance the Series A Convertible Notes issued under the Convertible Note Facility depends on our future performance, which is subject to economic, financial, competitive and other factors, some of which are beyond our control. Our business may not continue to generate cash flow from operations in the future sufficient to satisfy our obligations under the Series A Convertible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Series A Convertible Notes, should we be unable to timely repay our debt thereunder, will depend on the capital markets and our financial condition at such time. We may not be able to engage in any of these activities or engage in these activities on desirable terms, which could result in a default on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investor, you may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As an investor, you may never recoup all, or even part, of your investment and you may never realize any return on your investment. You must be prepared to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or other securities convertible into or exchangeable for our common stock at prices that may not be the same as the price per share in this offering. The price per share at which we sell additional shares of common stock, or securities convertible or exchangeable into shares of common stock, in future transactions may be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may not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Nasdaq Capital Market, but we can provide no assurance that we will be able to maintain an active trading market on this or any other exchange in the future. If an active market for our common stock is not maintained, it may be difficult for our stockholders to sell or purchase shares. An inactive market may also impair our ability to raise capital to continue to fund operations by selling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Digital Asset Treasury Strategy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various risks, including risks associated with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digital assets are subject to a first priority security interest and are not freely available for our use or for use by our stockholders. </w:t>
      </w:r>
      <w:r>
        <w:rPr>
          <w:rFonts w:ascii="Times New Roman;Times;Serif" w:hAnsi="Times New Roman;Times;Serif"/>
          <w:b w:val="false"/>
          <w:i w:val="false"/>
          <w:caps w:val="false"/>
          <w:smallCaps w:val="false"/>
          <w:sz w:val="20"/>
        </w:rPr>
        <w:t>Our digital assets, controlled-account cash and related proceeds are subject to a first-priority security interest and are not freely available to us or our common stockholders. Substantially all digital assets, cash and other property held in the applicable controlled accounts, together with related proceeds, are pledged to the Collateral Agent, an affiliate of the Convertible Note Investor, for the benefit of the holders of the Convertible Notes. The Collateral Agent has contractual control over the blocked custodial account. A sale, redemption or conversion of a digital asset into cash within the account does not release the collateral; the resulting cash remains pledged. We may withdraw or use collateral only if the applicable release conditions are satisfied or the required consent is obtained. If an Event of Default occurs, as defined in the Convertible Notes, the Collateral Agent may take control of and dispose of the collateral and apply the proceeds to the secured obligations before any residual value is available to holders of our common stock. Accordingly, the gross value of our controlled-account assets should not be viewed as unrestricted cash or net asset value available to common stockholders.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and other digital assets are highly volatile assets. </w:t>
      </w:r>
      <w:r>
        <w:rPr>
          <w:rFonts w:ascii="Times New Roman;Times;Serif" w:hAnsi="Times New Roman;Times;Serif"/>
          <w:b w:val="false"/>
          <w:i w:val="false"/>
          <w:caps w:val="false"/>
          <w:smallCaps w:val="false"/>
          <w:sz w:val="20"/>
        </w:rPr>
        <w:t>Bitcoin (or BTC) and Ethereum (or ETH) are highly volatile assets. BTC has traded below $57,725 per bitcoin and above $126,279 per bitcoin on the Coinbase exchange (a principal market for bitcoin) in the 12 months preceding the date of this Offering. The trading price of bitcoin significantly decreased during prior periods, and such declines may occur again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does not pay interest or dividends. </w:t>
      </w:r>
      <w:r>
        <w:rPr>
          <w:rFonts w:ascii="Times New Roman;Times;Serif" w:hAnsi="Times New Roman;Times;Serif"/>
          <w:b w:val="false"/>
          <w:i w:val="false"/>
          <w:caps w:val="false"/>
          <w:smallCaps w:val="false"/>
          <w:sz w:val="20"/>
        </w:rPr>
        <w:t>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While our DAT Strategy is new, our bitcoin holdings could significantly impact our financial results and the market price of our listed securities. </w:t>
      </w:r>
      <w:r>
        <w:rPr>
          <w:rFonts w:ascii="Times New Roman;Times;Serif" w:hAnsi="Times New Roman;Times;Serif"/>
          <w:b w:val="false"/>
          <w:i w:val="false"/>
          <w:caps w:val="false"/>
          <w:smallCaps w:val="false"/>
          <w:sz w:val="20"/>
        </w:rPr>
        <w:t>Any bitcoin holdings we purchase could significantly affect our financial results. If we continue to invest in bitcoin and increase our overall holdings of bitcoin in the future, they will have an even greater impact on our financial results and the market price of our listed securities.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intend to purchase bitcoin primarily using proceeds from equity and debt financings. </w:t>
      </w:r>
      <w:r>
        <w:rPr>
          <w:rFonts w:ascii="Times New Roman;Times;Serif" w:hAnsi="Times New Roman;Times;Serif"/>
          <w:b w:val="false"/>
          <w:i w:val="false"/>
          <w:caps w:val="false"/>
          <w:smallCaps w:val="false"/>
          <w:sz w:val="20"/>
        </w:rPr>
        <w:t>Our ability to achieve the objectives of our DAT Strategy depends in significant part on our ability to obtain equity and debt financing. If we are unable to obtain equity or debt financing on favorable terms or at all, we may not be able to successfully execute on our DAT Strategy</w:t>
      </w:r>
      <w:r>
        <w:rPr>
          <w:rFonts w:ascii="Times New Roman;Times;Serif" w:hAnsi="Times New Roman;Times;Serif"/>
          <w:b w:val="false"/>
          <w:i/>
          <w:caps w:val="false"/>
          <w:smallCaps w:val="false"/>
          <w:sz w:val="20"/>
        </w:rPr>
        <w:t>.</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DAT Strategy has not been tested and we cannot be certain it will be successful. </w:t>
      </w:r>
      <w:r>
        <w:rPr>
          <w:rFonts w:ascii="Times New Roman;Times;Serif" w:hAnsi="Times New Roman;Times;Serif"/>
          <w:b w:val="false"/>
          <w:i w:val="false"/>
          <w:caps w:val="false"/>
          <w:smallCaps w:val="false"/>
          <w:sz w:val="20"/>
        </w:rPr>
        <w:t>As we roll out our new DAT Strategy, we will need to continually examine the risks and rewards of our strategy to acquire and hold BTC and ETH. This strategy has not been tested over an extended period of time or under different market conditions. For example, although we believe BTC, due to its limited supply, has the potential to serve as a hedge against inflation in the long term, the short-term price of BTC declined in recent periods during which the inflation rate increased. If BTC or ETH prices were to decrease or our DAT Strategy otherwise proves unsuccessful, our financial condition, results of operations, and the market price of our listed securities would be materially adversely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will be subject to counterparty risks, including in particular risks relating to our custodians. </w:t>
      </w:r>
      <w:r>
        <w:rPr>
          <w:rFonts w:ascii="Times New Roman;Times;Serif" w:hAnsi="Times New Roman;Times;Serif"/>
          <w:b w:val="false"/>
          <w:i w:val="false"/>
          <w:caps w:val="false"/>
          <w:smallCaps w:val="false"/>
          <w:sz w:val="20"/>
        </w:rPr>
        <w:t>Although we will implement various measures that are designed to mitigate our counterparty risks, including by storing substantially all of the digital assets we own in custody accounts at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BTC or ETH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digital assets, or delaying or hindering our access to our digital asset holdings, and this may ultimately result in the loss of the value related to some or all of such bitcoin, which could have a material adverse effect on our financial condition as well as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The broader digital assets industry is subject to counterparty risks, which could adversely impact the adoption rate, price, and use of BTC, ETH or stablecoins. </w:t>
      </w:r>
      <w:r>
        <w:rPr>
          <w:rFonts w:ascii="Times New Roman;Times;Serif" w:hAnsi="Times New Roman;Times;Serif"/>
          <w:b w:val="false"/>
          <w:i w:val="false"/>
          <w:caps w:val="false"/>
          <w:smallCaps w:val="false"/>
          <w:sz w:val="20"/>
        </w:rPr>
        <w:t>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BTC or ETH,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BTC or ETH, limit the availability to us of financing collateralized by BTC or ETH or create or expose additional counterparty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the accounting treatment of our bitcoin holdings could have significant accounting impacts, including increasing the volatility of our results.</w:t>
      </w:r>
      <w:r>
        <w:rPr>
          <w:rFonts w:ascii="Times New Roman;Times;Serif" w:hAnsi="Times New Roman;Times;Serif"/>
          <w:b w:val="false"/>
          <w:i w:val="false"/>
          <w:caps w:val="false"/>
          <w:smallCaps w:val="false"/>
          <w:sz w:val="20"/>
        </w:rPr>
        <w:t xml:space="preserve"> Our digital asset holdings and related transactions may create significant volatility in our reported results and our historical financial statements do not reflect all recent developments. Our financial statements through March 31, 2026 reflected our BTC and ETH acquisitions and related fair-value changes. They do not reflect our June 2026 USDai acquisition, subsequent conversion or staking into sUSDai, or our August 2026 instructions to redeem sUSDai and sell ETH. We adopted ASU 2023-08 on July 1, 2025 and record qualifying digital assets at fair value, with realized and unrealized changes recognized in earnings. As a result, changes in digital asset values and any sale or redemption may materially increase volatility in our reported earnings. The accounting and valuation treatment of sUSDai and related redemption proceeds may involve judgment and may differ from the value displayed by the custodian or protocol dashboard.</w:t>
      </w:r>
    </w:p>
    <w:p>
      <w:pPr>
        <w:pStyle w:val="TextBody"/>
        <w:shd w:fill="FFFFFF" w:val="clear"/>
        <w:bidi w:val="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 can be highly volatile assets, and, in the event we develop significant digital asset holdings, fluctuations in the price are likely to influence our financial results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can be highly volatile assets, and, in the event we develop significant holdings, fluctuations in the price are likely to influence our financial results and the market price of our listed securities. Our financial results and the market price of our listed securities would be adversely affected, and our business and financial condition would be negatively impacted, if we hold substantial digital assets and the price decreased substantially, including as a result of:</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user and investor confidence in our digital asset holdings, including due to the various factors described herein;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and trading activities, such as (i) trading activities of highly active retail and institutional users, speculators, miners and investors; (ii) actual or expected significant dispositions of digital assets by large holders, including the expected liquidation of digital assets associated with entities that have filed for bankruptcy protection and the transfer and sale of digital assets associated with significant hacks, seizures, or forfeitures, such as the transfers of BTC to (a) creditors of the hacked cryptocurrency exchange Mt. Gox which distribution began in July 2024, (b) claimants following proceedings related to a 2016 hack of Bitfinex—which claims are currently being adjudicated, (c) the German government following the seizure of about 50,000 bitcoin in January 2024 from the operator of Movie2k.to, or (d) the Northern District Court of California granting the U.S. Department of Justice in January 2025 the right to liquidate 69,370 bitcoin seized from the Silk Road marketplace; and (iii) actual or perceived manipulation of the spot or derivative markets for bitcoin or spot bitcoin exchange-traded products (“ETPs”);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publicity, media or social media coverage, or sentiment due to events in or relating to, or perception of, digital asset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consumer preferences and the perceived value or prospects of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identification of Satoshi Nakamoto, the pseudonymous person or persons who developed bitcoin, or the transfer of substantial amounts of bitcoin from bitcoin wallets attributed to Mr. Nakamoto;</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relating to the Bitcoin protocol, including (i) changes to the Bitcoin protocol that impact its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SEC enforcement action brought against Binance Holdings Ltd., which has now been dropped but which initially sought to freeze all of its assets during the pendency of the enforcement action and has since resulted in Binance discontinuing all fiat deposits and withdrawals in the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from the U.S. market as part of its settlement with the Department of Justice and other federal regulatory agencies;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reductions in mining rewards of bitcoin, including due to block reward halving events, which are events that occur after a specific period of time (approximately once every four years, the most recent of which occurred in April 2024) that reduce the block reward earned by “miners” who validate bitcoin transactions; increases in the costs associated with bitcoin mining, including increases in electricity costs and hardware and software used in mining; new or enhanced regulation or taxation of bitcoin mining, which could further increase the costs associated with bitcoin mining, any of which may cause a decline in support for the Bitcoin network;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 congestion and fees associated with processing transactions on the Bitcoin network;</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changes, such as changes in the level of interest rates and inflation, fiscal and monetary policies of governments, trade restrictions, and fiat currency devaluations;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mathematics or technology, including in digital computing, algebraic geometry and quantum computing, that could result in the cryptography used by the Bitcoin blockchain becoming insecure or ineffective;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to other countries in the Middle East.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digital assets is evolving,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the working group recently released a report outlining a proposed framework for regulating the digital asset market in the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European Union adopted Markets in Crypto Assets Regulation (“MiCA”), a comprehensive digital asset regulatory framework for the issuance and use of digital assets, like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June 2023, the SEC filed complaints against Binance Holdings Ltd. (“Binance”) and Coinbase, Inc., and their respective affiliated entities, relating to, among other claims, that each party was operating as an unregistered securities exchange, broker, dealer, and clearing agency;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2023, the United Kingdom adopted and implemented the Financial Services and Markets Act 2023 (“FSMA 2023”), which regulates market activities in “cryptoassets”;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November 2023, Binance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 </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2025, the SEC dismissed its civil enforcement action, which included charges of operating unregistered exchanges, broker-dealers and clearing agencies, as well as charges of the unregistered offer and sale of securities, against Binance, its related entities BAM Trading Services Inc. and BAM Management US Holdings Inc, and its founder, Changpeng Zhao;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China, the People’s Bank of China and the National Development and Reform Commission have outlawed cryptocurrency mining and declared all cryptocurrency transactions illegal within the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the DAT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BTC or ETH in particular, may also impact the price of BTC or ETH and is subject to a high degree of uncertainty. The pace of worldwide growth in the adoption and use of BTC, ETH or other cryptocurrency may depend, for instance, on public familiarity with digital assets, ease of buying, accessing or gaining exposure to BTC, ETH or other cryptocurrency, institutional demand for cryptocurrency as an investment asset, the participation of traditional financial institutions in the digital assets industry, consumer demand for BTC or ETH as a store of value or means of payment, and the availability and popularity of alternatives to BTC or ETH. Even if growth in bitcoin adoption occurs in the near or medium-term, there is no assurance that bitcoin usage will continue to grow over the long-term.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have no physical existence beyond the record of transactions on the Bitcoin or other blockchain, a variety of technical factors related to the BTH blockchain could also impact the price of BTH.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hold USDai and sUSDai. Such holdings of USDai and sUSDai would expose us to risks specific to the USD.AI protocol and sUSDai’s yield-bearing and redemption mechanics. In addition to the risks associated with our DAT Strategy and digital asset holdings described above, our holdings of USDai and staked USDai, or sUSDai, will be subject to risks specific to the USD.AI protocol, including risks relating to the protocol’s reserve, staking, share-pricing, lending and redemption mechanics. Although USDai is intended to function as a fully backed synthetic dollar, it is not cash or an insured bank deposit, and its redeemability depends on the continued availability and operation of the protocol’s supported stablecoin reserves, swap adapters and related processes. sUSDai is a yield-bearing vault/share token rather than a stablecoin, and its value, yield and redemption proceeds depend on the performance, valuation and liquidity of underlying lending positions, unallocated USDai and protocol-administered share-pricing methodology. Redemptions of sUSDai may be asynchronous, queued, subject to timelocks and serviced periodically, and the redemption share price may be lower than the deposit share price or the value reflected in accrued yield, including if underlying loans default, collateral values are impaired, liquidity is unavailable, or the applicable position managers, administrators or governance-controlled processes do not operate as expected. Any inability to redeem USDai or sUSDai when needed, any shortfall between expected and realized redemption value or yield, or any adverse change in the USD.AI protocol, its collateral, loan performance, reserves or redemption process could reduce the value or liquidity of these holdings and adversely affect our liquidity, financial condition and results of operations.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financial statements do not reflect the potential variability in earnings that we may experience in the future relating to our bitcoin holdings.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only recently commenced our DAT Strategy. As a result, our historical financial statements do not reflect the potential variability in earnings that we may experience in the future from holding or selling significant amounts of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historically been subject to dramatic price fluctuations and is highly volatile. In December 2023, the FASB issued ASU 2023-08, which we will need to adopt going forward. We determine the fair value of our bitcoin based on quoted (unadjusted) prices on the Coinbase exchange (our principal market for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requires us to measure our bitcoin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ASU 2023-08 does not permit retrospective restatement of prior periods. Accordingly, we expect the adoption of ASU 2023-08 to significantly affect the carrying value of our digital assets on our balance sheet.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adoption of ASU 2023-08, we may incur greater losses during periods when we previously would have incurred smaller losses or no losses because we had already impaired the carrying value of our digital assets to a low price observed during a prior period, and we may also incur gains during periods when the market value of BTC or ETH rises, as compared to periods prior to January 1, 2025, when we would not have incurred any gains under similar circumstances. Accordingly, due in particular to the volatility in the price of bitcoin, we expect the adoption of ASU 2023-08 to increase the volatility of our financial results. Additionally, as a result of ASU 2023-08 requiring a cumulative-effect adjustment to our opening balance of retained earnings as of January 1, 2025 and not permitting retrospective restatement of prior periods, our future results will not be comparable to results from periods prior to our adoption of the guidance.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may purchase additional bitcoin in future periods and increase our overall holdings of BTC, ETH or other digital assets, we expect that the proportion of our total assets represented by our DAT holdings will increase in the future. As a result, and in particular due to our adoption of ASU 2023-08, volatility in our earnings may be significantly more than what we experienced in prior periods.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exchange traded products (“ETPs”) for bitcoin and other digital assets may adversely affect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and other digital assets through traditional investment channels, and instead generally were only able to hold bitcoin or other digital assets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Additionally, on May 23, 2024, the SEC approved rule changes permitting the listing and trading of spot ETPs that invest in ether, the main crypto asset supporting the Ethereum blockchain. The approved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we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as we are, or the other risk factors applicable to an operating business, such as ours. Additionally, unlike spot bitcoin ETPs, we (i) do not seek for our shares of common stock to track the value of the underlying bitcoin or other digital asset we hold before payment of expenses and liabilities, (ii) do not benefit from various exemptions and relief under the Securities Exchange Act of 1934, as amended, including Regulation M, and other securities laws, which enable ETPs to continuously align the value of their shares to the price of the underlying assets they hold through share creation and redemption, (iii) are a Nevada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bitcoin, such as bitcoin futures exchange-traded funds (“ETFs”), leveraged bitcoin futures ETFs, and similar vehicles offered on international exchanges, any premium or discount in our common stock relative to the value of our bitcoin holdings may increase or decrease in different market conditions.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ETPs for bitcoin and other digital assets could have a material adverse effect on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subjects us to enhanced regulatory oversight.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holdings will serve as collateral securing our outstanding indebtedness to the Investor following this Offering. In addition, we may incur indebtedness or enter into other financial instruments in the future that may be collateralized by our bitcoin or other digital asset holdings. We may also consider pursuing strategies to create income streams or otherwise generate funds using our digital asset holdings. These types of bitcoin- and cryptocurrency-related transactions are the subject of enhanced regulatory oversight. These and any other bitcoin- or cryptocurrency-related transactions we may enter into, beyond simply acquiring and holding BTC or ETH, may subject us to additional regulatory compliance requirements and scrutiny, including under federal and state money services regulations, money transmitter licensing requirements and various commodity and securities laws and regulations.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which brought increased regulatory scrutiny to the digital asset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 or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other digital assets, or the regulatory concerns associated with digital assets in general have in the past taken and may in the future take further actions that may have an adverse effect on our business or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unregulated nature and lack of transparency surrounding the operations of many bitcoin and digital asset trading venues, such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BTC, ETH or other digital asset trading venues, including prominent exchanges that handle a significant volume of digital asset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For example, in 2022, each of Celsius Network, Voyager Digital, Three Arrows Capital, FTX, and BlockFi filed for bankruptcy, after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Payward Inc. and Payward Ventures Inc., together known as Kraken, another large trading venue for digital assets. As the price of our listed securities is affected by the value of our bitcoin holdings, the failure of a major participant in the bitcoin ecosystem could have a material adverse effect on the market price of our listed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bitcoin holdings enhances the risks inherent in our DAT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only just recently began our acquisition of bitcoin, we anticipate that the concentration of our bitcoin holdings will limit the risk mitigation that we could achieve if we were to purchase a more diversified portfolio of treasury assets, and the absence of diversification enhances the risks inherent in our DAT Strategy. Any future significant declines in the price of bitcoin would have a pronounced impact on our financial condition than if we used our cash to purchase a more diverse portfolio of assets.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could have a negative impact on the price of bitcoin and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DAT Strategy, our digital assets have been concentrated in BTC and ETH holdings. Accordingly, the emergence or growth of digital assets other than BTC or ETH may have a material adverse effect on our financial condition.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acquired, our bitcoin holdings will be less liquid than our existing cash and cash equivalents and may not be able to serve as a source of liquidity for us to the same extent as cash and cash equivalents.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is held in custody accounts at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partial or total loss of our bitcoin in a manner that may not be covered by insurance or the liability provisions of the custody agreements with the custodians who hold our bitcoin;</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harm to our reputation and brand;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improper disclosure of data and violations of applicable data privacy and other laws; or</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regulatory scrutiny, investigations, fines, penalties, and other legal, regulatory, contractual and financial exposure.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or will hold, our bitcoin with regulated custodians that have duties to safeguard our private keys. Our custodial services contracts do not restrict our ability to reallocate our bitcoin among our custodians, and our bitcoin holdings may be concentrated with a single custodian from time to time. In light of the significant amount of bitcoin we hold, we continually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that covers losses of our bitcoin holdings covers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 reclassifying bitcoin as a security could lead to our classification as an “investment company” under the Investment Company Act of 1940 and could adversely affect the market price of bitcoin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only just commencing our DAT Strategy, in the future our assets may be concentrated in bitcoin holdings. While senior SEC officials have stated their view that bitcoin is not a “security” for purposes of the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DAT Strategy, and our business and operations and may also require us to substantially change the manner in which we conduct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bitcoin is determined to be a security for purposes of the federal securities laws, we would take steps to reduce our holdings of bitcoin as a percentage of our total assets. These steps may include, among others, selling bitcoin that we might otherwise hold for the long term and deploying our cash in assets that are not considered to be investment securities under the 1940 Act, in which case we may be forced to sell our bitcoin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bitcoin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bitcoin and in turn adversely affect the market price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DAT Strategy would require the approval of our board of directors, no shareholder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bitcoin.</w:t>
      </w:r>
    </w:p>
    <w:p>
      <w:pPr>
        <w:pStyle w:val="TextBody"/>
        <w:shd w:fill="FFFFFF" w:val="clear"/>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DAT Strategy exposes us to risk of non-performance by counterparties.</w:t>
      </w:r>
    </w:p>
    <w:p>
      <w:pPr>
        <w:pStyle w:val="TextBody"/>
        <w:shd w:fill="FFFFFF" w:val="clear"/>
        <w:bidi w:val="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various custody arrangements we have entered into.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Binance Holdings Ltd., and Kraken,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and the market price of our common stock may be affected by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capital allocation strategy for assets that are not required to provide working capital for our ongoing operations, we have invested and will continue to invest in bitcoin. After closing on the sale of Series A Convertible Notes and Series B Convertibles, we intend to purchase approximately $4.4 million in BTC and ETH, which will remain in a controlled account. The price of bitcoin has historically been subject to dramatic price fluctuations and is highly volatile. Moreover, digital assets, such as bitcoin, are relatively novel and the application of securities laws and other regulations to such assets is unclear in many respects. It is possible that regulators may interpret laws in a manner that adversely affects the liquidity or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decrease in the fair value of bitcoin below our carrying value for such assets could require us to incur an impairment charge,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bitcoin remains uncertain in some respects, and any future changes in the manner in which we account for our bitcoin assets could have a material adverse effect on our financial results and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investors view the value of our common stock as dependent upon or linked to the value or change in the value of our bitcoin holdings, the price of bitcoin may significantly influence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has been and may continue to be volatile and fluctuate substantially, which could result in substantial losses for purchasers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has been and is likely to continue to be volatile. The stock market in general has experienced extreme volatility that has often been unrelated to the operating performance of particular companies. With the adoption of our new bitcoin treasury strategy, we expect to see additional volatility. As a result of this volatility, you may not be able to sell your common stock. The market price for our common stock may be influenced by many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10"/>
        <w:gridCol w:w="10020"/>
      </w:tblGrid>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bitcoin treasury strategy;</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competitive products, services or technologies;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or legal developments in the United States and other countries;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recruitment or departure of key personnel;</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estimates as to financial results, development timelines or recommendations by securities analysts;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financial results or those of companies that are perceived to be similar to us;</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industry and market conditions; and</w:t>
            </w:r>
          </w:p>
        </w:tc>
      </w:tr>
      <w:tr>
        <w:trPr/>
        <w:tc>
          <w:tcPr>
            <w:tcW w:w="75"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other factors described in this ‘‘Risk Factors’’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may invest or spend the proceeds of any offering by the Company in ways with which you may not agree or in ways that may not yield a return.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any offering by the Company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additional products and services our pursuit of our new DAT Strategy. Pending their use, we may invest the net proceeds from this offering in a manner that does not produce income or that loses value. We will not receive any proceeds from sales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are less liquid than our existing cash and cash equivalents and may not be able to serve as a source of liquidity for us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digital assets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Treasury Reserve Policy would require the approval of our board of directors, no stockholder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digital assets.</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other risks related to our DAT Strategy.</w:t>
      </w:r>
    </w:p>
    <w:p>
      <w:pPr>
        <w:pStyle w:val="TextBody"/>
        <w:bidi w:val="0"/>
        <w:jc w:val="left"/>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 Strategy exposes us to various risks, including the following:</w:t>
      </w:r>
    </w:p>
    <w:p>
      <w:pPr>
        <w:pStyle w:val="TextBody"/>
        <w:bidi w:val="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25"/>
        <w:gridCol w:w="10005"/>
      </w:tblGrid>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bitcoin and other digital assets are subject to significant legal, commercial, regulatory, and technical uncertainty, and our DAT Strategy could subject us to enhanced regulatory oversight;</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changes could impact our ability to operate validators or receive rewards;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regulatory scrutiny of the Company’s activities may increase, potentially limiting our operations;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potential litigation risks exist related to smart contract vulnerabilities, validator operations, or our business activities;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uncertainty around bitcoin’s regulatory status may impact our ability to list on certain exchanges;</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changes in political administration may not guarantee a favorable regulatory environment for bitcoin;</w:t>
            </w:r>
          </w:p>
        </w:tc>
      </w:tr>
      <w:tr>
        <w:trPr/>
        <w:tc>
          <w:tcPr>
            <w:tcW w:w="75" w:type="dxa"/>
            <w:tcBorders/>
            <w:shd w:fill="FFFFFF" w:val="clear"/>
            <w:vAlign w:val="center"/>
          </w:tcPr>
          <w:p>
            <w:pPr>
              <w:pStyle w:val="TableContents"/>
              <w:bidi w:val="0"/>
              <w:spacing w:before="0" w:after="283"/>
              <w:jc w:val="both"/>
              <w:rPr/>
            </w:pPr>
            <w:r>
              <w:rPr/>
              <w:t> </w:t>
            </w:r>
          </w:p>
        </w:tc>
        <w:tc>
          <w:tcPr>
            <w:tcW w:w="125" w:type="dxa"/>
            <w:tcBorders/>
            <w:shd w:fill="FFFFFF" w:val="clear"/>
            <w:vAlign w:val="center"/>
          </w:tcPr>
          <w:p>
            <w:pPr>
              <w:pStyle w:val="TableContents"/>
              <w:bidi w:val="0"/>
              <w:spacing w:before="0" w:after="283"/>
              <w:jc w:val="both"/>
              <w:rPr>
                <w:rFonts w:ascii="Symbol" w:hAnsi="Symbol"/>
              </w:rPr>
            </w:pPr>
            <w:r>
              <w:rPr>
                <w:rFonts w:ascii="Symbol" w:hAnsi="Symbol"/>
              </w:rPr>
              <w:t>·</w:t>
            </w:r>
          </w:p>
        </w:tc>
        <w:tc>
          <w:tcPr>
            <w:tcW w:w="10005" w:type="dxa"/>
            <w:tcBorders/>
            <w:shd w:fill="FFFFFF" w:val="clear"/>
            <w:vAlign w:val="center"/>
          </w:tcPr>
          <w:p>
            <w:pPr>
              <w:pStyle w:val="TableContents"/>
              <w:bidi w:val="0"/>
              <w:spacing w:before="0" w:after="283"/>
              <w:jc w:val="both"/>
              <w:rPr/>
            </w:pPr>
            <w:r>
              <w:rPr/>
              <w:t>increased regulatory focus on Layer-1 blockchains beyond Bitcoin and Ethereum could result in new compliance requirements.</w:t>
            </w:r>
          </w:p>
        </w:tc>
      </w:tr>
    </w:tbl>
    <w:p>
      <w:pPr>
        <w:pStyle w:val="TextBody"/>
        <w:bidi w:val="0"/>
        <w:jc w:val="both"/>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DESCRIPTION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shares of our common stock issuable upon conversion of up to $3,149,444 aggregate principal amount of our Series A senior secured convertible promissory notes, which we refer to herein as the “Series A Convertible Notes.” The Series A Convertible Notes are senior secured obligations of the Company, bear interest at 10% per annum and are convertible into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the shares of our common stock issuable from time to time upon conversion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following is a description of the material terms of the Series A Convertible Notes and the Purchase Agreement. Capitalized terms used in this description but not otherwise defined herein have the meanings assigned to them in the Series A Convertible Notes or the Purchase Agreement, as applicable. This summary is not complete and is qualified in its entirety by reference to the Series A Convertible Notes and the Purchase Agreement. Copies of those documents are available as described under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are senior secured obligations of the Company, and are convertible into shares of our common stock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Series A Convertible Notes are outstanding, we are required to reserve at least 100% of the number of shares of common stock necessary to effect the conversion of all outstanding Series A Convertible Notes at the Floor Price then in effect. The Series A Convertible Notes contain customary adjustment mechanisms for stock splits, stock dividends and other similar corporate events, as well as protections in the event of a fundamental transaction, each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herein up to 5,873,610 shares of common stock issuable upon conversion of $3,149,444 aggregate principal amount of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converted or redeemed, each Series A Convertible Note matures on the 24-month anniversary of the Issuance Date. On the Maturity Dates, the Company is required to pay to the holder in cash all outstanding principal, accrued and unpaid interest and accrued and unpaid late charges. The Company may not prepay the Series A Convertible Notes except as specifically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payable monthly on the first trading day of each calendar month. Upon the occurrence and during the continuance of an event of default, the interest rate on the Series A Convertible Notes will increase by 7.0% per annum. Interest is payable in shares of common stock, so long as there has been no Equity Conditions Failure or, at the Company’s option, in cash or a combination thereof. Interest payable in shares of common stock will be calculated based on the number of shares equal to the amount of interest payable divided by the Alternate Conversion Price in effect on the applicable interest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convert all or any portion of the outstanding principal and accrued interest at any time after the issuance date; provided that, prior to the three-month anniversary of the Issuance Date, the amount of Series A Convertible Notes converted at the Alternate Optional Conversion Price may not exceed an aggregate of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fixed Conversion Price for each of the July 2026 Note and the February 2026 Note is $2.39 and $5.11 per share, respectively, subject to adjustment as provided in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elect to convert at an Alternate Conversion Price, which provides for conversion at a discounted price based on recent trading VWAP. The Alternate Optional Conversion Price is equal to the lower of (i) the Conversion Price or (ii) the greater of (x) the Floor Price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$0.628 per share for each of the February and July Note,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are prohibited to the extent they would result in the holder beneficially owning more than 4.99% of our outstanding common stock. The holder may increase this limitation up to 9.99% upon 61 days’ prior written notice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all or any portion of the outstanding conversion amount at any time at a premium of 10% of the conversion amount being redeemed (or a premium of 15% during an Event of Default Redemption Right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Transactions and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Fundamental Transaction, the Company must either (i) cause any successor entity to assume the Company’s obligations under the Series A Convertible Notes or (ii) permit the holder to require redemption at the Change of Control Redemption Price. A Fundamental Transaction includes any transaction that would result in a change of control of the Company or a sale of substantially all of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subject to adjustment upon stock splits, stock dividends, stock combinations, recapitalizations and similar events, issuance of common stock, options or convertible securities at prices below 115% of the Conversion Price then in effect (subject to certain conditions), distributions to stockholders, and other dilutive events. The holder is entitled to participate in purchase rights and distributions made to common stockholders as if the holder had converted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 Upon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shares must be delivered within one trading day after the Company’s receipt of a conversion notice. If the Company fails to deliver shares when due on more than two occasions, it is required to pay liquidated damages equal to 1% per day of the product of (i) the number of shares not delivered times (ii) any trading price selected by the holder during the period from the conversion date to the share delivery deadline. The holder also has buy-in rights if the Company fails to timely deliver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Series A Convertible Notes remain outstanding, the Company is subject to various restrictive covenants, including limitations on incurrence of additional indebtedness (other than permitted indebtedness), creation of liens (other than permitted liens), restricted payments and investments, redemption of equity securities, transfer of assets (other than in the ordinary course), transactions with affiliates, and changes in the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the Series B Convertible Notes issued under the Purchase Agreement are secured obligations of the Company, secured by substantially all of the assets of the Company and certain of its subsidiaries pursuant to the Security Agreement and other security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constitute senior secured obligations of the Company and rank senior to all of the Company’s other outstanding and future indebtedness, subject to certain exceptions for permitted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are convertible into shares of common stock, upon the conversion terms described above and as set forth in the Series A Convertible Notes. As of August 17, 2026, our authorized capital stock consists of 180,000,000 shares of common stock, par value $0.001 per share, of which 939,475 shares of common stock were issued and outstanding; and 20,000,000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the express terms of any outstanding preferred stock, dividends may be paid in cash or otherwise with respect to the holders of our common stock out of the assets of the Company legally available therefor, upon the terms, and subject to such limitations, as the board of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common stock are entitled to one (1) vote per share in voting or consenting to the election of directors and for all other corporate purposes for which they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Subject to the express terms of any outstanding preferred stock, in the event of a Liquidation of the Corporation,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8"/>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common stock under this prospectus, and we will not receive any proceeds from the sale of the common stock by the Selling Stockholder. All net proceeds from the sale of the common stock covered by this prospectus will go to the Selling Stockholder. However, the Company will receive proceeds upon the sale of the Series A Convertible Notes issued in any additional closing pursuant to the Purchase Agreement, which proceeds the Company intends to use to pay off existing loans, investing in additional digital assets, and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expect that the Selling Stockholder will sell their Shares as described under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9"/>
      <w:bookmarkEnd w:id="24"/>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issuable to the Selling Stockholder upon conversion of the Series A Convertible Notes, consisting of up to 5,873,610 shares of common stock underlying $3,149,444 of outstanding principal of Series A Convertible Notes. Such Series A Convertible Notes were issued to the Selling Stockholder in private placements which closed on February 10, 2026 and July 6, 2026. For additional information regarding the issuances of those Convertible Notes, see “Prospectus Summary - Recent Developments - Registered Direct Offering” above. We are registering the shares of common stock issuable upon conversion of the Series A Convertible Notes in order to permit the Selling Stockholder to offer the Shares for resale from time to time. Except as noted in this prospectus, the Selling Stockholder has not had any material relationship with us within the past three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(as determined under Section 13(d) of the Securities Exchange Act of 1934, as amended, and the rules and regulations thereunder) of shares of our common stock held by the Selling Stockholder. The second column lists the number of shares of common stock beneficially owned by the Selling Stockholder, which number includes the shares underlying the Convertible Notes, as of August 14, 2026, assuming conversion of the all Convertible Notes issuable to the Selling Stockholder pursuant to the Purchase Agreement have been issued at an additional closing as of the date hereof, taking into account any limitations on conversions set forth therein. The third column lists the maximum number of the shares of common stock being offered in this prospectus by the Selling Stockholder and does not take into account any limitations on conversion of the Series A Convertible Notes set forth therein. The fourth column lists the amount of the shares of common stock owned after the offering, assuming in the sale of all of the Shares of common stock offered by the Selling Stockholder pursuant to this prospectus, and without regard to any limitations on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Stockholder, this prospectus generally covers the resale of the maximum number of shares of common stock issued or issuable upon conversion of the Series A Convertible Notes, including any interest due thereunder through August 14, 2026, determined as if all Series A Convertible Notes were issued as of the date hereof and were converted in full (without regard to any limitations on conversion contained therein solely for the purpose of such calculation) at the floor price in effect on the date this registration statement was initially filed with the SEC. Because the conversion price and floor price of the Series A Convertible Notes may be adjusted, the number of shares that will actually be issued may be more or less than the number of shares being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Under the terms of the Series A Convertible Notes, the Selling Stockholder may not convert the Series A Convertible Notes to the extent such conversion would cause such Selling Stockholder, together with its affiliates, to beneficially own a number of shares of common stock which would exceed 4.99% of our then outstanding common stock following such conversion (the “Maximum Percentage”), excluding for purposes of such determination shares of common stock issuable upon conversion of such Series A Convertible Notes which have not been converted. The number of shares in the second column reflects this limitation. The Selling Stockholder may sell all, some, or none of its shares in this offering.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020"/>
        <w:gridCol w:w="60"/>
        <w:gridCol w:w="951"/>
        <w:gridCol w:w="69"/>
        <w:gridCol w:w="769"/>
        <w:gridCol w:w="60"/>
        <w:gridCol w:w="3356"/>
        <w:gridCol w:w="60"/>
        <w:gridCol w:w="910"/>
        <w:gridCol w:w="76"/>
        <w:gridCol w:w="874"/>
      </w:tblGrid>
      <w:tr>
        <w:trPr/>
        <w:tc>
          <w:tcPr>
            <w:tcW w:w="3020" w:type="dxa"/>
            <w:tcBorders/>
            <w:shd w:fill="FFFFFF" w:val="clear"/>
            <w:vAlign w:val="center"/>
          </w:tcPr>
          <w:p>
            <w:pPr>
              <w:pStyle w:val="TableContents"/>
              <w:bidi w:val="0"/>
              <w:spacing w:before="0" w:after="283"/>
              <w:jc w:val="center"/>
              <w:rPr>
                <w:b/>
                <w:sz w:val="20"/>
              </w:rPr>
            </w:pPr>
            <w:r>
              <w:rPr>
                <w:b/>
                <w:sz w:val="20"/>
              </w:rPr>
              <w:t>Selling Stockholder</w:t>
            </w:r>
          </w:p>
        </w:tc>
        <w:tc>
          <w:tcPr>
            <w:tcW w:w="60" w:type="dxa"/>
            <w:tcBorders/>
            <w:shd w:fill="FFFFFF" w:val="clear"/>
            <w:vAlign w:val="center"/>
          </w:tcPr>
          <w:p>
            <w:pPr>
              <w:pStyle w:val="TableContents"/>
              <w:bidi w:val="0"/>
              <w:spacing w:before="0" w:after="283"/>
              <w:jc w:val="left"/>
              <w:rPr/>
            </w:pPr>
            <w:r>
              <w:rPr/>
              <w:t> </w:t>
            </w:r>
          </w:p>
        </w:tc>
        <w:tc>
          <w:tcPr>
            <w:tcW w:w="1789"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Prior to Offering </w:t>
            </w: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pPr>
            <w:r>
              <w:rPr/>
              <w:t> </w:t>
            </w:r>
          </w:p>
        </w:tc>
        <w:tc>
          <w:tcPr>
            <w:tcW w:w="3356"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to be Sold Pursuant to this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Prospectus </w:t>
            </w: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pPr>
            <w:r>
              <w:rPr/>
              <w:t> </w:t>
            </w:r>
          </w:p>
        </w:tc>
        <w:tc>
          <w:tcPr>
            <w:tcW w:w="1860" w:type="dxa"/>
            <w:gridSpan w:val="3"/>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After the Offering</w:t>
            </w:r>
            <w:r>
              <w:rPr>
                <w:rFonts w:ascii="Times New Roman;Times;Serif" w:hAnsi="Times New Roman;Times;Serif"/>
                <w:b w:val="false"/>
                <w:i w:val="false"/>
                <w:caps w:val="false"/>
                <w:smallCaps w:val="false"/>
                <w:sz w:val="20"/>
              </w:rPr>
              <w:t xml:space="preserve"> (2)(5)</w:t>
            </w:r>
          </w:p>
        </w:tc>
      </w:tr>
      <w:tr>
        <w:trPr/>
        <w:tc>
          <w:tcPr>
            <w:tcW w:w="302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Number</w:t>
            </w:r>
          </w:p>
        </w:tc>
        <w:tc>
          <w:tcPr>
            <w:tcW w:w="69" w:type="dxa"/>
            <w:tcBorders/>
            <w:shd w:fill="FFFFFF" w:val="clear"/>
            <w:vAlign w:val="center"/>
          </w:tcPr>
          <w:p>
            <w:pPr>
              <w:pStyle w:val="TableContents"/>
              <w:bidi w:val="0"/>
              <w:spacing w:before="0" w:after="283"/>
              <w:jc w:val="left"/>
              <w:rPr/>
            </w:pPr>
            <w:r>
              <w:rPr/>
              <w:t> </w:t>
            </w:r>
          </w:p>
        </w:tc>
        <w:tc>
          <w:tcPr>
            <w:tcW w:w="769"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Percent</w:t>
            </w:r>
          </w:p>
        </w:tc>
        <w:tc>
          <w:tcPr>
            <w:tcW w:w="60" w:type="dxa"/>
            <w:tcBorders/>
            <w:shd w:fill="FFFFFF" w:val="clear"/>
            <w:vAlign w:val="center"/>
          </w:tcPr>
          <w:p>
            <w:pPr>
              <w:pStyle w:val="TableContents"/>
              <w:bidi w:val="0"/>
              <w:spacing w:before="0" w:after="283"/>
              <w:jc w:val="left"/>
              <w:rPr/>
            </w:pPr>
            <w:r>
              <w:rPr/>
              <w:t> </w:t>
            </w:r>
          </w:p>
        </w:tc>
        <w:tc>
          <w:tcPr>
            <w:tcW w:w="335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Number</w:t>
            </w:r>
          </w:p>
        </w:tc>
        <w:tc>
          <w:tcPr>
            <w:tcW w:w="76" w:type="dxa"/>
            <w:tcBorders/>
            <w:shd w:fill="FFFFFF" w:val="clear"/>
            <w:vAlign w:val="center"/>
          </w:tcPr>
          <w:p>
            <w:pPr>
              <w:pStyle w:val="TableContents"/>
              <w:bidi w:val="0"/>
              <w:spacing w:before="0" w:after="283"/>
              <w:jc w:val="left"/>
              <w:rPr/>
            </w:pPr>
            <w:r>
              <w:rPr/>
              <w:t> </w:t>
            </w:r>
          </w:p>
        </w:tc>
        <w:tc>
          <w:tcPr>
            <w:tcW w:w="874"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Percent</w:t>
            </w:r>
          </w:p>
        </w:tc>
      </w:tr>
      <w:tr>
        <w:trPr/>
        <w:tc>
          <w:tcPr>
            <w:tcW w:w="3020" w:type="dxa"/>
            <w:tcBorders/>
            <w:shd w:fill="EEEEEE" w:val="clear"/>
            <w:vAlign w:val="center"/>
          </w:tcPr>
          <w:p>
            <w:pPr>
              <w:pStyle w:val="TableContents"/>
              <w:bidi w:val="0"/>
              <w:spacing w:before="0" w:after="283"/>
              <w:jc w:val="both"/>
              <w:rPr>
                <w:sz w:val="20"/>
              </w:rPr>
            </w:pPr>
            <w:r>
              <w:rPr>
                <w:sz w:val="20"/>
              </w:rPr>
              <w:t>ATW Digital Asset Opportunities XIV LLC (1)</w:t>
            </w:r>
          </w:p>
        </w:tc>
        <w:tc>
          <w:tcPr>
            <w:tcW w:w="60" w:type="dxa"/>
            <w:tcBorders/>
            <w:shd w:fill="EEEEEE" w:val="clear"/>
            <w:vAlign w:val="center"/>
          </w:tcPr>
          <w:p>
            <w:pPr>
              <w:pStyle w:val="TableContents"/>
              <w:bidi w:val="0"/>
              <w:spacing w:before="0" w:after="283"/>
              <w:jc w:val="left"/>
              <w:rPr/>
            </w:pPr>
            <w:r>
              <w:rPr/>
              <w:t> </w:t>
            </w:r>
          </w:p>
        </w:tc>
        <w:tc>
          <w:tcPr>
            <w:tcW w:w="951" w:type="dxa"/>
            <w:tcBorders/>
            <w:shd w:fill="EEEEEE" w:val="clear"/>
            <w:vAlign w:val="center"/>
          </w:tcPr>
          <w:p>
            <w:pPr>
              <w:pStyle w:val="TableContents"/>
              <w:bidi w:val="0"/>
              <w:spacing w:before="0" w:after="283"/>
              <w:jc w:val="center"/>
              <w:rPr>
                <w:sz w:val="20"/>
              </w:rPr>
            </w:pPr>
            <w:r>
              <w:rPr>
                <w:sz w:val="20"/>
              </w:rPr>
              <w:t>46,879 (4)</w:t>
            </w:r>
          </w:p>
        </w:tc>
        <w:tc>
          <w:tcPr>
            <w:tcW w:w="69" w:type="dxa"/>
            <w:tcBorders/>
            <w:shd w:fill="EEEEEE" w:val="clear"/>
            <w:vAlign w:val="center"/>
          </w:tcPr>
          <w:p>
            <w:pPr>
              <w:pStyle w:val="TableContents"/>
              <w:bidi w:val="0"/>
              <w:spacing w:before="0" w:after="283"/>
              <w:jc w:val="left"/>
              <w:rPr/>
            </w:pPr>
            <w:r>
              <w:rPr/>
              <w:t> </w:t>
            </w:r>
          </w:p>
        </w:tc>
        <w:tc>
          <w:tcPr>
            <w:tcW w:w="769" w:type="dxa"/>
            <w:tcBorders/>
            <w:shd w:fill="EEEEEE" w:val="clear"/>
            <w:vAlign w:val="center"/>
          </w:tcPr>
          <w:p>
            <w:pPr>
              <w:pStyle w:val="TableContents"/>
              <w:bidi w:val="0"/>
              <w:spacing w:before="0" w:after="283"/>
              <w:jc w:val="center"/>
              <w:rPr>
                <w:sz w:val="20"/>
              </w:rPr>
            </w:pPr>
            <w:r>
              <w:rPr>
                <w:sz w:val="20"/>
              </w:rPr>
              <w:t>4.99%</w:t>
            </w:r>
          </w:p>
        </w:tc>
        <w:tc>
          <w:tcPr>
            <w:tcW w:w="60" w:type="dxa"/>
            <w:tcBorders/>
            <w:shd w:fill="EEEEEE" w:val="clear"/>
            <w:vAlign w:val="center"/>
          </w:tcPr>
          <w:p>
            <w:pPr>
              <w:pStyle w:val="TableContents"/>
              <w:bidi w:val="0"/>
              <w:spacing w:before="0" w:after="283"/>
              <w:jc w:val="left"/>
              <w:rPr/>
            </w:pPr>
            <w:r>
              <w:rPr/>
              <w:t> </w:t>
            </w:r>
          </w:p>
        </w:tc>
        <w:tc>
          <w:tcPr>
            <w:tcW w:w="3356" w:type="dxa"/>
            <w:tcBorders/>
            <w:shd w:fill="EEEEEE" w:val="clear"/>
            <w:vAlign w:val="center"/>
          </w:tcPr>
          <w:p>
            <w:pPr>
              <w:pStyle w:val="TableContents"/>
              <w:bidi w:val="0"/>
              <w:spacing w:before="0" w:after="283"/>
              <w:jc w:val="center"/>
              <w:rPr>
                <w:sz w:val="20"/>
              </w:rPr>
            </w:pPr>
            <w:r>
              <w:rPr>
                <w:sz w:val="20"/>
              </w:rPr>
              <w:t>5,873,610</w:t>
            </w:r>
          </w:p>
        </w:tc>
        <w:tc>
          <w:tcPr>
            <w:tcW w:w="60" w:type="dxa"/>
            <w:tcBorders/>
            <w:shd w:fill="EEEEEE" w:val="clear"/>
            <w:vAlign w:val="center"/>
          </w:tcPr>
          <w:p>
            <w:pPr>
              <w:pStyle w:val="TableContents"/>
              <w:bidi w:val="0"/>
              <w:spacing w:before="0" w:after="283"/>
              <w:jc w:val="left"/>
              <w:rPr/>
            </w:pPr>
            <w:r>
              <w:rPr/>
              <w:t> </w:t>
            </w:r>
          </w:p>
        </w:tc>
        <w:tc>
          <w:tcPr>
            <w:tcW w:w="910" w:type="dxa"/>
            <w:tcBorders/>
            <w:shd w:fill="EEEEEE" w:val="clear"/>
            <w:vAlign w:val="center"/>
          </w:tcPr>
          <w:p>
            <w:pPr>
              <w:pStyle w:val="TableContents"/>
              <w:bidi w:val="0"/>
              <w:spacing w:before="0" w:after="283"/>
              <w:jc w:val="center"/>
              <w:rPr>
                <w:sz w:val="20"/>
              </w:rPr>
            </w:pPr>
            <w:r>
              <w:rPr>
                <w:sz w:val="20"/>
              </w:rPr>
              <w:t>339,973</w:t>
            </w:r>
          </w:p>
        </w:tc>
        <w:tc>
          <w:tcPr>
            <w:tcW w:w="76" w:type="dxa"/>
            <w:tcBorders/>
            <w:shd w:fill="EEEEEE" w:val="clear"/>
            <w:vAlign w:val="center"/>
          </w:tcPr>
          <w:p>
            <w:pPr>
              <w:pStyle w:val="TableContents"/>
              <w:bidi w:val="0"/>
              <w:spacing w:before="0" w:after="283"/>
              <w:jc w:val="left"/>
              <w:rPr/>
            </w:pPr>
            <w:r>
              <w:rPr/>
              <w:t> </w:t>
            </w:r>
          </w:p>
        </w:tc>
        <w:tc>
          <w:tcPr>
            <w:tcW w:w="874" w:type="dxa"/>
            <w:tcBorders/>
            <w:shd w:fill="EEEEEE" w:val="clear"/>
            <w:vAlign w:val="center"/>
          </w:tcPr>
          <w:p>
            <w:pPr>
              <w:pStyle w:val="TableContents"/>
              <w:bidi w:val="0"/>
              <w:spacing w:before="0" w:after="283"/>
              <w:jc w:val="center"/>
              <w:rPr>
                <w:sz w:val="20"/>
              </w:rPr>
            </w:pPr>
            <w:r>
              <w:rPr>
                <w:sz w:val="20"/>
              </w:rPr>
              <w:t>4.99%</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07"/>
        <w:gridCol w:w="9998"/>
      </w:tblGrid>
      <w:tr>
        <w:trPr/>
        <w:tc>
          <w:tcPr>
            <w:tcW w:w="207" w:type="dxa"/>
            <w:tcBorders/>
            <w:shd w:fill="FFFFFF" w:val="clear"/>
            <w:vAlign w:val="center"/>
          </w:tcPr>
          <w:p>
            <w:pPr>
              <w:pStyle w:val="TableContents"/>
              <w:bidi w:val="0"/>
              <w:spacing w:before="0" w:after="283"/>
              <w:jc w:val="both"/>
              <w:rPr>
                <w:sz w:val="20"/>
              </w:rPr>
            </w:pPr>
            <w:r>
              <w:rPr>
                <w:sz w:val="20"/>
              </w:rPr>
              <w:t>(1)</w:t>
            </w:r>
          </w:p>
        </w:tc>
        <w:tc>
          <w:tcPr>
            <w:tcW w:w="9998" w:type="dxa"/>
            <w:tcBorders/>
            <w:shd w:fill="FFFFFF" w:val="clear"/>
            <w:vAlign w:val="center"/>
          </w:tcPr>
          <w:p>
            <w:pPr>
              <w:pStyle w:val="TableContents"/>
              <w:bidi w:val="0"/>
              <w:spacing w:before="0" w:after="283"/>
              <w:jc w:val="both"/>
              <w:rPr>
                <w:sz w:val="20"/>
              </w:rPr>
            </w:pPr>
            <w:r>
              <w:rPr>
                <w:sz w:val="20"/>
              </w:rPr>
              <w:t>The securities are directly held by ATW Digital Asset Opportunities XIV LLC, which is wholly owned by ATW Master Fund V LP (the “Fund”), and may be deemed to be beneficially owned by: (i) ATW Partners Opportunities Management LLC, which serves as the investment manager of the Fund; and (ii) Antonio Ruiz-Gimenez and Kerry Propper, who serve as the managing members of the investment manager (the Selling Stockholder and Fund, together with (i) and (ii), the “Reporting Persons”). While the Reporting Persons may be deemed to have shared voting and dispositive power with respect to the securities beneficially owned by the Selling Stockholder, each of the Reporting Persons disclaim beneficial ownership of the Company’s securities reported herein. The address of ATW Digital Asset Opportunities XIV LLC is c/o ATW Partners Opportunities Management, LLC, 1 Pennsylvania Plaza, Suite 4810, New York, NY 10119.</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sz w:val="20"/>
              </w:rPr>
            </w:pPr>
            <w:r>
              <w:rPr>
                <w:sz w:val="20"/>
              </w:rPr>
              <w:t>(2)</w:t>
            </w:r>
          </w:p>
        </w:tc>
        <w:tc>
          <w:tcPr>
            <w:tcW w:w="9998" w:type="dxa"/>
            <w:tcBorders/>
            <w:shd w:fill="FFFFFF" w:val="clear"/>
            <w:vAlign w:val="center"/>
          </w:tcPr>
          <w:p>
            <w:pPr>
              <w:pStyle w:val="TableContents"/>
              <w:bidi w:val="0"/>
              <w:spacing w:before="0" w:after="283"/>
              <w:jc w:val="both"/>
              <w:rPr>
                <w:sz w:val="20"/>
              </w:rPr>
            </w:pPr>
            <w:r>
              <w:rPr>
                <w:sz w:val="20"/>
              </w:rPr>
              <w:t>Applicable percentage ownership is based on 939,475 shares of our common stock outstanding as of August 17, 2026, and based on 6,813,085 shares of our common stock outstanding after the offering.</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sz w:val="20"/>
              </w:rPr>
            </w:pPr>
            <w:r>
              <w:rPr>
                <w:sz w:val="20"/>
              </w:rPr>
              <w:t>(3)</w:t>
            </w:r>
          </w:p>
        </w:tc>
        <w:tc>
          <w:tcPr>
            <w:tcW w:w="9998" w:type="dxa"/>
            <w:tcBorders/>
            <w:shd w:fill="FFFFFF" w:val="clear"/>
            <w:vAlign w:val="center"/>
          </w:tcPr>
          <w:p>
            <w:pPr>
              <w:pStyle w:val="TableContents"/>
              <w:bidi w:val="0"/>
              <w:spacing w:before="0" w:after="283"/>
              <w:jc w:val="both"/>
              <w:rPr>
                <w:sz w:val="20"/>
              </w:rPr>
            </w:pPr>
            <w:r>
              <w:rPr>
                <w:sz w:val="20"/>
              </w:rPr>
              <w:t>Represents (i) 3,494,427 shares issuable upon conversion of $1,900,000 of a Series A convertible Note, plus interest, issued to the Selling Stockholder on February 10, 2026, converted at an adjusted floor price of $0.628, and (ii) 2,379,183 shares issuable upon conversion of $1,249,444 of a Series A Convertible Note, plus interest, issued to the Selling Stockholder on July 6, 2026, converted at an assumed floor price of $0.628.</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sz w:val="20"/>
              </w:rPr>
            </w:pPr>
            <w:r>
              <w:rPr>
                <w:sz w:val="20"/>
              </w:rPr>
              <w:t>(4)</w:t>
            </w:r>
          </w:p>
        </w:tc>
        <w:tc>
          <w:tcPr>
            <w:tcW w:w="9998" w:type="dxa"/>
            <w:tcBorders/>
            <w:shd w:fill="FFFFFF" w:val="clear"/>
            <w:vAlign w:val="center"/>
          </w:tcPr>
          <w:p>
            <w:pPr>
              <w:pStyle w:val="TableContents"/>
              <w:bidi w:val="0"/>
              <w:spacing w:before="0" w:after="283"/>
              <w:jc w:val="both"/>
              <w:rPr>
                <w:sz w:val="20"/>
              </w:rPr>
            </w:pPr>
            <w:r>
              <w:rPr>
                <w:sz w:val="20"/>
              </w:rPr>
              <w:t>This column lists the number of shares of our common stock beneficially owned by this Selling Stockholder as of August 17, 2026, after giving effect to the Maximum Percentage (as defined above). Without regard to the Maximum Percentage, as of August 17, 2026, assuming the conversion of all Series A Convertible Notes held by the Selling Stockholder, the Selling Stockholder would beneficially own an aggregate of 5,873,610 shares of our common stock, which represents all of the shares of our common stock underlying the Series A Convertible Notes held by the Selling Stockholder being registered under this prospectus.</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sz w:val="20"/>
              </w:rPr>
            </w:pPr>
            <w:r>
              <w:rPr>
                <w:sz w:val="20"/>
              </w:rPr>
              <w:t>(5)</w:t>
            </w:r>
          </w:p>
        </w:tc>
        <w:tc>
          <w:tcPr>
            <w:tcW w:w="9998" w:type="dxa"/>
            <w:tcBorders/>
            <w:shd w:fill="FFFFFF" w:val="clear"/>
            <w:vAlign w:val="center"/>
          </w:tcPr>
          <w:p>
            <w:pPr>
              <w:pStyle w:val="TableContents"/>
              <w:bidi w:val="0"/>
              <w:spacing w:before="0" w:after="283"/>
              <w:jc w:val="both"/>
              <w:rPr>
                <w:sz w:val="20"/>
              </w:rPr>
            </w:pPr>
            <w:r>
              <w:rPr>
                <w:sz w:val="20"/>
              </w:rPr>
              <w:t>Assumes the sale of all securities being offered pursuant to this prospectus and no other shares of common stock are acquired by the Selling Stockholder after giving effect to the Maximum Percentage. However, the Selling Stockholder is not obligated to sell all or any portion of the shares of our stock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0"/>
      <w:bookmarkEnd w:id="25"/>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Series A Convertible Notes to permit the resale of these shares of common stock by the holders of the Series A Convertible Notes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or a portion of the shares of common stock held by them and offered hereby from time to time directly or through one or more underwriters, broker-dealers or agents. If the shares of common stock are sold through underwriters or broker-dealers, the selling shareholders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made after the date the Registration Statement is declared effective by the SEC;</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shares of common stock under Rule 144 promulgated under the Securities Act of 1933, as amended,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shareholders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pledge or grant a security interest in some or all of the Series A Convertible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shareholders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pursuant to the registration rights agreement, estimated to be $55,775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1"/>
      <w:bookmarkEnd w:id="2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and certain legal matters in connection with this offering relating to U.S. law will be passed upon for us by Dorsey &amp; Whitney LLP, New York, 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2"/>
      <w:bookmarkEnd w:id="27"/>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iPower Inc. as of June 30, 2024 and June 30, 2025 incorporated by reference in this prospectus have been audited by UHY LLP, independent registered public accounting firm, and HTL International, LLC, independent registered public accounting firm, respectively, as set forth in their report thereon, included therein, and are included in reliance upon such report given on the authority of such firm as experts in accounting and auditing. The consolidated financial statements for the three and nine months ended March 31, 2026 and 2025 incorporated by reference herein are not 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3"/>
      <w:bookmarkEnd w:id="2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a registration statement on Form S-1 with the SEC under the Securities Act with respect to the securities offered in this prospectus. This prospectus, which is filed as part of a registration statement, does not contain all of the information set forth in the registration statement, some portions of which have been omitted in accordance with the SEC’s rules and regulations. Statements made in this prospectus as to the contents of any contract, agreement or other document referred to or incorporated in this prospectus are not necessarily complete and are qualified in their entirety by reference to each such contract, agreement or other document that is filed as an exhibit to the registration statement. You can read our SEC filings, including the registration statement, over the internet at the SEC’s website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in accordance with requirements of the Exchange Act. These periodic reports, proxy statements and other information are available at the SEC’s website address referred to above. In addition, you may request a copy of any of our periodic reports filed with the SEC at no cost, by writing or telephoning us at the following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however, send exhibits to those documents, unless the exhibits are specifically incorporated by reference in those documents. We also maintain a website at </w:t>
      </w:r>
      <w:r>
        <w:rPr>
          <w:rFonts w:ascii="Times New Roman;Times;Serif" w:hAnsi="Times New Roman;Times;Serif"/>
          <w:b w:val="false"/>
          <w:i/>
          <w:caps w:val="false"/>
          <w:smallCaps w:val="false"/>
          <w:sz w:val="20"/>
        </w:rPr>
        <w:t>www.meetipower.com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However,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4"/>
      <w:bookmarkEnd w:id="29"/>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This prospectus incorporates by reference our documents listed below and any future filings we make with the SEC under Sections 13(a), 13(c), 14 or 15(d) of the Exchange Act until all of the securities are sold: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3">
              <w:r>
                <w:rPr>
                  <w:rStyle w:val="InternetLink"/>
                  <w:rFonts w:ascii="Times New Roman;Times;Serif" w:hAnsi="Times New Roman;Times;Serif"/>
                  <w:sz w:val="20"/>
                </w:rPr>
                <w:t>Annual Report on Form 10-K</w:t>
              </w:r>
            </w:hyperlink>
            <w:r>
              <w:rPr/>
              <w:t xml:space="preserve"> </w:t>
            </w:r>
            <w:r>
              <w:rPr>
                <w:rFonts w:ascii="Times New Roman;Times;Serif" w:hAnsi="Times New Roman;Times;Serif"/>
                <w:sz w:val="20"/>
              </w:rPr>
              <w:t>for the fiscal year ended June 30, 2025, filed with the SEC on October 9,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Quarterly Reports on Form 10-Q</w:t>
            </w:r>
            <w:r>
              <w:rPr/>
              <w:t xml:space="preserve"> </w:t>
            </w:r>
            <w:r>
              <w:rPr>
                <w:rFonts w:ascii="Times New Roman;Times;Serif" w:hAnsi="Times New Roman;Times;Serif"/>
                <w:sz w:val="20"/>
              </w:rPr>
              <w:t xml:space="preserve">for the three months ended </w:t>
            </w:r>
            <w:hyperlink r:id="rId4">
              <w:r>
                <w:rPr>
                  <w:rStyle w:val="InternetLink"/>
                  <w:rFonts w:ascii="Times New Roman;Times;Serif" w:hAnsi="Times New Roman;Times;Serif"/>
                  <w:sz w:val="20"/>
                </w:rPr>
                <w:t>September 30, 2025</w:t>
              </w:r>
            </w:hyperlink>
            <w:r>
              <w:rPr>
                <w:rFonts w:ascii="Times New Roman;Times;Serif" w:hAnsi="Times New Roman;Times;Serif"/>
                <w:sz w:val="20"/>
              </w:rPr>
              <w:t xml:space="preserve">, filed with the SEC on November 14, 2025, for the six months ended </w:t>
            </w:r>
            <w:hyperlink r:id="rId5">
              <w:r>
                <w:rPr>
                  <w:rStyle w:val="InternetLink"/>
                  <w:rFonts w:ascii="Times New Roman;Times;Serif" w:hAnsi="Times New Roman;Times;Serif"/>
                  <w:sz w:val="20"/>
                </w:rPr>
                <w:t>December 31, 2025</w:t>
              </w:r>
            </w:hyperlink>
            <w:r>
              <w:rPr>
                <w:rFonts w:ascii="Times New Roman;Times;Serif" w:hAnsi="Times New Roman;Times;Serif"/>
                <w:sz w:val="20"/>
              </w:rPr>
              <w:t xml:space="preserve"> filed with the SEC on February 20, 2026, and for the nine months ended </w:t>
            </w:r>
            <w:hyperlink r:id="rId6">
              <w:r>
                <w:rPr>
                  <w:rStyle w:val="InternetLink"/>
                  <w:rFonts w:ascii="Times New Roman;Times;Serif" w:hAnsi="Times New Roman;Times;Serif"/>
                  <w:sz w:val="20"/>
                </w:rPr>
                <w:t>March 31, 2026</w:t>
              </w:r>
            </w:hyperlink>
            <w:r>
              <w:rPr>
                <w:rFonts w:ascii="Times New Roman;Times;Serif" w:hAnsi="Times New Roman;Times;Serif"/>
                <w:sz w:val="20"/>
              </w:rPr>
              <w:t xml:space="preserve"> filed with the SEC on May 20,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Current Reports on Form 8-K filed with the SEC on</w:t>
            </w:r>
            <w:r>
              <w:rPr/>
              <w:t xml:space="preserve"> </w:t>
            </w:r>
            <w:hyperlink r:id="rId7">
              <w:r>
                <w:rPr>
                  <w:rStyle w:val="InternetLink"/>
                  <w:rFonts w:ascii="Times New Roman;Times;Serif" w:hAnsi="Times New Roman;Times;Serif"/>
                  <w:sz w:val="20"/>
                </w:rPr>
                <w:t>July 3, 2025;</w:t>
              </w:r>
            </w:hyperlink>
            <w:r>
              <w:rPr/>
              <w:t xml:space="preserve"> </w:t>
            </w:r>
            <w:hyperlink r:id="rId8">
              <w:r>
                <w:rPr>
                  <w:rStyle w:val="InternetLink"/>
                  <w:rFonts w:ascii="Times New Roman;Times;Serif" w:hAnsi="Times New Roman;Times;Serif"/>
                  <w:sz w:val="20"/>
                </w:rPr>
                <w:t>July 29, 2025</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August 12, 202</w:t>
              </w:r>
            </w:hyperlink>
            <w:r>
              <w:rPr>
                <w:rFonts w:ascii="Times New Roman;Times;Serif" w:hAnsi="Times New Roman;Times;Serif"/>
                <w:sz w:val="20"/>
              </w:rPr>
              <w:t xml:space="preserve">5; </w:t>
            </w:r>
            <w:hyperlink r:id="rId10">
              <w:r>
                <w:rPr>
                  <w:rStyle w:val="InternetLink"/>
                  <w:rFonts w:ascii="Times New Roman;Times;Serif" w:hAnsi="Times New Roman;Times;Serif"/>
                  <w:sz w:val="20"/>
                </w:rPr>
                <w:t>August 19, 2025</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September 9, 2025</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September 23, 2025,</w:t>
              </w:r>
            </w:hyperlink>
            <w:r>
              <w:rPr/>
              <w:t xml:space="preserve"> </w:t>
            </w:r>
            <w:hyperlink r:id="rId13">
              <w:r>
                <w:rPr>
                  <w:rStyle w:val="InternetLink"/>
                  <w:rFonts w:ascii="Times New Roman;Times;Serif" w:hAnsi="Times New Roman;Times;Serif"/>
                  <w:sz w:val="20"/>
                </w:rPr>
                <w:t>October 21, 2025</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October 22, 2025</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November 12, 2025</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December 1, 2025</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December 9, 2025</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December 29, 2025</w:t>
              </w:r>
            </w:hyperlink>
            <w:r>
              <w:rPr>
                <w:rFonts w:ascii="Times New Roman;Times;Serif" w:hAnsi="Times New Roman;Times;Serif"/>
                <w:sz w:val="20"/>
              </w:rPr>
              <w:t xml:space="preserve">, </w:t>
            </w:r>
            <w:hyperlink r:id="rId21">
              <w:r>
                <w:rPr>
                  <w:rStyle w:val="InternetLink"/>
                  <w:rFonts w:ascii="Times New Roman;Times;Serif" w:hAnsi="Times New Roman;Times;Serif"/>
                  <w:sz w:val="20"/>
                </w:rPr>
                <w:t>February 2, 2026</w:t>
              </w:r>
            </w:hyperlink>
            <w:r>
              <w:rPr>
                <w:rFonts w:ascii="Times New Roman;Times;Serif" w:hAnsi="Times New Roman;Times;Serif"/>
                <w:sz w:val="20"/>
              </w:rPr>
              <w:t xml:space="preserve">, </w:t>
            </w:r>
            <w:hyperlink r:id="rId22">
              <w:r>
                <w:rPr>
                  <w:rStyle w:val="InternetLink"/>
                  <w:rFonts w:ascii="Times New Roman;Times;Serif" w:hAnsi="Times New Roman;Times;Serif"/>
                  <w:sz w:val="20"/>
                </w:rPr>
                <w:t>February 10, 2026</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March 31, 2026</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April 17, 2026</w:t>
              </w:r>
            </w:hyperlink>
            <w:r>
              <w:rPr>
                <w:rFonts w:ascii="Times New Roman;Times;Serif" w:hAnsi="Times New Roman;Times;Serif"/>
                <w:sz w:val="20"/>
              </w:rPr>
              <w:t xml:space="preserve">, </w:t>
            </w:r>
            <w:hyperlink r:id="rId25">
              <w:r>
                <w:rPr>
                  <w:rStyle w:val="InternetLink"/>
                  <w:rFonts w:ascii="Times New Roman;Times;Serif" w:hAnsi="Times New Roman;Times;Serif"/>
                  <w:sz w:val="20"/>
                </w:rPr>
                <w:t>April 29, 2026</w:t>
              </w:r>
            </w:hyperlink>
            <w:r>
              <w:rPr>
                <w:rFonts w:ascii="Times New Roman;Times;Serif" w:hAnsi="Times New Roman;Times;Serif"/>
                <w:sz w:val="20"/>
              </w:rPr>
              <w:t xml:space="preserve">, </w:t>
            </w:r>
            <w:hyperlink r:id="rId26">
              <w:r>
                <w:rPr>
                  <w:rStyle w:val="InternetLink"/>
                  <w:rFonts w:ascii="Times New Roman;Times;Serif" w:hAnsi="Times New Roman;Times;Serif"/>
                  <w:sz w:val="20"/>
                </w:rPr>
                <w:t>May 19, 2026</w:t>
              </w:r>
            </w:hyperlink>
            <w:r>
              <w:rPr>
                <w:rFonts w:ascii="Times New Roman;Times;Serif" w:hAnsi="Times New Roman;Times;Serif"/>
                <w:sz w:val="20"/>
              </w:rPr>
              <w:t xml:space="preserve">, </w:t>
            </w:r>
            <w:hyperlink r:id="rId27">
              <w:r>
                <w:rPr>
                  <w:rStyle w:val="InternetLink"/>
                  <w:rFonts w:ascii="Times New Roman;Times;Serif" w:hAnsi="Times New Roman;Times;Serif"/>
                  <w:sz w:val="20"/>
                </w:rPr>
                <w:t>May 22, 2026</w:t>
              </w:r>
            </w:hyperlink>
            <w:r>
              <w:rPr>
                <w:rFonts w:ascii="Times New Roman;Times;Serif" w:hAnsi="Times New Roman;Times;Serif"/>
                <w:sz w:val="20"/>
              </w:rPr>
              <w:t xml:space="preserve">, </w:t>
            </w:r>
            <w:hyperlink r:id="rId28">
              <w:r>
                <w:rPr>
                  <w:rStyle w:val="InternetLink"/>
                  <w:rFonts w:ascii="Times New Roman;Times;Serif" w:hAnsi="Times New Roman;Times;Serif"/>
                  <w:sz w:val="20"/>
                </w:rPr>
                <w:t>May 26, 2026</w:t>
              </w:r>
            </w:hyperlink>
            <w:r>
              <w:rPr>
                <w:rFonts w:ascii="Times New Roman;Times;Serif" w:hAnsi="Times New Roman;Times;Serif"/>
                <w:sz w:val="20"/>
              </w:rPr>
              <w:t xml:space="preserve">, </w:t>
            </w:r>
            <w:hyperlink r:id="rId29">
              <w:r>
                <w:rPr>
                  <w:rStyle w:val="InternetLink"/>
                  <w:rFonts w:ascii="Times New Roman;Times;Serif" w:hAnsi="Times New Roman;Times;Serif"/>
                  <w:sz w:val="20"/>
                </w:rPr>
                <w:t>June 4, 2026</w:t>
              </w:r>
            </w:hyperlink>
            <w:r>
              <w:rPr>
                <w:rFonts w:ascii="Times New Roman;Times;Serif" w:hAnsi="Times New Roman;Times;Serif"/>
                <w:sz w:val="20"/>
              </w:rPr>
              <w:t xml:space="preserve">, </w:t>
            </w:r>
            <w:hyperlink r:id="rId30">
              <w:r>
                <w:rPr>
                  <w:rStyle w:val="InternetLink"/>
                  <w:rFonts w:ascii="Times New Roman;Times;Serif" w:hAnsi="Times New Roman;Times;Serif"/>
                  <w:sz w:val="20"/>
                </w:rPr>
                <w:t>July 2, 2026</w:t>
              </w:r>
            </w:hyperlink>
            <w:r>
              <w:rPr>
                <w:rFonts w:ascii="Times New Roman;Times;Serif" w:hAnsi="Times New Roman;Times;Serif"/>
                <w:sz w:val="20"/>
              </w:rPr>
              <w:t xml:space="preserve">, </w:t>
            </w:r>
            <w:hyperlink r:id="rId31">
              <w:r>
                <w:rPr>
                  <w:rStyle w:val="InternetLink"/>
                  <w:rFonts w:ascii="Times New Roman;Times;Serif" w:hAnsi="Times New Roman;Times;Serif"/>
                  <w:sz w:val="20"/>
                </w:rPr>
                <w:t>July 6, 2026</w:t>
              </w:r>
            </w:hyperlink>
            <w:r>
              <w:rPr>
                <w:rFonts w:ascii="Times New Roman;Times;Serif" w:hAnsi="Times New Roman;Times;Serif"/>
                <w:sz w:val="20"/>
              </w:rPr>
              <w:t xml:space="preserve">, </w:t>
            </w:r>
            <w:hyperlink r:id="rId32">
              <w:r>
                <w:rPr>
                  <w:rStyle w:val="InternetLink"/>
                  <w:rFonts w:ascii="Times New Roman;Times;Serif" w:hAnsi="Times New Roman;Times;Serif"/>
                  <w:sz w:val="20"/>
                </w:rPr>
                <w:t>July 21, 2026</w:t>
              </w:r>
            </w:hyperlink>
            <w:r>
              <w:rPr>
                <w:rFonts w:ascii="Times New Roman;Times;Serif" w:hAnsi="Times New Roman;Times;Serif"/>
                <w:sz w:val="20"/>
              </w:rPr>
              <w:t xml:space="preserve">, and </w:t>
            </w:r>
            <w:hyperlink r:id="rId33">
              <w:r>
                <w:rPr>
                  <w:rStyle w:val="InternetLink"/>
                  <w:rFonts w:ascii="Times New Roman;Times;Serif" w:hAnsi="Times New Roman;Times;Serif"/>
                  <w:sz w:val="20"/>
                </w:rPr>
                <w:t>August 5, 2026</w:t>
              </w:r>
            </w:hyperlink>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capital stock contained in our registration statement on </w:t>
            </w:r>
            <w:hyperlink r:id="rId34">
              <w:r>
                <w:rPr>
                  <w:rStyle w:val="InternetLink"/>
                  <w:rFonts w:ascii="Times New Roman;Times;Serif" w:hAnsi="Times New Roman;Times;Serif"/>
                  <w:sz w:val="20"/>
                </w:rPr>
                <w:t>Form 8-A</w:t>
              </w:r>
            </w:hyperlink>
            <w:r>
              <w:rPr/>
              <w:t xml:space="preserve"> </w:t>
            </w:r>
            <w:r>
              <w:rPr>
                <w:rFonts w:ascii="Times New Roman;Times;Serif" w:hAnsi="Times New Roman;Times;Serif"/>
                <w:sz w:val="20"/>
              </w:rPr>
              <w:t>(File No. 001-40391) filed on May 5, 2021, and any amendments or reports filed for the purposes of updating this description;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we are not incorporating any document or portion thereof or information deemed to have been furnished and not filed in accordance with SEC rules including any information furnished under Items 2.02 or 7.01 of any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are available from us, without charge. You may obtain documents incorporated by reference in this prospectus by requesting them in writing or by telephone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(626) 863-7344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812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5"/>
                    <a:stretch>
                      <a:fillRect/>
                    </a:stretch>
                  </pic:blipFill>
                  <pic:spPr bwMode="auto">
                    <a:xfrm>
                      <a:off x="0" y="0"/>
                      <a:ext cx="21812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Up to 5,873,610 Shares of Common Stock Underlying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$3,149,444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Company in connection with this offering. All expenses incurred with respect to the registration of the common stock will be borne by the Company. All amounts are estimates, except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EEEEEE" w:val="clear"/>
            <w:vAlign w:val="center"/>
          </w:tcPr>
          <w:p>
            <w:pPr>
              <w:pStyle w:val="TableContents"/>
              <w:bidi w:val="0"/>
              <w:spacing w:before="0" w:after="283"/>
              <w:jc w:val="left"/>
              <w:rPr/>
            </w:pPr>
            <w:r>
              <w:rPr/>
              <w:t>SEC registration fee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6,047</w:t>
            </w:r>
          </w:p>
        </w:tc>
        <w:tc>
          <w:tcPr>
            <w:tcW w:w="75" w:type="dxa"/>
            <w:tcBorders/>
            <w:shd w:fill="EEEEEE"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EEEEEE" w:val="clear"/>
            <w:vAlign w:val="center"/>
          </w:tcPr>
          <w:p>
            <w:pPr>
              <w:pStyle w:val="TableContents"/>
              <w:bidi w:val="0"/>
              <w:spacing w:before="0" w:after="283"/>
              <w:jc w:val="left"/>
              <w:rPr/>
            </w:pPr>
            <w:r>
              <w:rPr/>
              <w:t>Accounting fees and expenses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15,000</w:t>
            </w:r>
          </w:p>
        </w:tc>
        <w:tc>
          <w:tcPr>
            <w:tcW w:w="75" w:type="dxa"/>
            <w:tcBorders/>
            <w:shd w:fill="EEEEEE"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35,000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EEEEEE" w:val="clear"/>
            <w:vAlign w:val="center"/>
          </w:tcPr>
          <w:p>
            <w:pPr>
              <w:pStyle w:val="TableContents"/>
              <w:bidi w:val="0"/>
              <w:spacing w:before="0" w:after="283"/>
              <w:jc w:val="left"/>
              <w:rPr>
                <w:b/>
              </w:rPr>
            </w:pPr>
            <w:r>
              <w:rPr>
                <w:b/>
              </w:rPr>
              <w:t>Total</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EEEEEE" w:val="clear"/>
            <w:tcMar>
              <w:bottom w:w="28" w:type="dxa"/>
            </w:tcMar>
            <w:vAlign w:val="center"/>
          </w:tcPr>
          <w:p>
            <w:pPr>
              <w:pStyle w:val="TableContents"/>
              <w:bidi w:val="0"/>
              <w:spacing w:before="0" w:after="283"/>
              <w:jc w:val="right"/>
              <w:rPr/>
            </w:pPr>
            <w:r>
              <w:rPr/>
              <w:t>57,047</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accordingly, we are subject to the corporate laws under the Nevada Revised Statutes. Article 9 of our amended and restated Articles of Incorporation, Article 8 of our Bylaws and the Nevada Revised Business Statutes, contain indemnification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provides that we will indemnify, in accordance with our Bylaws and to the fullest extent permitted by the Nevada Revised Statutes or any other applicable laws, any person who was or is a party or is threatened to be made a party to any threatened, pending or completed action, suit or proceeding, including an action by or in the right of the corporation, by reason of such person acting as a director or officer of the corporation or any of its subsidiaries against any liability or expense actually and reasonably incurred by such person. We will be required to indemnify an officer or director in connection with an action, suit or proceedings initiated by such person only if (i) such action, suit or proceeding was authorized by the board of directors and (ii) the indemnification does not relate to any liability arising under Section 16(b) of the Exchange Act, as amended, or rules or regulations promulgated thereunder. Such indemnification is not exclusive of any other right to indemnification provided by law or otherwise. Indemnification shall include payment by us of expenses in defending an action or proceeding in advance of final disposition of such action or proceeding upon receipt of an undertaking by the person indemnified to repay such payment if it’s ultimately determined that such person is not entitled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Please read “</w:t>
      </w:r>
      <w:hyperlink w:anchor="s3_001">
        <w:r>
          <w:rPr>
            <w:rStyle w:val="InternetLink"/>
            <w:rFonts w:ascii="Times New Roman;Times;Serif" w:hAnsi="Times New Roman;Times;Serif"/>
            <w:b w:val="false"/>
            <w:i w:val="false"/>
            <w:caps w:val="false"/>
            <w:smallCaps w:val="false"/>
            <w:sz w:val="20"/>
          </w:rPr>
          <w:t>Item 17. Undertakings</w:t>
        </w:r>
      </w:hyperlink>
      <w:r>
        <w:rPr>
          <w:rFonts w:ascii="Times New Roman;Times;Serif" w:hAnsi="Times New Roman;Times;Serif"/>
          <w:b w:val="false"/>
          <w:i w:val="false"/>
          <w:caps w:val="false"/>
          <w:smallCaps w:val="false"/>
          <w:sz w:val="20"/>
        </w:rPr>
        <w:t>” for more information on the SEC’s position regarding such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pursuant to the terms of a securities purchase agreement, dated December 22, 2025, between the Company and the institutional investor named therein, the Company issued and sold $2,000,000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19, 2026, pursuant to the terms of a securities purchase agreement, dated December 22, 2025, between the Company and the institutional investor named therein, the Company issued and sold $3,000,000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2026, pursuant to the terms of a securities purchase agreement, dated December 22, 2025, between the Company and the institutional investor named therein, the Company issued and sold $2,000,000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pursuant to the terms of a securities purchase agreement between the Company and the institutional investor named therein, the Company issued and sold $5,185,024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2024, pursuant to the terms of a securities purchase agreement, dated June 16, 2024, between the Company and Armistice Capital Partners, LLC, we sold warrants (the “Warrants”) to purchase 2,083,334 shares of common stock. The Warrants were sold pursuant to an exemption from registration pursuant Section 4(a)(2) or Regulation D of the Securities Act, in conjunction with a registered direct offering pursuant to which we sold 2,083,334 shares of common stock for aggregate gross proceeds of $5,000,002.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sales of unregistered securities during the period covered by this registration statement that have not previously been reported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789"/>
        <w:gridCol w:w="60"/>
        <w:gridCol w:w="9356"/>
      </w:tblGrid>
      <w:tr>
        <w:trPr/>
        <w:tc>
          <w:tcPr>
            <w:tcW w:w="78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89" w:type="dxa"/>
            <w:tcBorders/>
            <w:shd w:fill="FFFFFF" w:val="clear"/>
            <w:tcMar>
              <w:bottom w:w="0" w:type="dxa"/>
            </w:tcMar>
            <w:vAlign w:val="center"/>
          </w:tcPr>
          <w:p>
            <w:pPr>
              <w:pStyle w:val="TableContents"/>
              <w:bidi w:val="0"/>
              <w:spacing w:before="0" w:after="283"/>
              <w:jc w:val="lef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left"/>
              <w:rPr/>
            </w:pPr>
            <w:hyperlink r:id="rId36">
              <w:r>
                <w:rPr>
                  <w:rStyle w:val="InternetLink"/>
                </w:rPr>
                <w:t>Sixth Amended and Restated Articles of Incorporation of iPower Inc.</w:t>
              </w:r>
            </w:hyperlink>
            <w:r>
              <w:rPr/>
              <w:t> (incorporated by reference to Exhibit 3.3 to Amendment No. 3 to the Registration Statement on Form S-1 filed May 5, 2021).</w:t>
            </w:r>
          </w:p>
        </w:tc>
      </w:tr>
      <w:tr>
        <w:trPr/>
        <w:tc>
          <w:tcPr>
            <w:tcW w:w="789" w:type="dxa"/>
            <w:tcBorders/>
            <w:shd w:fill="FFFFFF" w:val="clear"/>
            <w:tcMar>
              <w:bottom w:w="0" w:type="dxa"/>
            </w:tcMar>
            <w:vAlign w:val="center"/>
          </w:tcPr>
          <w:p>
            <w:pPr>
              <w:pStyle w:val="TableContents"/>
              <w:bidi w:val="0"/>
              <w:spacing w:before="0" w:after="283"/>
              <w:jc w:val="left"/>
              <w:rPr/>
            </w:pPr>
            <w:r>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0"/>
              <w:ind w:left="0" w:right="0" w:hanging="0"/>
              <w:jc w:val="left"/>
              <w:rPr/>
            </w:pPr>
            <w:hyperlink r:id="rId37">
              <w:r>
                <w:rPr>
                  <w:rStyle w:val="InternetLink"/>
                </w:rPr>
                <w:t>Amendment to Articles of Incorporation</w:t>
              </w:r>
            </w:hyperlink>
            <w:r>
              <w:rPr/>
              <w:t> (incorporated by reference to Exhibit 3.1 to the Current Report on Form 8-K filed October 21, 2025).</w:t>
            </w:r>
          </w:p>
        </w:tc>
      </w:tr>
      <w:tr>
        <w:trPr/>
        <w:tc>
          <w:tcPr>
            <w:tcW w:w="789" w:type="dxa"/>
            <w:tcBorders/>
            <w:shd w:fill="FFFFFF" w:val="clear"/>
            <w:tcMar>
              <w:bottom w:w="0" w:type="dxa"/>
            </w:tcMar>
            <w:vAlign w:val="center"/>
          </w:tcPr>
          <w:p>
            <w:pPr>
              <w:pStyle w:val="TableContents"/>
              <w:bidi w:val="0"/>
              <w:spacing w:before="0" w:after="283"/>
              <w:jc w:val="lef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left"/>
              <w:rPr/>
            </w:pPr>
            <w:hyperlink r:id="rId38">
              <w:r>
                <w:rPr>
                  <w:rStyle w:val="InternetLink"/>
                </w:rPr>
                <w:t>Third Amended and Restated Bylaws of iPower Inc.</w:t>
              </w:r>
            </w:hyperlink>
            <w:r>
              <w:rPr/>
              <w:t> (incorporated by reference to Exhibit 3.1 to the Current Report on Form 8-K filed on June 11, 2025).</w:t>
            </w:r>
          </w:p>
        </w:tc>
      </w:tr>
      <w:tr>
        <w:trPr/>
        <w:tc>
          <w:tcPr>
            <w:tcW w:w="789" w:type="dxa"/>
            <w:tcBorders/>
            <w:shd w:fill="FFFFFF" w:val="clear"/>
            <w:tcMar>
              <w:bottom w:w="0" w:type="dxa"/>
            </w:tcMar>
            <w:vAlign w:val="center"/>
          </w:tcPr>
          <w:p>
            <w:pPr>
              <w:pStyle w:val="TableContents"/>
              <w:bidi w:val="0"/>
              <w:spacing w:before="0" w:after="283"/>
              <w:jc w:val="lef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39">
              <w:r>
                <w:rPr>
                  <w:rStyle w:val="InternetLink"/>
                </w:rPr>
                <w:t>Certificate of Amendment to the Sixth Amended and Restated Articles of Incorporation</w:t>
              </w:r>
            </w:hyperlink>
            <w:r>
              <w:rPr/>
              <w:t xml:space="preserve"> (incorporated by reference to Exhibit 3.1 to the Current Report on Form 8-K filed on May 22, 2026).</w:t>
            </w:r>
          </w:p>
        </w:tc>
      </w:tr>
      <w:tr>
        <w:trPr/>
        <w:tc>
          <w:tcPr>
            <w:tcW w:w="789" w:type="dxa"/>
            <w:tcBorders/>
            <w:shd w:fill="FFFFFF" w:val="clear"/>
            <w:tcMar>
              <w:bottom w:w="0" w:type="dxa"/>
            </w:tcMar>
            <w:vAlign w:val="center"/>
          </w:tcPr>
          <w:p>
            <w:pPr>
              <w:pStyle w:val="TableContents"/>
              <w:bidi w:val="0"/>
              <w:spacing w:before="0" w:after="283"/>
              <w:jc w:val="left"/>
              <w:rPr/>
            </w:pPr>
            <w:r>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0">
              <w:r>
                <w:rPr>
                  <w:rStyle w:val="InternetLink"/>
                </w:rPr>
                <w:t>Certificate of Amendment to the Sixth Amended and Restated Articles of Incorporation</w:t>
              </w:r>
            </w:hyperlink>
            <w:r>
              <w:rPr/>
              <w:t xml:space="preserve"> (incorporated by reference to Exhibit 3.1 to the Current Report on Form 8-K filed on August 5, 2026).</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sz w:val="20"/>
                </w:rPr>
                <w:t>Certificate of Designation of Series A Convertible Preferred Stock</w:t>
              </w:r>
            </w:hyperlink>
            <w:r>
              <w:rPr/>
              <w:t> </w:t>
            </w:r>
            <w:r>
              <w:rPr>
                <w:rFonts w:ascii="Times New Roman;Times;Serif" w:hAnsi="Times New Roman;Times;Serif"/>
                <w:sz w:val="20"/>
              </w:rPr>
              <w:t>(incorporated by reference to Exhibit 4.1 to the Registration Statement on Form S-1 filed February 2, 2021).</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sz w:val="20"/>
                </w:rPr>
                <w:t>Form of Warrant</w:t>
              </w:r>
            </w:hyperlink>
            <w:r>
              <w:rPr/>
              <w:t xml:space="preserve"> </w:t>
            </w:r>
            <w:r>
              <w:rPr>
                <w:rFonts w:ascii="Times New Roman;Times;Serif" w:hAnsi="Times New Roman;Times;Serif"/>
                <w:sz w:val="20"/>
              </w:rPr>
              <w:t>(incorporated by reference to Exhibit 4.1 to the Current Report on Form 8-K filed June 18, 2024).</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6" w:type="dxa"/>
            <w:tcBorders/>
            <w:shd w:fill="FFFF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sz w:val="20"/>
                </w:rPr>
                <w:t>Form of Series A Senior Secured Convertible Notes</w:t>
              </w:r>
            </w:hyperlink>
            <w:r>
              <w:rPr>
                <w:rFonts w:ascii="Times New Roman;Times;Serif" w:hAnsi="Times New Roman;Times;Serif"/>
                <w:sz w:val="20"/>
              </w:rPr>
              <w:t xml:space="preserve"> (incorporated by reference to Exhibit 4.1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6" w:type="dxa"/>
            <w:tcBorders/>
            <w:shd w:fill="FFFFFF" w:val="clear"/>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sz w:val="20"/>
                </w:rPr>
                <w:t>Form of Series B Senior Secured Convertible Notes</w:t>
              </w:r>
            </w:hyperlink>
            <w:r>
              <w:rPr>
                <w:rFonts w:ascii="Times New Roman;Times;Serif" w:hAnsi="Times New Roman;Times;Serif"/>
                <w:sz w:val="20"/>
              </w:rPr>
              <w:t xml:space="preserve"> (incorporated by reference to Exhibit 4.2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w:anchor="ipower_ex0501.htm">
              <w:r>
                <w:rPr>
                  <w:rStyle w:val="InternetLink"/>
                  <w:rFonts w:ascii="Times New Roman;Times;Serif" w:hAnsi="Times New Roman;Times;Serif"/>
                  <w:sz w:val="20"/>
                </w:rPr>
                <w:t>Opinion of Dorsey &amp; Whitney LLP</w:t>
              </w:r>
            </w:hyperlink>
            <w:r>
              <w:rPr>
                <w:rFonts w:ascii="Times New Roman;Times;Serif" w:hAnsi="Times New Roman;Times;Serif"/>
                <w:sz w:val="20"/>
              </w:rPr>
              <w:t xml:space="preserve"> </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sz w:val="20"/>
                </w:rPr>
                <w:t>Form of Purchase Agreement, dated December 22, 2025, between iPower Inc. and the Investor</w:t>
              </w:r>
            </w:hyperlink>
            <w:r>
              <w:rPr>
                <w:rFonts w:ascii="Times New Roman;Times;Serif" w:hAnsi="Times New Roman;Times;Serif"/>
                <w:sz w:val="20"/>
              </w:rPr>
              <w:t xml:space="preserve"> (incorporated by reference to Exhibit 10.1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sz w:val="20"/>
                </w:rPr>
                <w:t>Form of Security and Pledge Agreement</w:t>
              </w:r>
            </w:hyperlink>
            <w:r>
              <w:rPr>
                <w:rFonts w:ascii="Times New Roman;Times;Serif" w:hAnsi="Times New Roman;Times;Serif"/>
                <w:sz w:val="20"/>
              </w:rPr>
              <w:t xml:space="preserve"> (incorporated by reference to Exhibit 10.2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sz w:val="20"/>
                </w:rPr>
                <w:t>Form of Guaranty</w:t>
              </w:r>
            </w:hyperlink>
            <w:r>
              <w:rPr>
                <w:rFonts w:ascii="Times New Roman;Times;Serif" w:hAnsi="Times New Roman;Times;Serif"/>
                <w:sz w:val="20"/>
              </w:rPr>
              <w:t xml:space="preserve"> (incorporated by reference to Exhibit 10.3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8">
              <w:r>
                <w:rPr>
                  <w:rStyle w:val="InternetLink"/>
                  <w:rFonts w:ascii="Times New Roman;Times;Serif" w:hAnsi="Times New Roman;Times;Serif"/>
                  <w:sz w:val="20"/>
                </w:rPr>
                <w:t>Form of Registration Rights Agreement</w:t>
              </w:r>
            </w:hyperlink>
            <w:r>
              <w:rPr>
                <w:rFonts w:ascii="Times New Roman;Times;Serif" w:hAnsi="Times New Roman;Times;Serif"/>
                <w:sz w:val="20"/>
              </w:rPr>
              <w:t xml:space="preserve"> (incorporated by reference to Exhibit 10.4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9">
              <w:r>
                <w:rPr>
                  <w:rStyle w:val="InternetLink"/>
                  <w:rFonts w:ascii="Times New Roman;Times;Serif" w:hAnsi="Times New Roman;Times;Serif"/>
                  <w:sz w:val="20"/>
                </w:rPr>
                <w:t>Software Asset Transfer Agreement, dated February 1, 2026, between iPower Inc. and Global Product Marketing, Inc.</w:t>
              </w:r>
            </w:hyperlink>
            <w:r>
              <w:rPr>
                <w:rFonts w:ascii="Times New Roman;Times;Serif" w:hAnsi="Times New Roman;Times;Serif"/>
                <w:sz w:val="20"/>
              </w:rPr>
              <w:t xml:space="preserve"> (incorporated by reference to Exhibit 10.1 to the Current Report on Form 8-K filed February 2, 2026).</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50">
              <w:r>
                <w:rPr>
                  <w:rStyle w:val="InternetLink"/>
                  <w:rFonts w:ascii="Times New Roman;Times;Serif" w:hAnsi="Times New Roman;Times;Serif"/>
                  <w:sz w:val="20"/>
                </w:rPr>
                <w:t>Stock Purchase Agreement, dated February 1, 2026, between iPower Inc. and ETTS AI Investment, LLC</w:t>
              </w:r>
            </w:hyperlink>
            <w:r>
              <w:rPr>
                <w:rFonts w:ascii="Times New Roman;Times;Serif" w:hAnsi="Times New Roman;Times;Serif"/>
                <w:sz w:val="20"/>
              </w:rPr>
              <w:t xml:space="preserve"> (incorporated by reference to Exhibit 10.2 to the Current Report on Form 8-K filed February 2, 2026).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664"/>
        <w:gridCol w:w="60"/>
        <w:gridCol w:w="9481"/>
      </w:tblGrid>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1">
              <w:r>
                <w:rPr>
                  <w:rStyle w:val="InternetLink"/>
                  <w:rFonts w:ascii="Times New Roman;Times;Serif" w:hAnsi="Times New Roman;Times;Serif"/>
                  <w:sz w:val="20"/>
                </w:rPr>
                <w:t>Promissory Note, dated February 1, 2026, between iPower Inc. and ETTS AI Investment LLC</w:t>
              </w:r>
            </w:hyperlink>
            <w:r>
              <w:rPr>
                <w:rFonts w:ascii="Times New Roman;Times;Serif" w:hAnsi="Times New Roman;Times;Serif"/>
                <w:sz w:val="20"/>
              </w:rPr>
              <w:t xml:space="preserve"> (incorporated by reference to Exhibit 10.3 to the Current Report on Form 8-K filed February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2">
              <w:r>
                <w:rPr>
                  <w:rStyle w:val="InternetLink"/>
                  <w:rFonts w:ascii="Times New Roman;Times;Serif" w:hAnsi="Times New Roman;Times;Serif"/>
                  <w:sz w:val="20"/>
                </w:rPr>
                <w:t>Supply and Distribution Agreement, dated February 1, 2026, between iPower Inc., Global Product Marketing, Inc. and ETTS AI Investment LLC</w:t>
              </w:r>
            </w:hyperlink>
            <w:r>
              <w:rPr>
                <w:rFonts w:ascii="Times New Roman;Times;Serif" w:hAnsi="Times New Roman;Times;Serif"/>
                <w:sz w:val="20"/>
              </w:rPr>
              <w:t xml:space="preserve"> (incorporated by reference to Exhibit 10.4 to the Current Report on Form 8-K filed February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3">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February 10,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4">
              <w:r>
                <w:rPr>
                  <w:rStyle w:val="InternetLink"/>
                  <w:rFonts w:ascii="Times New Roman;Times;Serif" w:hAnsi="Times New Roman;Times;Serif"/>
                  <w:sz w:val="20"/>
                </w:rPr>
                <w:t>Addendum to Promissory Note, by and between iPower Inc. and ETTS AI Investment LLC, dated March 26, 2026</w:t>
              </w:r>
            </w:hyperlink>
            <w:r>
              <w:rPr>
                <w:rFonts w:ascii="Times New Roman;Times;Serif" w:hAnsi="Times New Roman;Times;Serif"/>
                <w:sz w:val="20"/>
              </w:rPr>
              <w:t xml:space="preserve"> (incorporated by reference to Exhibit 10.1 to the Current Report on Form 8-K filed March 31,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5">
              <w:r>
                <w:rPr>
                  <w:rStyle w:val="InternetLink"/>
                  <w:rFonts w:ascii="Times New Roman;Times;Serif" w:hAnsi="Times New Roman;Times;Serif"/>
                  <w:sz w:val="20"/>
                </w:rPr>
                <w:t>Sublease Agreement, dated April 2, 2026, between iPower Inc. and Dezheng Logistics Inc.</w:t>
              </w:r>
            </w:hyperlink>
            <w:r>
              <w:rPr>
                <w:rFonts w:ascii="Times New Roman;Times;Serif" w:hAnsi="Times New Roman;Times;Serif"/>
                <w:sz w:val="20"/>
              </w:rPr>
              <w:t xml:space="preserve"> (incorporated by reference to Exhibit 10.1 to the Current Report on Form 8-K filed April 17,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6">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May 19,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7">
              <w:r>
                <w:rPr>
                  <w:rStyle w:val="InternetLink"/>
                  <w:rFonts w:ascii="Times New Roman;Times;Serif" w:hAnsi="Times New Roman;Times;Serif"/>
                  <w:sz w:val="20"/>
                </w:rPr>
                <w:t>Supplement to Supply and Distribution Agreement, dated June 30, 2026, between iPower Inc., Global Product Marketing, Inc. and ETTS AI Investment LLC</w:t>
              </w:r>
            </w:hyperlink>
            <w:r>
              <w:rPr>
                <w:rFonts w:ascii="Times New Roman;Times;Serif" w:hAnsi="Times New Roman;Times;Serif"/>
                <w:sz w:val="20"/>
              </w:rPr>
              <w:t xml:space="preserve"> (incorporated by reference to Exhibit 10.1 to the Current Report on Form 8-K filed July 2,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8">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July 6,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59">
              <w:r>
                <w:rPr>
                  <w:rStyle w:val="InternetLink"/>
                  <w:rFonts w:ascii="Times New Roman;Times;Serif" w:hAnsi="Times New Roman;Times;Serif"/>
                  <w:sz w:val="20"/>
                </w:rPr>
                <w:t>Form of Amendment to Securities Purchase Agreement, dated July 6, 2026, between iPower Inc. and the investors named therein</w:t>
              </w:r>
            </w:hyperlink>
            <w:r>
              <w:rPr>
                <w:rFonts w:ascii="Times New Roman;Times;Serif" w:hAnsi="Times New Roman;Times;Serif"/>
                <w:sz w:val="20"/>
              </w:rPr>
              <w:t xml:space="preserve"> (incorporated by reference to Exhibit 10.2 to the Current Report on Form 8-K filed July 6, 2026).</w:t>
            </w:r>
          </w:p>
        </w:tc>
      </w:tr>
      <w:tr>
        <w:trPr/>
        <w:tc>
          <w:tcPr>
            <w:tcW w:w="664" w:type="dxa"/>
            <w:tcBorders/>
            <w:shd w:fill="FFFFFF" w:val="clear"/>
            <w:vAlign w:val="center"/>
          </w:tcPr>
          <w:p>
            <w:pPr>
              <w:pStyle w:val="TableContents"/>
              <w:bidi w:val="0"/>
              <w:spacing w:before="0" w:after="283"/>
              <w:jc w:val="left"/>
              <w:rPr/>
            </w:pPr>
            <w:r>
              <w:rPr/>
              <w:t>10.16</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0">
              <w:r>
                <w:rPr>
                  <w:rStyle w:val="InternetLink"/>
                </w:rPr>
                <w:t>Form of Joinder to Guaranty, dated July 21, 2026, executed by iPower AI LLC in favor of the Collateral Agent</w:t>
              </w:r>
            </w:hyperlink>
            <w:r>
              <w:rPr/>
              <w:t xml:space="preserve"> (incorporated by reference to Exhibit 10.1 to the Current Report on Form 8-K filed July 21, 2026).</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1">
              <w:r>
                <w:rPr>
                  <w:rStyle w:val="InternetLink"/>
                  <w:rFonts w:ascii="Times New Roman;Times;Serif" w:hAnsi="Times New Roman;Times;Serif"/>
                  <w:sz w:val="20"/>
                </w:rPr>
                <w:t>Subsidiaries</w:t>
              </w:r>
            </w:hyperlink>
            <w:r>
              <w:rPr>
                <w:rFonts w:ascii="Times New Roman;Times;Serif" w:hAnsi="Times New Roman;Times;Serif"/>
                <w:sz w:val="20"/>
              </w:rPr>
              <w:t xml:space="preserve"> (incorporated by reference to Exhibit 21.1 to the Registration Statement on Form S-1 filed on January 16, 2026)</w:t>
            </w:r>
            <w:r>
              <w:rPr/>
              <w:t xml:space="preserve"> </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Consent of UHY, LLP, independent registered public accounting firm</w:t>
            </w:r>
          </w:p>
        </w:tc>
      </w:tr>
      <w:tr>
        <w:trPr/>
        <w:tc>
          <w:tcPr>
            <w:tcW w:w="664" w:type="dxa"/>
            <w:tcBorders/>
            <w:shd w:fill="FFFFFF" w:val="clear"/>
            <w:vAlign w:val="center"/>
          </w:tcPr>
          <w:p>
            <w:pPr>
              <w:pStyle w:val="TableContents"/>
              <w:bidi w:val="0"/>
              <w:spacing w:before="0" w:after="283"/>
              <w:jc w:val="left"/>
              <w:rPr/>
            </w:pPr>
            <w:r>
              <w:rPr/>
              <w:t>23.2**</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r>
              <w:rPr/>
              <w:t>Consent of HTL International, LLC, independent registered public accounting firm</w:t>
            </w:r>
          </w:p>
        </w:tc>
      </w:tr>
      <w:tr>
        <w:trPr/>
        <w:tc>
          <w:tcPr>
            <w:tcW w:w="664" w:type="dxa"/>
            <w:tcBorders/>
            <w:shd w:fill="FFFFFF" w:val="clear"/>
            <w:vAlign w:val="center"/>
          </w:tcPr>
          <w:p>
            <w:pPr>
              <w:pStyle w:val="TableContents"/>
              <w:bidi w:val="0"/>
              <w:spacing w:before="0" w:after="283"/>
              <w:jc w:val="left"/>
              <w:rPr/>
            </w:pPr>
            <w:r>
              <w:rPr>
                <w:rFonts w:ascii="Times New Roman;Times;Serif" w:hAnsi="Times New Roman;Times;Serif"/>
                <w:sz w:val="20"/>
              </w:rPr>
              <w:t>23.3</w:t>
            </w:r>
            <w:r>
              <w:rPr/>
              <w:t>*</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r>
              <w:rPr>
                <w:rFonts w:ascii="Times New Roman;Times;Serif" w:hAnsi="Times New Roman;Times;Serif"/>
                <w:sz w:val="20"/>
              </w:rPr>
              <w:t xml:space="preserve">Consent of Dorsey &amp; Whitney LLP (included in </w:t>
            </w:r>
            <w:hyperlink w:anchor="ipower_ex0501.htm">
              <w:r>
                <w:rPr>
                  <w:rStyle w:val="InternetLink"/>
                  <w:rFonts w:ascii="Times New Roman;Times;Serif" w:hAnsi="Times New Roman;Times;Serif"/>
                  <w:sz w:val="20"/>
                </w:rPr>
                <w:t>Exhibit 5.1</w:t>
              </w:r>
            </w:hyperlink>
            <w:r>
              <w:rPr>
                <w:rFonts w:ascii="Times New Roman;Times;Serif" w:hAnsi="Times New Roman;Times;Serif"/>
                <w:sz w:val="20"/>
              </w:rPr>
              <w:t xml:space="preserve">) </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pPr>
            <w:hyperlink r:id="rId62">
              <w:r>
                <w:rPr>
                  <w:rStyle w:val="InternetLink"/>
                  <w:rFonts w:ascii="Times New Roman;Times;Serif" w:hAnsi="Times New Roman;Times;Serif"/>
                  <w:sz w:val="20"/>
                </w:rPr>
                <w:t>Filing Fee Table</w:t>
              </w:r>
            </w:hyperlink>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XBRL tags are embedded within the Inline XBRL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Schema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66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vAlign w:val="center"/>
          </w:tcPr>
          <w:p>
            <w:pPr>
              <w:pStyle w:val="TableContents"/>
              <w:bidi w:val="0"/>
              <w:spacing w:before="0" w:after="283"/>
              <w:jc w:val="left"/>
              <w:rPr/>
            </w:pPr>
            <w:r>
              <w:rPr/>
              <w:t> </w:t>
            </w:r>
          </w:p>
        </w:tc>
        <w:tc>
          <w:tcPr>
            <w:tcW w:w="9481"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Presentation Linkbase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1"/>
        <w:gridCol w:w="9844"/>
      </w:tblGrid>
      <w:tr>
        <w:trPr/>
        <w:tc>
          <w:tcPr>
            <w:tcW w:w="361"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pPr>
            <w:r>
              <w:rPr/>
              <w:t>Filed herewith.</w:t>
            </w:r>
          </w:p>
        </w:tc>
      </w:tr>
      <w:tr>
        <w:trPr/>
        <w:tc>
          <w:tcPr>
            <w:tcW w:w="361"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pPr>
            <w:r>
              <w:rPr/>
              <w:t>To be filed by amendment.</w:t>
            </w:r>
          </w:p>
        </w:tc>
      </w:tr>
      <w:tr>
        <w:trPr/>
        <w:tc>
          <w:tcPr>
            <w:tcW w:w="361" w:type="dxa"/>
            <w:tcBorders/>
            <w:vAlign w:val="center"/>
          </w:tcPr>
          <w:p>
            <w:pPr>
              <w:pStyle w:val="TableContents"/>
              <w:bidi w:val="0"/>
              <w:spacing w:before="0" w:after="283"/>
              <w:jc w:val="left"/>
              <w:rPr/>
            </w:pPr>
            <w:r>
              <w:rPr/>
              <w:t>***</w:t>
            </w:r>
          </w:p>
        </w:tc>
        <w:tc>
          <w:tcPr>
            <w:tcW w:w="9844" w:type="dxa"/>
            <w:tcBorders/>
            <w:vAlign w:val="center"/>
          </w:tcPr>
          <w:p>
            <w:pPr>
              <w:pStyle w:val="TableContents"/>
              <w:bidi w:val="0"/>
              <w:spacing w:before="0" w:after="283"/>
              <w:jc w:val="both"/>
              <w:rPr/>
            </w:pPr>
            <w:r>
              <w:rPr/>
              <w:t>Incorporated by reference to the Company’s Registration Statement on Form S-1, filed with the SEC on July 10,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s3_001"/>
      <w:bookmarkEnd w:id="30"/>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200"/>
        <w:gridCol w:w="62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above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245"/>
        <w:gridCol w:w="70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 230.424(b)(3) of this chapter)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305"/>
        <w:gridCol w:w="891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on Form S-1 to be signed on its behalf by the undersigned, thereunto duly authorized, in the City of Rancho Cucamonga of the State of California, on August 18, 2026.</w:t>
      </w:r>
    </w:p>
    <w:p>
      <w:pPr>
        <w:pStyle w:val="TextBody"/>
        <w:bidi w:val="0"/>
        <w:spacing w:before="0" w:after="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320"/>
        <w:gridCol w:w="4175"/>
      </w:tblGrid>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iPOWER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 Chenlong Tan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Chenlong Tan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Chairman, 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amendment no. 1 to the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1651"/>
        <w:gridCol w:w="60"/>
        <w:gridCol w:w="6921"/>
        <w:gridCol w:w="60"/>
        <w:gridCol w:w="1513"/>
      </w:tblGrid>
      <w:tr>
        <w:trPr/>
        <w:tc>
          <w:tcPr>
            <w:tcW w:w="1651" w:type="dxa"/>
            <w:tcBorders>
              <w:bottom w:val="single" w:sz="8" w:space="0" w:color="000000"/>
            </w:tcBorders>
            <w:shd w:fill="FFFFFF" w:val="clear"/>
            <w:vAlign w:val="center"/>
          </w:tcPr>
          <w:p>
            <w:pPr>
              <w:pStyle w:val="TableContents"/>
              <w:bidi w:val="0"/>
              <w:spacing w:before="0" w:after="283"/>
              <w:jc w:val="center"/>
              <w:rPr>
                <w:b/>
                <w:sz w:val="20"/>
              </w:rPr>
            </w:pPr>
            <w:r>
              <w:rPr>
                <w:b/>
                <w:sz w:val="20"/>
              </w:rPr>
              <w:t>Signature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bottom w:val="single" w:sz="8" w:space="0" w:color="000000"/>
            </w:tcBorders>
            <w:shd w:fill="FFFFFF" w:val="clear"/>
            <w:vAlign w:val="center"/>
          </w:tcPr>
          <w:p>
            <w:pPr>
              <w:pStyle w:val="TableContents"/>
              <w:bidi w:val="0"/>
              <w:spacing w:before="0" w:after="283"/>
              <w:jc w:val="center"/>
              <w:rPr>
                <w:b/>
                <w:sz w:val="20"/>
              </w:rPr>
            </w:pPr>
            <w:r>
              <w:rPr>
                <w:b/>
                <w:sz w:val="20"/>
              </w:rPr>
              <w:t>Date</w:t>
            </w:r>
          </w:p>
        </w:tc>
      </w:tr>
      <w:tr>
        <w:trPr/>
        <w:tc>
          <w:tcPr>
            <w:tcW w:w="165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bottom w:val="single" w:sz="8" w:space="0" w:color="000000"/>
            </w:tcBorders>
            <w:shd w:fill="FFFFFF" w:val="clear"/>
            <w:vAlign w:val="center"/>
          </w:tcPr>
          <w:p>
            <w:pPr>
              <w:pStyle w:val="TableContents"/>
              <w:bidi w:val="0"/>
              <w:spacing w:before="0" w:after="283"/>
              <w:jc w:val="left"/>
              <w:rPr>
                <w:i/>
                <w:sz w:val="20"/>
              </w:rPr>
            </w:pPr>
            <w:r>
              <w:rPr>
                <w:i/>
                <w:sz w:val="20"/>
              </w:rPr>
              <w:t>/s/ Chenlong Tan</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921" w:type="dxa"/>
            <w:tcBorders/>
            <w:shd w:fill="FFFFFF" w:val="clear"/>
            <w:tcMar>
              <w:bottom w:w="0" w:type="dxa"/>
            </w:tcMar>
            <w:vAlign w:val="center"/>
          </w:tcPr>
          <w:p>
            <w:pPr>
              <w:pStyle w:val="TableContents"/>
              <w:bidi w:val="0"/>
              <w:spacing w:before="0" w:after="283"/>
              <w:jc w:val="left"/>
              <w:rPr>
                <w:sz w:val="20"/>
              </w:rPr>
            </w:pPr>
            <w:r>
              <w:rPr>
                <w:sz w:val="20"/>
              </w:rPr>
              <w:t>Chief Executive Officer, Interim Chief Financial Officer, and Chairman of the Board of Directors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513" w:type="dxa"/>
            <w:tcBorders/>
            <w:shd w:fill="FFFFFF" w:val="clear"/>
            <w:tcMar>
              <w:bottom w:w="0" w:type="dxa"/>
            </w:tcMar>
            <w:vAlign w:val="center"/>
          </w:tcPr>
          <w:p>
            <w:pPr>
              <w:pStyle w:val="TableContents"/>
              <w:bidi w:val="0"/>
              <w:spacing w:before="0" w:after="283"/>
              <w:jc w:val="center"/>
              <w:rPr/>
            </w:pPr>
            <w:r>
              <w:rPr/>
              <w:t>August 18, 2026</w:t>
            </w:r>
          </w:p>
        </w:tc>
      </w:tr>
      <w:tr>
        <w:trPr/>
        <w:tc>
          <w:tcPr>
            <w:tcW w:w="1651" w:type="dxa"/>
            <w:tcBorders/>
            <w:shd w:fill="FFFFFF" w:val="clear"/>
            <w:tcMar>
              <w:bottom w:w="0" w:type="dxa"/>
            </w:tcMar>
            <w:vAlign w:val="center"/>
          </w:tcPr>
          <w:p>
            <w:pPr>
              <w:pStyle w:val="TableContents"/>
              <w:bidi w:val="0"/>
              <w:spacing w:before="0" w:after="283"/>
              <w:jc w:val="both"/>
              <w:rPr>
                <w:sz w:val="20"/>
              </w:rPr>
            </w:pPr>
            <w:r>
              <w:rPr>
                <w:sz w:val="20"/>
              </w:rPr>
              <w:t>Chenlong 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both"/>
              <w:rPr>
                <w:sz w:val="20"/>
              </w:rPr>
            </w:pPr>
            <w:r>
              <w:rPr>
                <w:sz w:val="20"/>
              </w:rPr>
              <w:t>(Principal Executive Officer and Principal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bottom w:val="single" w:sz="8" w:space="0" w:color="000000"/>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August 18, 2026</w:t>
            </w:r>
          </w:p>
        </w:tc>
      </w:tr>
      <w:tr>
        <w:trPr/>
        <w:tc>
          <w:tcPr>
            <w:tcW w:w="1651" w:type="dxa"/>
            <w:tcBorders/>
            <w:shd w:fill="FFFFFF" w:val="clear"/>
            <w:tcMar>
              <w:bottom w:w="0" w:type="dxa"/>
            </w:tcMar>
            <w:vAlign w:val="center"/>
          </w:tcPr>
          <w:p>
            <w:pPr>
              <w:pStyle w:val="TableContents"/>
              <w:bidi w:val="0"/>
              <w:spacing w:before="0" w:after="283"/>
              <w:jc w:val="both"/>
              <w:rPr>
                <w:sz w:val="20"/>
              </w:rPr>
            </w:pPr>
            <w:r>
              <w:rPr>
                <w:sz w:val="20"/>
              </w:rPr>
              <w:t>Yi Yang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bottom w:val="single" w:sz="8" w:space="0" w:color="000000"/>
            </w:tcBorders>
            <w:shd w:fill="FFFFFF" w:val="clear"/>
            <w:vAlign w:val="center"/>
          </w:tcPr>
          <w:p>
            <w:pPr>
              <w:pStyle w:val="TableContents"/>
              <w:bidi w:val="0"/>
              <w:spacing w:before="0" w:after="283"/>
              <w:jc w:val="left"/>
              <w:rPr>
                <w:i/>
                <w:sz w:val="20"/>
              </w:rPr>
            </w:pPr>
            <w:r>
              <w:rPr>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August 18, 2026</w:t>
            </w:r>
          </w:p>
        </w:tc>
      </w:tr>
      <w:tr>
        <w:trPr/>
        <w:tc>
          <w:tcPr>
            <w:tcW w:w="1651" w:type="dxa"/>
            <w:tcBorders/>
            <w:shd w:fill="FFFFFF" w:val="clear"/>
            <w:tcMar>
              <w:bottom w:w="0" w:type="dxa"/>
            </w:tcMar>
            <w:vAlign w:val="center"/>
          </w:tcPr>
          <w:p>
            <w:pPr>
              <w:pStyle w:val="TableContents"/>
              <w:bidi w:val="0"/>
              <w:spacing w:before="0" w:after="283"/>
              <w:jc w:val="both"/>
              <w:rPr>
                <w:sz w:val="20"/>
              </w:rPr>
            </w:pPr>
            <w:r>
              <w:rPr>
                <w:sz w:val="20"/>
              </w:rPr>
              <w:t>Bennet Tchaikovsky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left"/>
              <w:rPr/>
            </w:pPr>
            <w:r>
              <w:rPr/>
              <w:t> </w:t>
            </w:r>
          </w:p>
        </w:tc>
      </w:tr>
      <w:tr>
        <w:trPr/>
        <w:tc>
          <w:tcPr>
            <w:tcW w:w="1651" w:type="dxa"/>
            <w:tcBorders>
              <w:bottom w:val="single" w:sz="8" w:space="0" w:color="000000"/>
            </w:tcBorders>
            <w:shd w:fill="FFFFFF" w:val="clear"/>
            <w:vAlign w:val="center"/>
          </w:tcPr>
          <w:p>
            <w:pPr>
              <w:pStyle w:val="TableContents"/>
              <w:bidi w:val="0"/>
              <w:spacing w:before="0" w:after="283"/>
              <w:jc w:val="left"/>
              <w:rPr>
                <w:i/>
                <w:sz w:val="20"/>
              </w:rPr>
            </w:pPr>
            <w:r>
              <w:rPr>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August 18, 2026</w:t>
            </w:r>
          </w:p>
        </w:tc>
      </w:tr>
      <w:tr>
        <w:trPr/>
        <w:tc>
          <w:tcPr>
            <w:tcW w:w="1651" w:type="dxa"/>
            <w:tcBorders/>
            <w:shd w:fill="FFFFFF" w:val="clear"/>
            <w:tcMar>
              <w:bottom w:w="0" w:type="dxa"/>
            </w:tcMar>
            <w:vAlign w:val="center"/>
          </w:tcPr>
          <w:p>
            <w:pPr>
              <w:pStyle w:val="TableContents"/>
              <w:bidi w:val="0"/>
              <w:spacing w:before="0" w:after="283"/>
              <w:jc w:val="both"/>
              <w:rPr>
                <w:sz w:val="20"/>
              </w:rPr>
            </w:pPr>
            <w:r>
              <w:rPr>
                <w:sz w:val="20"/>
              </w:rPr>
              <w:t xml:space="preserve">Hanxi Li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bottom w:val="single" w:sz="8" w:space="0" w:color="000000"/>
            </w:tcBorders>
            <w:shd w:fill="FFFFFF" w:val="clear"/>
            <w:vAlign w:val="center"/>
          </w:tcPr>
          <w:p>
            <w:pPr>
              <w:pStyle w:val="TableContents"/>
              <w:bidi w:val="0"/>
              <w:spacing w:before="0" w:after="283"/>
              <w:jc w:val="left"/>
              <w:rPr>
                <w:i/>
                <w:sz w:val="20"/>
              </w:rPr>
            </w:pPr>
            <w:r>
              <w:rPr>
                <w:i/>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August 18, 2026</w:t>
            </w:r>
          </w:p>
        </w:tc>
      </w:tr>
      <w:tr>
        <w:trPr/>
        <w:tc>
          <w:tcPr>
            <w:tcW w:w="1651" w:type="dxa"/>
            <w:tcBorders/>
            <w:shd w:fill="FFFFFF" w:val="clear"/>
            <w:tcMar>
              <w:bottom w:w="0" w:type="dxa"/>
            </w:tcMar>
            <w:vAlign w:val="center"/>
          </w:tcPr>
          <w:p>
            <w:pPr>
              <w:pStyle w:val="TableContents"/>
              <w:bidi w:val="0"/>
              <w:spacing w:before="0" w:after="283"/>
              <w:jc w:val="both"/>
              <w:rPr>
                <w:sz w:val="20"/>
              </w:rPr>
            </w:pPr>
            <w:r>
              <w:rPr>
                <w:sz w:val="20"/>
              </w:rPr>
              <w:t>Yue Guo</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r>
        <w:trPr/>
        <w:tc>
          <w:tcPr>
            <w:tcW w:w="1651"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21"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3"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560"/>
        <w:gridCol w:w="1655"/>
        <w:gridCol w:w="75"/>
      </w:tblGrid>
      <w:tr>
        <w:trPr/>
        <w:tc>
          <w:tcPr>
            <w:tcW w:w="560" w:type="dxa"/>
            <w:tcBorders/>
            <w:vAlign w:val="center"/>
          </w:tcPr>
          <w:p>
            <w:pPr>
              <w:pStyle w:val="TableContents"/>
              <w:bidi w:val="0"/>
              <w:spacing w:before="0" w:after="283"/>
              <w:jc w:val="left"/>
              <w:rPr/>
            </w:pPr>
            <w:r>
              <w:rPr/>
              <w:t>* By:</w:t>
            </w:r>
          </w:p>
        </w:tc>
        <w:tc>
          <w:tcPr>
            <w:tcW w:w="1655" w:type="dxa"/>
            <w:tcBorders>
              <w:bottom w:val="single" w:sz="8" w:space="0" w:color="000000"/>
            </w:tcBorders>
            <w:tcMar>
              <w:bottom w:w="28" w:type="dxa"/>
            </w:tcMar>
            <w:vAlign w:val="center"/>
          </w:tcPr>
          <w:p>
            <w:pPr>
              <w:pStyle w:val="TableContents"/>
              <w:bidi w:val="0"/>
              <w:spacing w:before="0" w:after="283"/>
              <w:jc w:val="left"/>
              <w:rPr>
                <w:i/>
              </w:rPr>
            </w:pPr>
            <w:r>
              <w:rPr>
                <w:i/>
              </w:rPr>
              <w:t>/s/ Chenlong Tan</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Chenlong Tan</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Attorney-in-fact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1" w:name="ipower_ex0501.htm"/>
      <w:bookmarkStart w:id="32" w:name="ksipower_ex0501"/>
      <w:bookmarkEnd w:id="31"/>
      <w:bookmarkEnd w:id="32"/>
      <w:r>
        <w:rPr>
          <w:b/>
        </w:rPr>
        <w:t>Exhibit 5.1</w:t>
      </w:r>
      <w:r>
        <w:br w:type="page"/>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180975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3"/>
                    <a:stretch>
                      <a:fillRect/>
                    </a:stretch>
                  </pic:blipFill>
                  <pic:spPr bwMode="auto">
                    <a:xfrm>
                      <a:off x="0" y="0"/>
                      <a:ext cx="1809750" cy="3810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iPower Inc., a Nevada corporation (the “Company”), in connection with a Registration Statement on Form S-1, (the “Registration Statement”), filed by the Company with the Securities and Exchange Commission (the “Commission”) on the date hereof under the Securities Act of 1933, as amended (the “Securities Act”), relating to the offer and sale by the selling stockholder named in the Registration Statement (the “Selling Stockholder”) of up to 5,873,610 shares of common stock of the Company, par value $0.001 per share (the “Shares”), issuable to such Selling Stockholder upon conversion of $3,149,444 aggregate principal of Series A senior secured convertible notes of the Company (the “Senior Secured Convertible Notes”), which Senior Secured Convertible Notes were issued pursuant to the terms of a Securities Purchase Agreement dated December 22, 2025, as amended on July 7, 2026. The Senior Secured Convertible Notes were sold to the Selling Stockholder in a private placement pursuant to an exemption from registration pursuant to Section 4(a)(2) of the Securities Act and Rule 506(b) of Regulation D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Senior Secured Convertible Notes and the Sixth Amended and Restated Articles of Incorporation, as amended, of the Company. We have examined such additional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qualifications and assumptions set forth herein, we are of the opinion that the Shares, when issued by the Company upon conversion or otherwise pursuant to the terms and conditions of the Senior Secured Convertible Notes, will be validly issued, fully paid and non-assessable.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Chapter 78 of the Nevada Revised Statutes as concerns laws governing corporations and the federal laws of the United States of America. We express no opinion with respect to the laws of any other jurisdiction. The opinions herein are limited to the laws, rules and regulations as in effect on the date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/s/ Dorsey &amp; Whitney LLP</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MJP/ JBE</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30072/000168316825007480/ipower_i10k-063025.htm" TargetMode="External"/><Relationship Id="rId4" Type="http://schemas.openxmlformats.org/officeDocument/2006/relationships/hyperlink" Target="http://www.sec.gov/Archives/edgar/data/1830072/000168316825008394/ipower_i10q-093025.htm" TargetMode="External"/><Relationship Id="rId5" Type="http://schemas.openxmlformats.org/officeDocument/2006/relationships/hyperlink" Target="http://www.sec.gov/Archives/edgar/data/1830072/000168316826001222/ipower_i10q-123125.htm" TargetMode="External"/><Relationship Id="rId6" Type="http://schemas.openxmlformats.org/officeDocument/2006/relationships/hyperlink" Target="http://www.sec.gov/Archives/edgar/data/1830072/000168316826004180/ipower_i10q-033126.htm" TargetMode="External"/><Relationship Id="rId7" Type="http://schemas.openxmlformats.org/officeDocument/2006/relationships/hyperlink" Target="http://www.sec.gov/Archives/edgar/data/1830072/000168316825004913/ipower_8k.htm" TargetMode="External"/><Relationship Id="rId8" Type="http://schemas.openxmlformats.org/officeDocument/2006/relationships/hyperlink" Target="http://www.sec.gov/Archives/edgar/data/1830072/000168316825005474/ipower_8k.htm" TargetMode="External"/><Relationship Id="rId9" Type="http://schemas.openxmlformats.org/officeDocument/2006/relationships/hyperlink" Target="http://www.sec.gov/Archives/edgar/data/1830072/000168316825005914/ipower_8k.htm" TargetMode="External"/><Relationship Id="rId10" Type="http://schemas.openxmlformats.org/officeDocument/2006/relationships/hyperlink" Target="http://www.sec.gov/Archives/edgar/data/1830072/000168316825006295/ipower_8k.htm" TargetMode="External"/><Relationship Id="rId11" Type="http://schemas.openxmlformats.org/officeDocument/2006/relationships/hyperlink" Target="http://www.sec.gov/Archives/edgar/data/1830072/000168316825006762/ipower_8k.htm" TargetMode="External"/><Relationship Id="rId12" Type="http://schemas.openxmlformats.org/officeDocument/2006/relationships/hyperlink" Target="http://www.sec.gov/Archives/edgar/data/1830072/000168316825007187/ipower_8k.htm" TargetMode="External"/><Relationship Id="rId13" Type="http://schemas.openxmlformats.org/officeDocument/2006/relationships/hyperlink" Target="http://www.sec.gov/Archives/edgar/data/1830072/000168316825007681/ipower_8k.htm" TargetMode="External"/><Relationship Id="rId14" Type="http://schemas.openxmlformats.org/officeDocument/2006/relationships/hyperlink" Target="http://www.sec.gov/Archives/edgar/data/1830072/000168316825007707/ipower_8k.htm" TargetMode="External"/><Relationship Id="rId15" Type="http://schemas.openxmlformats.org/officeDocument/2006/relationships/hyperlink" Target="http://www.sec.gov/Archives/edgar/data/1830072/000168316825008216/ipower_8k.htm" TargetMode="External"/><Relationship Id="rId16" Type="http://schemas.openxmlformats.org/officeDocument/2006/relationships/hyperlink" Target="http://www.sec.gov/Archives/edgar/data/1830072/000168316825008743/ipower_8k.htm" TargetMode="External"/><Relationship Id="rId17" Type="http://schemas.openxmlformats.org/officeDocument/2006/relationships/hyperlink" Target="http://www.sec.gov/Archives/edgar/data/1830072/000168316825008998/ipower_8k.htm" TargetMode="External"/><Relationship Id="rId18" Type="http://schemas.openxmlformats.org/officeDocument/2006/relationships/hyperlink" Target="http://www.sec.gov/Archives/edgar/data/1830072/000168316825009319/ipower_8k.htm" TargetMode="External"/><Relationship Id="rId19" Type="http://schemas.openxmlformats.org/officeDocument/2006/relationships/hyperlink" Target="http://www.sec.gov/Archives/edgar/data/1830072/000168316825009331/ipower_8ka.htm" TargetMode="External"/><Relationship Id="rId20" Type="http://schemas.openxmlformats.org/officeDocument/2006/relationships/hyperlink" Target="https://www.sec.gov/Archives/edgar/data/1830072/000168316825009359/ipower_8k.htm" TargetMode="External"/><Relationship Id="rId21" Type="http://schemas.openxmlformats.org/officeDocument/2006/relationships/hyperlink" Target="https://www.sec.gov/Archives/edgar/data/0001830072/000168316826000654/ipower_8k.htm" TargetMode="External"/><Relationship Id="rId22" Type="http://schemas.openxmlformats.org/officeDocument/2006/relationships/hyperlink" Target="https://www.sec.gov/Archives/edgar/data/0001830072/000168316826000884/ipower_8k.htm" TargetMode="External"/><Relationship Id="rId23" Type="http://schemas.openxmlformats.org/officeDocument/2006/relationships/hyperlink" Target="https://www.sec.gov/Archives/edgar/data/0001830072/000168316826002537/ipower_8k.htm" TargetMode="External"/><Relationship Id="rId24" Type="http://schemas.openxmlformats.org/officeDocument/2006/relationships/hyperlink" Target="https://www.sec.gov/Archives/edgar/data/0001830072/000168316826003026/ipower_8k.htm" TargetMode="External"/><Relationship Id="rId25" Type="http://schemas.openxmlformats.org/officeDocument/2006/relationships/hyperlink" Target="https://www.sec.gov/Archives/edgar/data/0001830072/000168316826003279/ipower_8k.htm" TargetMode="External"/><Relationship Id="rId26" Type="http://schemas.openxmlformats.org/officeDocument/2006/relationships/hyperlink" Target="https://www.sec.gov/Archives/edgar/data/0001830072/000168316826004092/ipower_8k.htm" TargetMode="External"/><Relationship Id="rId27" Type="http://schemas.openxmlformats.org/officeDocument/2006/relationships/hyperlink" Target="https://www.sec.gov/Archives/edgar/data/0001830072/000168316826004228/ipower_8k.htm" TargetMode="External"/><Relationship Id="rId28" Type="http://schemas.openxmlformats.org/officeDocument/2006/relationships/hyperlink" Target="https://www.sec.gov/Archives/edgar/data/0001830072/000168316826004287/ipower_8k.htm" TargetMode="External"/><Relationship Id="rId29" Type="http://schemas.openxmlformats.org/officeDocument/2006/relationships/hyperlink" Target="https://www.sec.gov/Archives/edgar/data/0001830072/000168316826004542/ipower_8k.htm" TargetMode="External"/><Relationship Id="rId30" Type="http://schemas.openxmlformats.org/officeDocument/2006/relationships/hyperlink" Target="https://www.sec.gov/Archives/edgar/data/0001830072/000168316826005251/ipower_8k.htm" TargetMode="External"/><Relationship Id="rId31" Type="http://schemas.openxmlformats.org/officeDocument/2006/relationships/hyperlink" Target="https://www.sec.gov/Archives/edgar/data/0001830072/000168316826005288/ipower_8k.htm" TargetMode="External"/><Relationship Id="rId32" Type="http://schemas.openxmlformats.org/officeDocument/2006/relationships/hyperlink" Target="https://www.sec.gov/Archives/edgar/data/1830072/000168316826005670/ipower_8k.htm" TargetMode="External"/><Relationship Id="rId33" Type="http://schemas.openxmlformats.org/officeDocument/2006/relationships/hyperlink" Target="https://www.sec.gov/Archives/edgar/data/1830072/000168316826005967/ipower_8k.htm" TargetMode="External"/><Relationship Id="rId34" Type="http://schemas.openxmlformats.org/officeDocument/2006/relationships/hyperlink" Target="http://www.sec.gov/Archives/edgar/data/1830072/000168316821001779/ipower_8a.htm" TargetMode="External"/><Relationship Id="rId35" Type="http://schemas.openxmlformats.org/officeDocument/2006/relationships/image" Target="media/image2.jpeg"/><Relationship Id="rId36" Type="http://schemas.openxmlformats.org/officeDocument/2006/relationships/hyperlink" Target="https://www.sec.gov/Archives/edgar/data/1830072/000168316821001774/ipower_ex0303.htm" TargetMode="External"/><Relationship Id="rId37" Type="http://schemas.openxmlformats.org/officeDocument/2006/relationships/hyperlink" Target="https://www.sec.gov/Archives/edgar/data/1830072/000168316825007681/ipower_ex0301.htm" TargetMode="External"/><Relationship Id="rId38" Type="http://schemas.openxmlformats.org/officeDocument/2006/relationships/hyperlink" Target="https://www.sec.gov/Archives/edgar/data/1830072/000168316825004403/ipower_ex0301.htm" TargetMode="External"/><Relationship Id="rId39" Type="http://schemas.openxmlformats.org/officeDocument/2006/relationships/hyperlink" Target="http://www.sec.gov/Archives/edgar/data/1830072/000168316826004228/ipower_ex0301.htm" TargetMode="External"/><Relationship Id="rId40" Type="http://schemas.openxmlformats.org/officeDocument/2006/relationships/hyperlink" Target="https://www.sec.gov/Archives/edgar/data/1830072/000168316826005967/ipower_ex0301.htm" TargetMode="External"/><Relationship Id="rId41" Type="http://schemas.openxmlformats.org/officeDocument/2006/relationships/hyperlink" Target="http://www.sec.gov/Archives/edgar/data/1830072/000168316821000335/ipower_ex0401.htm" TargetMode="External"/><Relationship Id="rId42" Type="http://schemas.openxmlformats.org/officeDocument/2006/relationships/hyperlink" Target="https://www.sec.gov/Archives/edgar/data/1830072/000168316824004323/ipower_ex0401.htm" TargetMode="External"/><Relationship Id="rId43" Type="http://schemas.openxmlformats.org/officeDocument/2006/relationships/hyperlink" Target="https://www.sec.gov/Archives/edgar/data/1830072/000168316825009331/ipower_ex0401.htm" TargetMode="External"/><Relationship Id="rId44" Type="http://schemas.openxmlformats.org/officeDocument/2006/relationships/hyperlink" Target="https://www.sec.gov/Archives/edgar/data/1830072/000168316825009331/ipower_ex0402.htm" TargetMode="External"/><Relationship Id="rId45" Type="http://schemas.openxmlformats.org/officeDocument/2006/relationships/hyperlink" Target="https://www.sec.gov/Archives/edgar/data/1830072/000168316825009331/ipower_ex1001.htm" TargetMode="External"/><Relationship Id="rId46" Type="http://schemas.openxmlformats.org/officeDocument/2006/relationships/hyperlink" Target="https://www.sec.gov/Archives/edgar/data/1830072/000168316825009331/ipower_ex1002.htm" TargetMode="External"/><Relationship Id="rId47" Type="http://schemas.openxmlformats.org/officeDocument/2006/relationships/hyperlink" Target="https://www.sec.gov/Archives/edgar/data/1830072/000168316825009331/ipower_ex1003.htm" TargetMode="External"/><Relationship Id="rId48" Type="http://schemas.openxmlformats.org/officeDocument/2006/relationships/hyperlink" Target="https://www.sec.gov/Archives/edgar/data/1830072/000168316825009331/ipower_ex1004.htm" TargetMode="External"/><Relationship Id="rId49" Type="http://schemas.openxmlformats.org/officeDocument/2006/relationships/hyperlink" Target="http://www.sec.gov/Archives/edgar/data/1830072/000168316826000654/ipower_ex1001.htm" TargetMode="External"/><Relationship Id="rId50" Type="http://schemas.openxmlformats.org/officeDocument/2006/relationships/hyperlink" Target="http://www.sec.gov/Archives/edgar/data/1830072/000168316826000654/ipower_ex1002.htm" TargetMode="External"/><Relationship Id="rId51" Type="http://schemas.openxmlformats.org/officeDocument/2006/relationships/hyperlink" Target="http://www.sec.gov/Archives/edgar/data/1830072/000168316826000654/ipower_ex1003.htm" TargetMode="External"/><Relationship Id="rId52" Type="http://schemas.openxmlformats.org/officeDocument/2006/relationships/hyperlink" Target="http://www.sec.gov/Archives/edgar/data/1830072/000168316826000654/ipower_ex1004.htm" TargetMode="External"/><Relationship Id="rId53" Type="http://schemas.openxmlformats.org/officeDocument/2006/relationships/hyperlink" Target="http://www.sec.gov/Archives/edgar/data/1830072/000168316826000884/ipower_ex1001.htm" TargetMode="External"/><Relationship Id="rId54" Type="http://schemas.openxmlformats.org/officeDocument/2006/relationships/hyperlink" Target="http://www.sec.gov/Archives/edgar/data/1830072/000168316826002537/ipower_ex1001.htm" TargetMode="External"/><Relationship Id="rId55" Type="http://schemas.openxmlformats.org/officeDocument/2006/relationships/hyperlink" Target="http://www.sec.gov/Archives/edgar/data/1830072/000168316826003026/ipower_ex1001.htm" TargetMode="External"/><Relationship Id="rId56" Type="http://schemas.openxmlformats.org/officeDocument/2006/relationships/hyperlink" Target="http://www.sec.gov/Archives/edgar/data/1830072/000168316826004092/ipower_ex1001.htm" TargetMode="External"/><Relationship Id="rId57" Type="http://schemas.openxmlformats.org/officeDocument/2006/relationships/hyperlink" Target="http://www.sec.gov/Archives/edgar/data/1830072/000168316826005251/ipower_ex1001.htm" TargetMode="External"/><Relationship Id="rId58" Type="http://schemas.openxmlformats.org/officeDocument/2006/relationships/hyperlink" Target="http://www.sec.gov/Archives/edgar/data/1830072/000168316826005288/ipower_ex1001.htm" TargetMode="External"/><Relationship Id="rId59" Type="http://schemas.openxmlformats.org/officeDocument/2006/relationships/hyperlink" Target="http://www.sec.gov/Archives/edgar/data/1830072/000168316826005288/ipower_ex1002.htm" TargetMode="External"/><Relationship Id="rId60" Type="http://schemas.openxmlformats.org/officeDocument/2006/relationships/hyperlink" Target="https://www.sec.gov/Archives/edgar/data/1830072/000168316826005670/ipower_ex1001.htm" TargetMode="External"/><Relationship Id="rId61" Type="http://schemas.openxmlformats.org/officeDocument/2006/relationships/hyperlink" Target="http://www.sec.gov/Archives/edgar/data/1830072/000168316826000372/ipower_ex2101.htm" TargetMode="External"/><Relationship Id="rId62" Type="http://schemas.openxmlformats.org/officeDocument/2006/relationships/hyperlink" Target="https://www.sec.gov/Archives/edgar/data/1830072/000168316826005462/ipower_ex107.htm" TargetMode="External"/><Relationship Id="rId63" Type="http://schemas.openxmlformats.org/officeDocument/2006/relationships/image" Target="media/image3.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26165</Words>
  <Characters>141282</Characters>
  <CharactersWithSpaces>167741</CharactersWithSpaces>
  <Paragraphs>1910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